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Security Standards Adoption (NCA-aligned)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[POL-IS-NCA-001]</w:t>
            </w:r>
          </w:p>
        </w:tc>
        <w:tc>
          <w:tcPr>
            <w:tcW w:type="dxa" w:w="1440"/>
          </w:tcPr>
          <w:p>
            <w:r>
              <w:t>1.0</w:t>
            </w:r>
          </w:p>
        </w:tc>
        <w:tc>
          <w:tcPr>
            <w:tcW w:type="dxa" w:w="1440"/>
          </w:tcPr>
          <w:p>
            <w:r>
              <w:t>Chief Information Security Officer</w:t>
            </w:r>
          </w:p>
        </w:tc>
        <w:tc>
          <w:tcPr>
            <w:tcW w:type="dxa" w:w="1440"/>
          </w:tcPr>
          <w:p>
            <w:r>
              <w:t>[Effective Date]</w:t>
            </w:r>
          </w:p>
        </w:tc>
        <w:tc>
          <w:tcPr>
            <w:tcW w:type="dxa" w:w="1440"/>
          </w:tcPr>
          <w:p>
            <w:r>
              <w:t>Saudi PDPL - NCA-aligned Cybersecurity Standards Adoption</w:t>
            </w:r>
          </w:p>
        </w:tc>
        <w:tc>
          <w:tcPr>
            <w:tcW w:type="dxa" w:w="1440"/>
          </w:tcPr>
          <w:p>
            <w:r>
              <w:t>Internal</w:t>
            </w:r>
          </w:p>
        </w:tc>
      </w:tr>
    </w:tbl>
    <w:p>
      <w:pPr>
        <w:pStyle w:val="Heading2"/>
      </w:pPr>
      <w:r>
        <w:t>Purpose</w:t>
      </w:r>
    </w:p>
    <w:p>
      <w:r>
        <w:t>This Policy establishes the mandatory requirements for adopting, implementing, maintaining, and evidencing cybersecurity standards issued by the National Cybersecurity Authority and other applicable Saudi cybersecurity directives within [Organisation Name].</w:t>
      </w:r>
    </w:p>
    <w:p>
      <w:r>
        <w:t>The purpose of this Policy is to ensure that personal data and related information assets processed by [Organisation Name] are protected through nationally aligned cybersecurity controls, governance practices, and assurance activities. This Policy supports compliance with the Saudi Personal Data Protection Law and its Implementing Regulations by requiring appropriate technical and organisational security measures for the confidentiality, integrity, availability, and resilience of personal data processing environments.</w:t>
      </w:r>
    </w:p>
    <w:p>
      <w:pPr>
        <w:pStyle w:val="Heading2"/>
      </w:pPr>
      <w:r>
        <w:t>Scope</w:t>
      </w:r>
    </w:p>
    <w:p>
      <w:r>
        <w:t>This Policy applies to:</w:t>
      </w:r>
    </w:p>
    <w:p>
      <w:pPr>
        <w:pStyle w:val="ListBullet"/>
      </w:pPr>
      <w:r>
        <w:t>All employees, contractors, consultants, temporary workers, interns, and third parties who access, process, store, transmit, manage, or support [Organisation Name] information assets.</w:t>
      </w:r>
    </w:p>
    <w:p>
      <w:pPr>
        <w:pStyle w:val="ListBullet"/>
      </w:pPr>
      <w:r>
        <w:t>All business units, departments, branches, subsidiaries, and controlled entities of [Organisation Name] operating in or supporting operations in the Kingdom of Saudi Arabia.</w:t>
      </w:r>
    </w:p>
    <w:p>
      <w:pPr>
        <w:pStyle w:val="ListBullet"/>
      </w:pPr>
      <w:r>
        <w:t>All information systems, applications, databases, cloud services, networks, infrastructure, endpoints, platforms, operational technology, and digital services used to process or protect personal data.</w:t>
      </w:r>
    </w:p>
    <w:p>
      <w:pPr>
        <w:pStyle w:val="ListBullet"/>
      </w:pPr>
      <w:r>
        <w:t>All personal data processed by or on behalf of [Organisation Name], including personal data relating to customers, employees, suppliers, partners, visitors, users, and other data subjects.</w:t>
      </w:r>
    </w:p>
    <w:p>
      <w:pPr>
        <w:pStyle w:val="ListBullet"/>
      </w:pPr>
      <w:r>
        <w:t>All outsourced services, managed services, cloud service providers, hosting providers, system integrators, processors, sub-processors, and other third parties that may access, store, transmit, or secure personal data on behalf of [Organisation Name].</w:t>
      </w:r>
    </w:p>
    <w:p>
      <w:pPr>
        <w:pStyle w:val="ListBullet"/>
      </w:pPr>
      <w:r>
        <w:t>All phases of the information asset lifecycle, including design, acquisition, development, configuration, operation, maintenance, transfer, archiving, and disposal.</w:t>
      </w:r>
    </w:p>
    <w:p>
      <w:r>
        <w:t>This Policy applies regardless of whether information assets are hosted on-premises, in cloud environments, with third parties, or accessed remotely.</w:t>
      </w:r>
    </w:p>
    <w:p>
      <w:pPr>
        <w:pStyle w:val="Heading2"/>
      </w:pPr>
      <w:r>
        <w:t>Policy Statements</w:t>
      </w:r>
    </w:p>
    <w:p>
      <w:pPr>
        <w:pStyle w:val="ListBullet"/>
      </w:pPr>
      <w:r>
        <w:t>Adoption of National Cybersecurity Standards</w:t>
      </w:r>
    </w:p>
    <w:p>
      <w:r>
        <w:t>1.1. [Organisation Name] shall adopt applicable cybersecurity standards, controls, guidelines, and directives issued by the National Cybersecurity Authority as mandatory baseline requirements for its cybersecurity governance, risk management, and control environment.</w:t>
      </w:r>
    </w:p>
    <w:p>
      <w:r>
        <w:t>1.2. [Organisation Name] shall identify all National Cybersecurity Authority requirements applicable to its operations, industry, technology environment, data processing activities, and regulatory obligations.</w:t>
      </w:r>
    </w:p>
    <w:p>
      <w:r>
        <w:t>1.3. [Organisation Name] shall maintain an approved register of applicable cybersecurity standards and directives, including ownership, applicability, implementation status, evidence requirements, and review dates.</w:t>
      </w:r>
    </w:p>
    <w:p>
      <w:r>
        <w:t>1.4. [Organisation Name] shall integrate National Cybersecurity Authority requirements into internal policies, standards, procedures, technical baselines, procurement requirements, third-party contracts, and assurance activities.</w:t>
      </w:r>
    </w:p>
    <w:p>
      <w:pPr>
        <w:pStyle w:val="ListBullet"/>
      </w:pPr>
      <w:r>
        <w:t>Alignment with Saudi Personal Data Protection Requirements</w:t>
      </w:r>
    </w:p>
    <w:p>
      <w:r>
        <w:t>2.1. [Organisation Name] shall implement cybersecurity safeguards that protect personal data against unauthorised access, disclosure, alteration, loss, destruction, misuse, or unlawful processing.</w:t>
      </w:r>
    </w:p>
    <w:p>
      <w:r>
        <w:t>2.2. Cybersecurity standards adopted under this Policy shall be applied to systems and services that process personal data, including systems used for collection, storage, transmission, analysis, sharing, backup, retention, deletion, and recovery.</w:t>
      </w:r>
    </w:p>
    <w:p>
      <w:r>
        <w:t>2.3. Personal data processing environments shall be subject to risk-based security controls proportionate to the sensitivity, volume, criticality, and potential impact of the personal data processed.</w:t>
      </w:r>
    </w:p>
    <w:p>
      <w:r>
        <w:t>2.4. The Information Security function shall coordinate with the Privacy or Data Protection function to ensure cybersecurity controls support privacy requirements, including access control, secure processing, breach prevention, breach detection, breach response, retention, and secure disposal.</w:t>
      </w:r>
    </w:p>
    <w:p>
      <w:pPr>
        <w:pStyle w:val="ListBullet"/>
      </w:pPr>
      <w:r>
        <w:t>Cybersecurity Governance</w:t>
      </w:r>
    </w:p>
    <w:p>
      <w:r>
        <w:t>3.1. [Organisation Name] shall establish and maintain a cybersecurity governance framework aligned with applicable National Cybersecurity Authority requirements.</w:t>
      </w:r>
    </w:p>
    <w:p>
      <w:r>
        <w:t>3.2. The Board of Directors, Executive Committee, or equivalent governing body shall provide oversight of cybersecurity risk, approve key cybersecurity policies, and receive periodic reporting on cybersecurity posture, compliance status, major risks, and significant incidents.</w:t>
      </w:r>
    </w:p>
    <w:p>
      <w:r>
        <w:t>3.3. The Chief Information Security Officer shall be accountable for leading cybersecurity standards adoption, implementation oversight, control monitoring, and compliance reporting.</w:t>
      </w:r>
    </w:p>
    <w:p>
      <w:r>
        <w:t>3.4. Cybersecurity responsibilities shall be formally assigned to relevant roles, including system owners, data owners, technology owners, business process owners, third-party relationship owners, and control owners.</w:t>
      </w:r>
    </w:p>
    <w:p>
      <w:r>
        <w:t>3.5. Cybersecurity governance decisions shall be documented, retained, and made available for internal review, external audit, and regulatory assessment where required.</w:t>
      </w:r>
    </w:p>
    <w:p>
      <w:pPr>
        <w:pStyle w:val="ListBullet"/>
      </w:pPr>
      <w:r>
        <w:t>Cybersecurity Risk Management</w:t>
      </w:r>
    </w:p>
    <w:p>
      <w:r>
        <w:t>4.1. [Organisation Name] shall maintain a formal cybersecurity risk management process to identify, assess, treat, monitor, and report risks affecting information assets and personal data.</w:t>
      </w:r>
    </w:p>
    <w:p>
      <w:r>
        <w:t>4.2. Cybersecurity risk assessments shall be performed for critical systems, personal data processing activities, major technology changes, new digital services, cloud adoption, third-party onboarding, and significant changes to the threat landscape.</w:t>
      </w:r>
    </w:p>
    <w:p>
      <w:r>
        <w:t>4.3. Identified cybersecurity risks shall be assigned an owner, risk rating, treatment plan, target completion date, and residual risk decision.</w:t>
      </w:r>
    </w:p>
    <w:p>
      <w:r>
        <w:t>4.4. High and critical cybersecurity risks affecting personal data shall be escalated to senior management and tracked until treated, accepted through approved governance, transferred, or avoided.</w:t>
      </w:r>
    </w:p>
    <w:p>
      <w:r>
        <w:t>4.5. Risk treatment decisions shall consider National Cybersecurity Authority requirements, PDPL-related obligations, legal requirements, contractual commitments, business impact, and data subject impact.</w:t>
      </w:r>
    </w:p>
    <w:p>
      <w:pPr>
        <w:pStyle w:val="ListBullet"/>
      </w:pPr>
      <w:r>
        <w:t>Information Asset Classification and Inventory</w:t>
      </w:r>
    </w:p>
    <w:p>
      <w:r>
        <w:t>5.1. [Organisation Name] shall maintain an accurate inventory of information assets, systems, applications, databases, infrastructure components, cloud services, and third-party services that process or protect personal data.</w:t>
      </w:r>
    </w:p>
    <w:p>
      <w:r>
        <w:t>5.2. Each information asset shall have an assigned business owner and technical owner.</w:t>
      </w:r>
    </w:p>
    <w:p>
      <w:r>
        <w:t>5.3. Information assets shall be classified based on sensitivity, criticality, business value, regulatory impact, and the nature of personal data processed.</w:t>
      </w:r>
    </w:p>
    <w:p>
      <w:r>
        <w:t>5.4. Systems processing sensitive personal data, large volumes of personal data, or personal data related to critical business services shall be identified and subject to enhanced security requirements.</w:t>
      </w:r>
    </w:p>
    <w:p>
      <w:r>
        <w:t>5.5. Asset inventories and data flow records shall be reviewed and updated when systems are introduced, changed, retired, migrated, or outsourced.</w:t>
      </w:r>
    </w:p>
    <w:p>
      <w:pPr>
        <w:pStyle w:val="ListBullet"/>
      </w:pPr>
      <w:r>
        <w:t>Access Control and Identity Management</w:t>
      </w:r>
    </w:p>
    <w:p>
      <w:r>
        <w:t>6.1. Access to systems, applications, infrastructure, databases, and personal data shall be granted only on the basis of approved business need, least privilege, and role-based access.</w:t>
      </w:r>
    </w:p>
    <w:p>
      <w:r>
        <w:t>6.2. User access shall be formally requested, approved by authorised owners, provisioned by authorised administrators, and recorded.</w:t>
      </w:r>
    </w:p>
    <w:p>
      <w:r>
        <w:t>6.3. Privileged access shall be restricted, monitored, reviewed more frequently than standard access, and protected using strong authentication.</w:t>
      </w:r>
    </w:p>
    <w:p>
      <w:r>
        <w:t>6.4. Multi-factor authentication shall be required for remote access, privileged access, administrative consoles, cloud management interfaces, and other high-risk access scenarios.</w:t>
      </w:r>
    </w:p>
    <w:p>
      <w:r>
        <w:t>6.5. User access rights shall be reviewed periodically and promptly revoked or modified when employment, role, contract, or business need changes.</w:t>
      </w:r>
    </w:p>
    <w:p>
      <w:r>
        <w:t>6.6. Shared accounts shall be prohibited unless formally approved as an exception, technically controlled, logged, and attributable to individual users.</w:t>
      </w:r>
    </w:p>
    <w:p>
      <w:pPr>
        <w:pStyle w:val="ListBullet"/>
      </w:pPr>
      <w:r>
        <w:t>Secure Configuration and Technical Baselines</w:t>
      </w:r>
    </w:p>
    <w:p>
      <w:r>
        <w:t>7.1. [Organisation Name] shall establish secure configuration baselines for servers, endpoints, network devices, databases, cloud services, security tools, and applications.</w:t>
      </w:r>
    </w:p>
    <w:p>
      <w:r>
        <w:t>7.2. Configuration baselines shall incorporate National Cybersecurity Authority expectations, vendor hardening guidance, business requirements, and risk assessment outcomes.</w:t>
      </w:r>
    </w:p>
    <w:p>
      <w:r>
        <w:t>7.3. Default passwords, unnecessary services, insecure protocols, unused accounts, and unsupported software shall be removed or disabled before systems are moved into production.</w:t>
      </w:r>
    </w:p>
    <w:p>
      <w:r>
        <w:t>7.4. Configuration changes to production systems shall follow approved change management processes and shall be tested, authorised, documented, and reversible where feasible.</w:t>
      </w:r>
    </w:p>
    <w:p>
      <w:r>
        <w:t>7.5. Configuration compliance shall be monitored, and unauthorised deviations shall be investigated and remediated according to risk.</w:t>
      </w:r>
    </w:p>
    <w:p>
      <w:pPr>
        <w:pStyle w:val="ListBullet"/>
      </w:pPr>
      <w:r>
        <w:t>Vulnerability and Patch Management</w:t>
      </w:r>
    </w:p>
    <w:p>
      <w:r>
        <w:t>8.1. [Organisation Name] shall maintain a vulnerability management process covering identification, assessment, prioritisation, remediation, verification, and reporting of security weaknesses.</w:t>
      </w:r>
    </w:p>
    <w:p>
      <w:r>
        <w:t>8.2. Vulnerability scanning shall be performed on internal systems, external-facing systems, cloud environments, endpoints, and applications according to risk and criticality.</w:t>
      </w:r>
    </w:p>
    <w:p>
      <w:r>
        <w:t>8.3. Security patches shall be evaluated and applied within defined timelines based on severity, exploitability, exposure, system criticality, and personal data impact.</w:t>
      </w:r>
    </w:p>
    <w:p>
      <w:r>
        <w:t>8.4. Critical vulnerabilities affecting internet-facing systems, privileged access systems, or personal data processing environments shall be prioritised for urgent remediation.</w:t>
      </w:r>
    </w:p>
    <w:p>
      <w:r>
        <w:t>8.5. Exceptions to patching timelines shall require documented risk acceptance, compensating controls, and approval by authorised management.</w:t>
      </w:r>
    </w:p>
    <w:p>
      <w:r>
        <w:t>Example remediation targets are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Example Criteria</w:t>
            </w:r>
          </w:p>
        </w:tc>
        <w:tc>
          <w:tcPr>
            <w:tcW w:type="dxa" w:w="2880"/>
          </w:tcPr>
          <w:p>
            <w:r>
              <w:t>Target Remediation Time</w:t>
            </w:r>
          </w:p>
        </w:tc>
      </w:tr>
      <w:tr>
        <w:tc>
          <w:tcPr>
            <w:tcW w:type="dxa" w:w="2880"/>
          </w:tcPr>
          <w:p>
            <w:r>
              <w:t>Critical</w:t>
            </w:r>
          </w:p>
        </w:tc>
        <w:tc>
          <w:tcPr>
            <w:tcW w:type="dxa" w:w="2880"/>
          </w:tcPr>
          <w:p>
            <w:r>
              <w:t>Actively exploited, internet-facing, enables unauthorised access, or affects personal data at scale</w:t>
            </w:r>
          </w:p>
        </w:tc>
        <w:tc>
          <w:tcPr>
            <w:tcW w:type="dxa" w:w="2880"/>
          </w:tcPr>
          <w:p>
            <w:r>
              <w:t>7 calendar days</w:t>
            </w:r>
          </w:p>
        </w:tc>
      </w:tr>
      <w:tr>
        <w:tc>
          <w:tcPr>
            <w:tcW w:type="dxa" w:w="2880"/>
          </w:tcPr>
          <w:p>
            <w:r>
              <w:t>High</w:t>
            </w:r>
          </w:p>
        </w:tc>
        <w:tc>
          <w:tcPr>
            <w:tcW w:type="dxa" w:w="2880"/>
          </w:tcPr>
          <w:p>
            <w:r>
              <w:t>Significant impact to confidentiality, integrity, or availability</w:t>
            </w:r>
          </w:p>
        </w:tc>
        <w:tc>
          <w:tcPr>
            <w:tcW w:type="dxa" w:w="2880"/>
          </w:tcPr>
          <w:p>
            <w:r>
              <w:t>15 calendar days</w:t>
            </w:r>
          </w:p>
        </w:tc>
      </w:tr>
      <w:tr>
        <w:tc>
          <w:tcPr>
            <w:tcW w:type="dxa" w:w="2880"/>
          </w:tcPr>
          <w:p>
            <w:r>
              <w:t>Medium</w:t>
            </w:r>
          </w:p>
        </w:tc>
        <w:tc>
          <w:tcPr>
            <w:tcW w:type="dxa" w:w="2880"/>
          </w:tcPr>
          <w:p>
            <w:r>
              <w:t>Exploitable weakness with limited impact or exposure</w:t>
            </w:r>
          </w:p>
        </w:tc>
        <w:tc>
          <w:tcPr>
            <w:tcW w:type="dxa" w:w="2880"/>
          </w:tcPr>
          <w:p>
            <w:r>
              <w:t>30 calendar days</w:t>
            </w:r>
          </w:p>
        </w:tc>
      </w:tr>
      <w:tr>
        <w:tc>
          <w:tcPr>
            <w:tcW w:type="dxa" w:w="2880"/>
          </w:tcPr>
          <w:p>
            <w:r>
              <w:t>Low</w:t>
            </w:r>
          </w:p>
        </w:tc>
        <w:tc>
          <w:tcPr>
            <w:tcW w:type="dxa" w:w="2880"/>
          </w:tcPr>
          <w:p>
            <w:r>
              <w:t>Low-risk weakness or hardening improvement</w:t>
            </w:r>
          </w:p>
        </w:tc>
        <w:tc>
          <w:tcPr>
            <w:tcW w:type="dxa" w:w="2880"/>
          </w:tcPr>
          <w:p>
            <w:r>
              <w:t>90 calendar days</w:t>
            </w:r>
          </w:p>
        </w:tc>
      </w:tr>
    </w:tbl>
    <w:p>
      <w:pPr>
        <w:pStyle w:val="ListBullet"/>
      </w:pPr>
      <w:r>
        <w:t>Secure System Development and Acquisition</w:t>
      </w:r>
    </w:p>
    <w:p>
      <w:r>
        <w:t>9.1. Security and privacy requirements shall be defined before acquiring, developing, configuring, or materially changing systems that process personal data.</w:t>
      </w:r>
    </w:p>
    <w:p>
      <w:r>
        <w:t>9.2. Software development and system implementation activities shall follow secure development practices, including threat modelling, secure coding, security testing, code review where appropriate, and remediation of identified weaknesses.</w:t>
      </w:r>
    </w:p>
    <w:p>
      <w:r>
        <w:t>9.3. Applications that process personal data shall be tested for security weaknesses before production release and after significant changes.</w:t>
      </w:r>
    </w:p>
    <w:p>
      <w:r>
        <w:t>9.4. Procurement of systems, platforms, and services shall include cybersecurity requirements aligned with National Cybersecurity Authority expectations and [Organisation Name] risk standards.</w:t>
      </w:r>
    </w:p>
    <w:p>
      <w:r>
        <w:t>9.5. Systems shall not be deployed into production unless required cybersecurity controls are implemented or formally risk accepted.</w:t>
      </w:r>
    </w:p>
    <w:p>
      <w:pPr>
        <w:pStyle w:val="ListBullet"/>
      </w:pPr>
      <w:r>
        <w:t>Cloud and Hosting Security</w:t>
      </w:r>
    </w:p>
    <w:p>
      <w:r>
        <w:t>10.1. Cloud services and hosted environments used to process or store personal data shall be assessed and approved before use.</w:t>
      </w:r>
    </w:p>
    <w:p>
      <w:r>
        <w:t>10.2. Cloud service configurations shall be aligned with approved security baselines, including identity controls, logging, encryption, network restrictions, backup controls, and administrative access controls.</w:t>
      </w:r>
    </w:p>
    <w:p>
      <w:r>
        <w:t>10.3. Data residency, cross-border transfer, regulatory restrictions, contractual commitments, and personal data protection requirements shall be assessed before personal data is stored, processed, or transferred through cloud services.</w:t>
      </w:r>
    </w:p>
    <w:p>
      <w:r>
        <w:t>10.4. Cloud administrative activities shall be logged, monitored, and restricted to authorised personnel.</w:t>
      </w:r>
    </w:p>
    <w:p>
      <w:r>
        <w:t>10.5. Responsibilities between [Organisation Name] and cloud or hosting providers shall be documented, including control ownership, incident notification, data protection, backup, recovery, and audit support.</w:t>
      </w:r>
    </w:p>
    <w:p>
      <w:pPr>
        <w:pStyle w:val="ListBullet"/>
      </w:pPr>
      <w:r>
        <w:t>Cryptography and Data Protection</w:t>
      </w:r>
    </w:p>
    <w:p>
      <w:r>
        <w:t>11.1. Personal data shall be protected using approved encryption or equivalent safeguards when stored, transmitted, backed up, or transferred through untrusted or shared environments.</w:t>
      </w:r>
    </w:p>
    <w:p>
      <w:r>
        <w:t>11.2. Encryption keys, secrets, certificates, and credentials shall be securely generated, stored, rotated, revoked, and protected from unauthorised access.</w:t>
      </w:r>
    </w:p>
    <w:p>
      <w:r>
        <w:t>11.3. Sensitive personal data shall be subject to additional protection measures, such as encryption, masking, tokenisation, pseudonymisation, access restrictions, and enhanced monitoring, where appropriate.</w:t>
      </w:r>
    </w:p>
    <w:p>
      <w:r>
        <w:t>11.4. Personal data shall not be transferred using unauthorised channels, personal email accounts, unmanaged file sharing services, or removable media unless formally approved and protected.</w:t>
      </w:r>
    </w:p>
    <w:p>
      <w:r>
        <w:t>11.5. Data loss prevention or equivalent monitoring controls shall be applied to high-risk channels where personal data may be exposed.</w:t>
      </w:r>
    </w:p>
    <w:p>
      <w:pPr>
        <w:pStyle w:val="ListBullet"/>
      </w:pPr>
      <w:r>
        <w:t>Network and Infrastructure Security</w:t>
      </w:r>
    </w:p>
    <w:p>
      <w:r>
        <w:t>12.1. [Organisation Name] shall design and operate network environments to limit unauthorised access, reduce attack paths, and protect systems processing personal data.</w:t>
      </w:r>
    </w:p>
    <w:p>
      <w:r>
        <w:t>12.2. Network segmentation shall be implemented for critical systems, administrative environments, production systems, user networks, guest networks, and personal data processing environments according to risk.</w:t>
      </w:r>
    </w:p>
    <w:p>
      <w:r>
        <w:t>12.3. Internet-facing systems shall be protected using appropriate security controls, such as firewalls, web application protection, intrusion detection or prevention, secure gateways, and continuous monitoring.</w:t>
      </w:r>
    </w:p>
    <w:p>
      <w:r>
        <w:t>12.4. Remote access shall be controlled, authenticated, encrypted, monitored, and limited to authorised users and approved devices.</w:t>
      </w:r>
    </w:p>
    <w:p>
      <w:r>
        <w:t>12.5. Network security rules shall be reviewed periodically and unnecessary access paths shall be removed.</w:t>
      </w:r>
    </w:p>
    <w:p>
      <w:pPr>
        <w:pStyle w:val="ListBullet"/>
      </w:pPr>
      <w:r>
        <w:t>Logging, Monitoring, and Threat Detection</w:t>
      </w:r>
    </w:p>
    <w:p>
      <w:r>
        <w:t>13.1. [Organisation Name] shall collect, protect, and review security logs for systems, applications, databases, infrastructure, and cloud services that process or protect personal data.</w:t>
      </w:r>
    </w:p>
    <w:p>
      <w:r>
        <w:t>13.2. Security logging shall include events relevant to authentication, privileged activity, access to personal data, configuration changes, administrative actions, malware detection, network traffic, and security control events.</w:t>
      </w:r>
    </w:p>
    <w:p>
      <w:r>
        <w:t>13.3. Logs shall be protected against unauthorised alteration, deletion, and access.</w:t>
      </w:r>
    </w:p>
    <w:p>
      <w:r>
        <w:t>13.4. Security monitoring shall be performed to detect suspicious activity, unauthorised access, data exfiltration attempts, malware, policy violations, and indicators of compromise.</w:t>
      </w:r>
    </w:p>
    <w:p>
      <w:r>
        <w:t>13.5. Alerts involving personal data, privileged accounts, critical systems, or external exposure shall be triaged and escalated according to incident response procedures.</w:t>
      </w:r>
    </w:p>
    <w:p>
      <w:r>
        <w:t>Minimum logging expectations are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Environment or System Type</w:t>
            </w:r>
          </w:p>
        </w:tc>
        <w:tc>
          <w:tcPr>
            <w:tcW w:type="dxa" w:w="2880"/>
          </w:tcPr>
          <w:p>
            <w:r>
              <w:t>Minimum Events to Capture</w:t>
            </w:r>
          </w:p>
        </w:tc>
        <w:tc>
          <w:tcPr>
            <w:tcW w:type="dxa" w:w="2880"/>
          </w:tcPr>
          <w:p>
            <w:r>
              <w:t>Minimum Retention</w:t>
            </w:r>
          </w:p>
        </w:tc>
      </w:tr>
      <w:tr>
        <w:tc>
          <w:tcPr>
            <w:tcW w:type="dxa" w:w="2880"/>
          </w:tcPr>
          <w:p>
            <w:r>
              <w:t>Identity and access systems</w:t>
            </w:r>
          </w:p>
        </w:tc>
        <w:tc>
          <w:tcPr>
            <w:tcW w:type="dxa" w:w="2880"/>
          </w:tcPr>
          <w:p>
            <w:r>
              <w:t>Login attempts, privilege changes, account creation, account disablement, MFA events</w:t>
            </w:r>
          </w:p>
        </w:tc>
        <w:tc>
          <w:tcPr>
            <w:tcW w:type="dxa" w:w="2880"/>
          </w:tcPr>
          <w:p>
            <w:r>
              <w:t>[Retention Period]</w:t>
            </w:r>
          </w:p>
        </w:tc>
      </w:tr>
      <w:tr>
        <w:tc>
          <w:tcPr>
            <w:tcW w:type="dxa" w:w="2880"/>
          </w:tcPr>
          <w:p>
            <w:r>
              <w:t>Systems processing personal data</w:t>
            </w:r>
          </w:p>
        </w:tc>
        <w:tc>
          <w:tcPr>
            <w:tcW w:type="dxa" w:w="2880"/>
          </w:tcPr>
          <w:p>
            <w:r>
              <w:t>Access to records, exports, administrative changes, failed access attempts</w:t>
            </w:r>
          </w:p>
        </w:tc>
        <w:tc>
          <w:tcPr>
            <w:tcW w:type="dxa" w:w="2880"/>
          </w:tcPr>
          <w:p>
            <w:r>
              <w:t>[Retention Period]</w:t>
            </w:r>
          </w:p>
        </w:tc>
      </w:tr>
      <w:tr>
        <w:tc>
          <w:tcPr>
            <w:tcW w:type="dxa" w:w="2880"/>
          </w:tcPr>
          <w:p>
            <w:r>
              <w:t>Network and perimeter controls</w:t>
            </w:r>
          </w:p>
        </w:tc>
        <w:tc>
          <w:tcPr>
            <w:tcW w:type="dxa" w:w="2880"/>
          </w:tcPr>
          <w:p>
            <w:r>
              <w:t>Allowed and denied traffic, security alerts, configuration changes</w:t>
            </w:r>
          </w:p>
        </w:tc>
        <w:tc>
          <w:tcPr>
            <w:tcW w:type="dxa" w:w="2880"/>
          </w:tcPr>
          <w:p>
            <w:r>
              <w:t>[Retention Period]</w:t>
            </w:r>
          </w:p>
        </w:tc>
      </w:tr>
      <w:tr>
        <w:tc>
          <w:tcPr>
            <w:tcW w:type="dxa" w:w="2880"/>
          </w:tcPr>
          <w:p>
            <w:r>
              <w:t>Cloud platforms</w:t>
            </w:r>
          </w:p>
        </w:tc>
        <w:tc>
          <w:tcPr>
            <w:tcW w:type="dxa" w:w="2880"/>
          </w:tcPr>
          <w:p>
            <w:r>
              <w:t>Administrative actions, API calls, access changes, storage access, security alerts</w:t>
            </w:r>
          </w:p>
        </w:tc>
        <w:tc>
          <w:tcPr>
            <w:tcW w:type="dxa" w:w="2880"/>
          </w:tcPr>
          <w:p>
            <w:r>
              <w:t>[Retention Period]</w:t>
            </w:r>
          </w:p>
        </w:tc>
      </w:tr>
      <w:tr>
        <w:tc>
          <w:tcPr>
            <w:tcW w:type="dxa" w:w="2880"/>
          </w:tcPr>
          <w:p>
            <w:r>
              <w:t>Security tools</w:t>
            </w:r>
          </w:p>
        </w:tc>
        <w:tc>
          <w:tcPr>
            <w:tcW w:type="dxa" w:w="2880"/>
          </w:tcPr>
          <w:p>
            <w:r>
              <w:t>Malware events, vulnerability findings, policy violations, alert triage actions</w:t>
            </w:r>
          </w:p>
        </w:tc>
        <w:tc>
          <w:tcPr>
            <w:tcW w:type="dxa" w:w="2880"/>
          </w:tcPr>
          <w:p>
            <w:r>
              <w:t>[Retention Period]</w:t>
            </w:r>
          </w:p>
        </w:tc>
      </w:tr>
    </w:tbl>
    <w:p>
      <w:pPr>
        <w:pStyle w:val="ListBullet"/>
      </w:pPr>
      <w:r>
        <w:t>Cybersecurity Incident Management</w:t>
      </w:r>
    </w:p>
    <w:p>
      <w:r>
        <w:t>14.1. [Organisation Name] shall maintain a cybersecurity incident management process for detecting, reporting, triaging, containing, investigating, eradicating, recovering from, and learning from cybersecurity incidents.</w:t>
      </w:r>
    </w:p>
    <w:p>
      <w:r>
        <w:t>14.2. Suspected or confirmed incidents involving personal data shall be immediately escalated to the Information Security function and the Privacy or Data Protection function.</w:t>
      </w:r>
    </w:p>
    <w:p>
      <w:r>
        <w:t>14.3. Incident response activities shall preserve evidence, maintain confidentiality, document decisions, and support legal, regulatory, contractual, and data subject notification obligations.</w:t>
      </w:r>
    </w:p>
    <w:p>
      <w:r>
        <w:t>14.4. Incident severity shall be assessed based on impact to confidentiality, integrity, availability, personal data, business operations, legal obligations, reputation, and affected individuals.</w:t>
      </w:r>
    </w:p>
    <w:p>
      <w:r>
        <w:t>14.5. Post-incident reviews shall be conducted for significant incidents, and corrective actions shall be tracked to closure.</w:t>
      </w:r>
    </w:p>
    <w:p>
      <w:r>
        <w:t>14.6. Employees and third parties shall be required to report suspected cybersecurity incidents, personal data breaches, phishing, malware, unauthorised access, lost devices, and improper disclosures without delay.</w:t>
      </w:r>
    </w:p>
    <w:p>
      <w:pPr>
        <w:pStyle w:val="ListBullet"/>
      </w:pPr>
      <w:r>
        <w:t>Business Continuity, Backup, and Resilience</w:t>
      </w:r>
    </w:p>
    <w:p>
      <w:r>
        <w:t>15.1. [Organisation Name] shall implement resilience measures for critical systems and personal data processing environments to support continuity of operations.</w:t>
      </w:r>
    </w:p>
    <w:p>
      <w:r>
        <w:t>15.2. Backup processes shall be defined, performed, monitored, and tested for systems and data required to meet business, legal, regulatory, and recovery requirements.</w:t>
      </w:r>
    </w:p>
    <w:p>
      <w:r>
        <w:t>15.3. Backups containing personal data shall be protected using appropriate access controls, encryption, retention controls, and secure disposal methods.</w:t>
      </w:r>
    </w:p>
    <w:p>
      <w:r>
        <w:t>15.4. Recovery objectives shall be established for critical systems and shall be tested periodically.</w:t>
      </w:r>
    </w:p>
    <w:p>
      <w:r>
        <w:t>15.5. Cybersecurity scenarios, including ransomware, destructive malware, cloud service disruption, data corruption, and loss of privileged access, shall be considered in continuity and recovery planning.</w:t>
      </w:r>
    </w:p>
    <w:p>
      <w:pPr>
        <w:pStyle w:val="ListBullet"/>
      </w:pPr>
      <w:r>
        <w:t>Third-Party and Processor Cybersecurity</w:t>
      </w:r>
    </w:p>
    <w:p>
      <w:r>
        <w:t>16.1. Third parties that access, process, store, transmit, host, manage, or secure personal data on behalf of [Organisation Name] shall be subject to cybersecurity due diligence before engagement.</w:t>
      </w:r>
    </w:p>
    <w:p>
      <w:r>
        <w:t>16.2. Contracts with relevant third parties shall include cybersecurity, confidentiality, incident notification, audit support, data protection, secure disposal, sub-processing, and service continuity requirements.</w:t>
      </w:r>
    </w:p>
    <w:p>
      <w:r>
        <w:t>16.3. Third-party cybersecurity risk shall be assessed based on the nature of services, access level, data sensitivity, data volume, integration depth, hosting location, and operational dependency.</w:t>
      </w:r>
    </w:p>
    <w:p>
      <w:r>
        <w:t>16.4. Third parties shall be monitored periodically according to risk, including review of security attestations, audit reports, certifications, vulnerability posture, incident history, and remediation commitments.</w:t>
      </w:r>
    </w:p>
    <w:p>
      <w:r>
        <w:t>16.5. Third-party access to [Organisation Name] systems and personal data shall be approved, limited, monitored, and revoked when no longer required.</w:t>
      </w:r>
    </w:p>
    <w:p>
      <w:pPr>
        <w:pStyle w:val="ListBullet"/>
      </w:pPr>
      <w:r>
        <w:t>Awareness and Training</w:t>
      </w:r>
    </w:p>
    <w:p>
      <w:r>
        <w:t>17.1. All employees and relevant contractors shall complete cybersecurity awareness training at onboarding and periodically thereafter.</w:t>
      </w:r>
    </w:p>
    <w:p>
      <w:r>
        <w:t>17.2. Cybersecurity training shall include secure handling of personal data, phishing awareness, password and authentication practices, incident reporting, acceptable use, remote working, and protection of confidential information.</w:t>
      </w:r>
    </w:p>
    <w:p>
      <w:r>
        <w:t>17.3. Personnel with privileged access, security responsibilities, development responsibilities, or personal data processing responsibilities shall receive role-specific training.</w:t>
      </w:r>
    </w:p>
    <w:p>
      <w:r>
        <w:t>17.4. Training completion shall be tracked, and non-completion shall be escalated according to management procedures.</w:t>
      </w:r>
    </w:p>
    <w:p>
      <w:pPr>
        <w:pStyle w:val="ListBullet"/>
      </w:pPr>
      <w:r>
        <w:t>Acceptable Use and Endpoint Security</w:t>
      </w:r>
    </w:p>
    <w:p>
      <w:r>
        <w:t>18.1. Users shall use [Organisation Name] information assets only for authorised business purposes and in accordance with approved acceptable use requirements.</w:t>
      </w:r>
    </w:p>
    <w:p>
      <w:r>
        <w:t>18.2. Endpoints used to access organisational systems or personal data shall be secured, managed, monitored, and protected against malware and unauthorised access.</w:t>
      </w:r>
    </w:p>
    <w:p>
      <w:r>
        <w:t>18.3. Users shall not install unauthorised software, bypass security controls, disable security tools, use unauthorised storage services, or connect unmanaged devices to organisational networks without approval.</w:t>
      </w:r>
    </w:p>
    <w:p>
      <w:r>
        <w:t>18.4. Lost, stolen, compromised, or suspected compromised devices shall be reported immediately.</w:t>
      </w:r>
    </w:p>
    <w:p>
      <w:r>
        <w:t>18.5. Remote work shall be performed using approved devices, approved connectivity methods, and required security controls.</w:t>
      </w:r>
    </w:p>
    <w:p>
      <w:pPr>
        <w:pStyle w:val="ListBullet"/>
      </w:pPr>
      <w:r>
        <w:t>Data Retention, Disposal, and Media Handling</w:t>
      </w:r>
    </w:p>
    <w:p>
      <w:r>
        <w:t>19.1. Personal data shall be retained only for authorised business, legal, regulatory, or contractual purposes and shall be protected throughout the retention period.</w:t>
      </w:r>
    </w:p>
    <w:p>
      <w:r>
        <w:t>19.2. Storage media, backups, records, logs, and devices containing personal data shall be securely disposed of, sanitised, or destroyed when no longer required.</w:t>
      </w:r>
    </w:p>
    <w:p>
      <w:r>
        <w:t>19.3. Disposal activities for systems and media containing personal data shall be documented and, where applicable, certified by approved service providers.</w:t>
      </w:r>
    </w:p>
    <w:p>
      <w:r>
        <w:t>19.4. Removable media use shall be restricted, encrypted where permitted, logged where feasible, and approved based on business need.</w:t>
      </w:r>
    </w:p>
    <w:p>
      <w:pPr>
        <w:pStyle w:val="ListBullet"/>
      </w:pPr>
      <w:r>
        <w:t>Compliance Evidence and Documentation</w:t>
      </w:r>
    </w:p>
    <w:p>
      <w:r>
        <w:t>20.1. [Organisation Name] shall maintain evidence demonstrating implementation and operation of National Cybersecurity Authority-aligned controls.</w:t>
      </w:r>
    </w:p>
    <w:p>
      <w:r>
        <w:t>20.2. Evidence shall be accurate, complete, attributable, retrievable, and retained according to legal, regulatory, audit, and business requirements.</w:t>
      </w:r>
    </w:p>
    <w:p>
      <w:r>
        <w:t>20.3. Control owners shall provide evidence when requested by Information Security, Internal Audit, Compliance, Privacy, Legal, regulators, or authorised external assessors.</w:t>
      </w:r>
    </w:p>
    <w:p>
      <w:r>
        <w:t>20.4. Evidence shall not be falsified, backdated, altered, or withheld.</w:t>
      </w:r>
    </w:p>
    <w:p>
      <w:r>
        <w:t>Examples of required evidence include:</w:t>
      </w:r>
    </w:p>
    <w:tbl>
      <w:tblPr>
        <w:tblStyle w:val="TableGrid"/>
        <w:tblW w:type="auto" w:w="0"/>
        <w:tblLook w:firstColumn="1" w:firstRow="1" w:lastColumn="0" w:lastRow="0" w:noHBand="0" w:noVBand="1" w:val="04A0"/>
      </w:tblPr>
      <w:tblGrid>
        <w:gridCol w:w="4320"/>
        <w:gridCol w:w="4320"/>
      </w:tblGrid>
      <w:tr>
        <w:tc>
          <w:tcPr>
            <w:tcW w:type="dxa" w:w="4320"/>
          </w:tcPr>
          <w:p>
            <w:r>
              <w:t>Control Area</w:t>
            </w:r>
          </w:p>
        </w:tc>
        <w:tc>
          <w:tcPr>
            <w:tcW w:type="dxa" w:w="4320"/>
          </w:tcPr>
          <w:p>
            <w:r>
              <w:t>Example Evidence</w:t>
            </w:r>
          </w:p>
        </w:tc>
      </w:tr>
      <w:tr>
        <w:tc>
          <w:tcPr>
            <w:tcW w:type="dxa" w:w="4320"/>
          </w:tcPr>
          <w:p>
            <w:r>
              <w:t>Governance</w:t>
            </w:r>
          </w:p>
        </w:tc>
        <w:tc>
          <w:tcPr>
            <w:tcW w:type="dxa" w:w="4320"/>
          </w:tcPr>
          <w:p>
            <w:r>
              <w:t>Approved policies, committee minutes, risk reports, cybersecurity roadmap</w:t>
            </w:r>
          </w:p>
        </w:tc>
      </w:tr>
      <w:tr>
        <w:tc>
          <w:tcPr>
            <w:tcW w:type="dxa" w:w="4320"/>
          </w:tcPr>
          <w:p>
            <w:r>
              <w:t>Risk management</w:t>
            </w:r>
          </w:p>
        </w:tc>
        <w:tc>
          <w:tcPr>
            <w:tcW w:type="dxa" w:w="4320"/>
          </w:tcPr>
          <w:p>
            <w:r>
              <w:t>Risk assessments, risk registers, treatment plans, acceptance approvals</w:t>
            </w:r>
          </w:p>
        </w:tc>
      </w:tr>
      <w:tr>
        <w:tc>
          <w:tcPr>
            <w:tcW w:type="dxa" w:w="4320"/>
          </w:tcPr>
          <w:p>
            <w:r>
              <w:t>Access control</w:t>
            </w:r>
          </w:p>
        </w:tc>
        <w:tc>
          <w:tcPr>
            <w:tcW w:type="dxa" w:w="4320"/>
          </w:tcPr>
          <w:p>
            <w:r>
              <w:t>Access approvals, access reviews, privileged access logs, termination records</w:t>
            </w:r>
          </w:p>
        </w:tc>
      </w:tr>
      <w:tr>
        <w:tc>
          <w:tcPr>
            <w:tcW w:type="dxa" w:w="4320"/>
          </w:tcPr>
          <w:p>
            <w:r>
              <w:t>Vulnerability management</w:t>
            </w:r>
          </w:p>
        </w:tc>
        <w:tc>
          <w:tcPr>
            <w:tcW w:type="dxa" w:w="4320"/>
          </w:tcPr>
          <w:p>
            <w:r>
              <w:t>Scan reports, remediation tickets, patch records, exception approvals</w:t>
            </w:r>
          </w:p>
        </w:tc>
      </w:tr>
      <w:tr>
        <w:tc>
          <w:tcPr>
            <w:tcW w:type="dxa" w:w="4320"/>
          </w:tcPr>
          <w:p>
            <w:r>
              <w:t>Incident management</w:t>
            </w:r>
          </w:p>
        </w:tc>
        <w:tc>
          <w:tcPr>
            <w:tcW w:type="dxa" w:w="4320"/>
          </w:tcPr>
          <w:p>
            <w:r>
              <w:t>Incident tickets, investigation reports, containment actions, lessons learned</w:t>
            </w:r>
          </w:p>
        </w:tc>
      </w:tr>
      <w:tr>
        <w:tc>
          <w:tcPr>
            <w:tcW w:type="dxa" w:w="4320"/>
          </w:tcPr>
          <w:p>
            <w:r>
              <w:t>Third-party security</w:t>
            </w:r>
          </w:p>
        </w:tc>
        <w:tc>
          <w:tcPr>
            <w:tcW w:type="dxa" w:w="4320"/>
          </w:tcPr>
          <w:p>
            <w:r>
              <w:t>Due diligence records, contracts, security questionnaires, review results</w:t>
            </w:r>
          </w:p>
        </w:tc>
      </w:tr>
      <w:tr>
        <w:tc>
          <w:tcPr>
            <w:tcW w:type="dxa" w:w="4320"/>
          </w:tcPr>
          <w:p>
            <w:r>
              <w:t>Awareness</w:t>
            </w:r>
          </w:p>
        </w:tc>
        <w:tc>
          <w:tcPr>
            <w:tcW w:type="dxa" w:w="4320"/>
          </w:tcPr>
          <w:p>
            <w:r>
              <w:t>Training records, phishing simulation results, communications</w:t>
            </w:r>
          </w:p>
        </w:tc>
      </w:tr>
      <w:tr>
        <w:tc>
          <w:tcPr>
            <w:tcW w:type="dxa" w:w="4320"/>
          </w:tcPr>
          <w:p>
            <w:r>
              <w:t>Resilience</w:t>
            </w:r>
          </w:p>
        </w:tc>
        <w:tc>
          <w:tcPr>
            <w:tcW w:type="dxa" w:w="4320"/>
          </w:tcPr>
          <w:p>
            <w:r>
              <w:t>Backup reports, restore test results, continuity exercise records</w:t>
            </w:r>
          </w:p>
        </w:tc>
      </w:tr>
    </w:tbl>
    <w:p>
      <w:pPr>
        <w:pStyle w:val="ListBullet"/>
      </w:pPr>
      <w:r>
        <w:t>Regulatory and Directive Management</w:t>
      </w:r>
    </w:p>
    <w:p>
      <w:r>
        <w:t>21.1. [Organisation Name] shall monitor new and updated cybersecurity requirements, circulars, directives, and guidance issued by relevant Saudi authorities.</w:t>
      </w:r>
    </w:p>
    <w:p>
      <w:r>
        <w:t>21.2. New or updated requirements shall be assessed for applicability, impact, implementation effort, ownership, and target completion date.</w:t>
      </w:r>
    </w:p>
    <w:p>
      <w:r>
        <w:t>21.3. Material regulatory or directive changes affecting cybersecurity or personal data protection shall be reported to senior management.</w:t>
      </w:r>
    </w:p>
    <w:p>
      <w:r>
        <w:t>21.4. Internal policies, standards, procedures, control baselines, training, and assurance activities shall be updated where required to reflect applicable changes.</w:t>
      </w:r>
    </w:p>
    <w:p>
      <w:pPr>
        <w:pStyle w:val="ListBullet"/>
      </w:pPr>
      <w:r>
        <w:t>Performance Measurement and Reporting</w:t>
      </w:r>
    </w:p>
    <w:p>
      <w:r>
        <w:t>22.1. The Information Security function shall define cybersecurity metrics to measure adoption, implementation effectiveness, risk exposure, compliance status, and control performance.</w:t>
      </w:r>
    </w:p>
    <w:p>
      <w:r>
        <w:t>22.2. Cybersecurity metrics shall be reported periodically to management and governance forums.</w:t>
      </w:r>
    </w:p>
    <w:p>
      <w:r>
        <w:t>22.3. Metrics shall include both compliance indicators and operational effectiveness indicators.</w:t>
      </w:r>
    </w:p>
    <w:p>
      <w:r>
        <w:t>Example reporting metrics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Reporting Frequency</w:t>
            </w:r>
          </w:p>
        </w:tc>
        <w:tc>
          <w:tcPr>
            <w:tcW w:type="dxa" w:w="2880"/>
          </w:tcPr>
          <w:p>
            <w:r>
              <w:t>Responsible Owner</w:t>
            </w:r>
          </w:p>
        </w:tc>
      </w:tr>
      <w:tr>
        <w:tc>
          <w:tcPr>
            <w:tcW w:type="dxa" w:w="2880"/>
          </w:tcPr>
          <w:p>
            <w:r>
              <w:t>Percentage of applicable cybersecurity requirements implemented</w:t>
            </w:r>
          </w:p>
        </w:tc>
        <w:tc>
          <w:tcPr>
            <w:tcW w:type="dxa" w:w="2880"/>
          </w:tcPr>
          <w:p>
            <w:r>
              <w:t>Quarterly</w:t>
            </w:r>
          </w:p>
        </w:tc>
        <w:tc>
          <w:tcPr>
            <w:tcW w:type="dxa" w:w="2880"/>
          </w:tcPr>
          <w:p>
            <w:r>
              <w:t>CISO</w:t>
            </w:r>
          </w:p>
        </w:tc>
      </w:tr>
      <w:tr>
        <w:tc>
          <w:tcPr>
            <w:tcW w:type="dxa" w:w="2880"/>
          </w:tcPr>
          <w:p>
            <w:r>
              <w:t>Number of overdue high and critical risk treatment actions</w:t>
            </w:r>
          </w:p>
        </w:tc>
        <w:tc>
          <w:tcPr>
            <w:tcW w:type="dxa" w:w="2880"/>
          </w:tcPr>
          <w:p>
            <w:r>
              <w:t>Monthly</w:t>
            </w:r>
          </w:p>
        </w:tc>
        <w:tc>
          <w:tcPr>
            <w:tcW w:type="dxa" w:w="2880"/>
          </w:tcPr>
          <w:p>
            <w:r>
              <w:t>Risk Owners</w:t>
            </w:r>
          </w:p>
        </w:tc>
      </w:tr>
      <w:tr>
        <w:tc>
          <w:tcPr>
            <w:tcW w:type="dxa" w:w="2880"/>
          </w:tcPr>
          <w:p>
            <w:r>
              <w:t>Critical vulnerability remediation performance</w:t>
            </w:r>
          </w:p>
        </w:tc>
        <w:tc>
          <w:tcPr>
            <w:tcW w:type="dxa" w:w="2880"/>
          </w:tcPr>
          <w:p>
            <w:r>
              <w:t>Monthly</w:t>
            </w:r>
          </w:p>
        </w:tc>
        <w:tc>
          <w:tcPr>
            <w:tcW w:type="dxa" w:w="2880"/>
          </w:tcPr>
          <w:p>
            <w:r>
              <w:t>IT Operations</w:t>
            </w:r>
          </w:p>
        </w:tc>
      </w:tr>
      <w:tr>
        <w:tc>
          <w:tcPr>
            <w:tcW w:type="dxa" w:w="2880"/>
          </w:tcPr>
          <w:p>
            <w:r>
              <w:t>Privileged access review completion rate</w:t>
            </w:r>
          </w:p>
        </w:tc>
        <w:tc>
          <w:tcPr>
            <w:tcW w:type="dxa" w:w="2880"/>
          </w:tcPr>
          <w:p>
            <w:r>
              <w:t>Quarterly</w:t>
            </w:r>
          </w:p>
        </w:tc>
        <w:tc>
          <w:tcPr>
            <w:tcW w:type="dxa" w:w="2880"/>
          </w:tcPr>
          <w:p>
            <w:r>
              <w:t>Identity and Access Management Owner</w:t>
            </w:r>
          </w:p>
        </w:tc>
      </w:tr>
      <w:tr>
        <w:tc>
          <w:tcPr>
            <w:tcW w:type="dxa" w:w="2880"/>
          </w:tcPr>
          <w:p>
            <w:r>
              <w:t>Security awareness completion rate</w:t>
            </w:r>
          </w:p>
        </w:tc>
        <w:tc>
          <w:tcPr>
            <w:tcW w:type="dxa" w:w="2880"/>
          </w:tcPr>
          <w:p>
            <w:r>
              <w:t>Quarterly</w:t>
            </w:r>
          </w:p>
        </w:tc>
        <w:tc>
          <w:tcPr>
            <w:tcW w:type="dxa" w:w="2880"/>
          </w:tcPr>
          <w:p>
            <w:r>
              <w:t>Human Resources and Information Security</w:t>
            </w:r>
          </w:p>
        </w:tc>
      </w:tr>
      <w:tr>
        <w:tc>
          <w:tcPr>
            <w:tcW w:type="dxa" w:w="2880"/>
          </w:tcPr>
          <w:p>
            <w:r>
              <w:t>Number of personal data-related security incidents</w:t>
            </w:r>
          </w:p>
        </w:tc>
        <w:tc>
          <w:tcPr>
            <w:tcW w:type="dxa" w:w="2880"/>
          </w:tcPr>
          <w:p>
            <w:r>
              <w:t>Monthly</w:t>
            </w:r>
          </w:p>
        </w:tc>
        <w:tc>
          <w:tcPr>
            <w:tcW w:type="dxa" w:w="2880"/>
          </w:tcPr>
          <w:p>
            <w:r>
              <w:t>Security Operations and Privacy Function</w:t>
            </w:r>
          </w:p>
        </w:tc>
      </w:tr>
      <w:tr>
        <w:tc>
          <w:tcPr>
            <w:tcW w:type="dxa" w:w="2880"/>
          </w:tcPr>
          <w:p>
            <w:r>
              <w:t>Third-party security review completion rate</w:t>
            </w:r>
          </w:p>
        </w:tc>
        <w:tc>
          <w:tcPr>
            <w:tcW w:type="dxa" w:w="2880"/>
          </w:tcPr>
          <w:p>
            <w:r>
              <w:t>Quarterly</w:t>
            </w:r>
          </w:p>
        </w:tc>
        <w:tc>
          <w:tcPr>
            <w:tcW w:type="dxa" w:w="2880"/>
          </w:tcPr>
          <w:p>
            <w:r>
              <w:t>Vendor Management</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 Executive Committee</w:t>
            </w:r>
          </w:p>
        </w:tc>
        <w:tc>
          <w:tcPr>
            <w:tcW w:type="dxa" w:w="4320"/>
          </w:tcPr>
          <w:p>
            <w:r>
              <w:t>Provide oversight of cybersecurity risk and compliance; approve strategic cybersecurity direction; ensure adequate resources are available; review significant risks, incidents, and compliance matters.</w:t>
            </w:r>
          </w:p>
        </w:tc>
      </w:tr>
      <w:tr>
        <w:tc>
          <w:tcPr>
            <w:tcW w:type="dxa" w:w="4320"/>
          </w:tcPr>
          <w:p>
            <w:r>
              <w:t>Chief Executive Officer</w:t>
            </w:r>
          </w:p>
        </w:tc>
        <w:tc>
          <w:tcPr>
            <w:tcW w:type="dxa" w:w="4320"/>
          </w:tcPr>
          <w:p>
            <w:r>
              <w:t>Ensure organisational commitment to cybersecurity and personal data protection; support enforcement of this Policy across all business units.</w:t>
            </w:r>
          </w:p>
        </w:tc>
      </w:tr>
      <w:tr>
        <w:tc>
          <w:tcPr>
            <w:tcW w:type="dxa" w:w="4320"/>
          </w:tcPr>
          <w:p>
            <w:r>
              <w:t>Chief Information Security Officer</w:t>
            </w:r>
          </w:p>
        </w:tc>
        <w:tc>
          <w:tcPr>
            <w:tcW w:type="dxa" w:w="4320"/>
          </w:tcPr>
          <w:p>
            <w:r>
              <w:t>Own this Policy; lead adoption of National Cybersecurity Authority-aligned standards; maintain cybersecurity governance; report cybersecurity posture; coordinate control implementation and assurance.</w:t>
            </w:r>
          </w:p>
        </w:tc>
      </w:tr>
      <w:tr>
        <w:tc>
          <w:tcPr>
            <w:tcW w:type="dxa" w:w="4320"/>
          </w:tcPr>
          <w:p>
            <w:r>
              <w:t>Data Protection Officer / Privacy Lead</w:t>
            </w:r>
          </w:p>
        </w:tc>
        <w:tc>
          <w:tcPr>
            <w:tcW w:type="dxa" w:w="4320"/>
          </w:tcPr>
          <w:p>
            <w:r>
              <w:t>Coordinate with Information Security on personal data protection requirements; advise on personal data breach implications; support privacy impact assessments and regulatory response.</w:t>
            </w:r>
          </w:p>
        </w:tc>
      </w:tr>
      <w:tr>
        <w:tc>
          <w:tcPr>
            <w:tcW w:type="dxa" w:w="4320"/>
          </w:tcPr>
          <w:p>
            <w:r>
              <w:t>Chief Information Officer / Technology Lead</w:t>
            </w:r>
          </w:p>
        </w:tc>
        <w:tc>
          <w:tcPr>
            <w:tcW w:type="dxa" w:w="4320"/>
          </w:tcPr>
          <w:p>
            <w:r>
              <w:t>Ensure technology environments implement required cybersecurity controls; support secure operations, patching, access management, backup, logging, and resilience.</w:t>
            </w:r>
          </w:p>
        </w:tc>
      </w:tr>
      <w:tr>
        <w:tc>
          <w:tcPr>
            <w:tcW w:type="dxa" w:w="4320"/>
          </w:tcPr>
          <w:p>
            <w:r>
              <w:t>Legal and Compliance</w:t>
            </w:r>
          </w:p>
        </w:tc>
        <w:tc>
          <w:tcPr>
            <w:tcW w:type="dxa" w:w="4320"/>
          </w:tcPr>
          <w:p>
            <w:r>
              <w:t>Monitor applicable legal and regulatory obligations; advise on contractual, notification, and regulatory matters; support interpretation of cybersecurity obligations affecting personal data.</w:t>
            </w:r>
          </w:p>
        </w:tc>
      </w:tr>
      <w:tr>
        <w:tc>
          <w:tcPr>
            <w:tcW w:type="dxa" w:w="4320"/>
          </w:tcPr>
          <w:p>
            <w:r>
              <w:t>Risk Management</w:t>
            </w:r>
          </w:p>
        </w:tc>
        <w:tc>
          <w:tcPr>
            <w:tcW w:type="dxa" w:w="4320"/>
          </w:tcPr>
          <w:p>
            <w:r>
              <w:t>Integrate cybersecurity risks into enterprise risk management; support risk assessment, treatment tracking, escalation, and reporting.</w:t>
            </w:r>
          </w:p>
        </w:tc>
      </w:tr>
      <w:tr>
        <w:tc>
          <w:tcPr>
            <w:tcW w:type="dxa" w:w="4320"/>
          </w:tcPr>
          <w:p>
            <w:r>
              <w:t>Internal Audit</w:t>
            </w:r>
          </w:p>
        </w:tc>
        <w:tc>
          <w:tcPr>
            <w:tcW w:type="dxa" w:w="4320"/>
          </w:tcPr>
          <w:p>
            <w:r>
              <w:t>Independently assess compliance with this Policy and related cybersecurity controls; report findings and track remediation.</w:t>
            </w:r>
          </w:p>
        </w:tc>
      </w:tr>
      <w:tr>
        <w:tc>
          <w:tcPr>
            <w:tcW w:type="dxa" w:w="4320"/>
          </w:tcPr>
          <w:p>
            <w:r>
              <w:t>Business Unit Heads</w:t>
            </w:r>
          </w:p>
        </w:tc>
        <w:tc>
          <w:tcPr>
            <w:tcW w:type="dxa" w:w="4320"/>
          </w:tcPr>
          <w:p>
            <w:r>
              <w:t>Ensure cybersecurity requirements are implemented within their areas; assign system and process owners; support risk treatment and compliance activities.</w:t>
            </w:r>
          </w:p>
        </w:tc>
      </w:tr>
      <w:tr>
        <w:tc>
          <w:tcPr>
            <w:tcW w:type="dxa" w:w="4320"/>
          </w:tcPr>
          <w:p>
            <w:r>
              <w:t>System Owners</w:t>
            </w:r>
          </w:p>
        </w:tc>
        <w:tc>
          <w:tcPr>
            <w:tcW w:type="dxa" w:w="4320"/>
          </w:tcPr>
          <w:p>
            <w:r>
              <w:t>Classify systems; approve access; ensure security requirements are implemented; support risk assessments, testing, logging, backup, and remediation activities.</w:t>
            </w:r>
          </w:p>
        </w:tc>
      </w:tr>
      <w:tr>
        <w:tc>
          <w:tcPr>
            <w:tcW w:type="dxa" w:w="4320"/>
          </w:tcPr>
          <w:p>
            <w:r>
              <w:t>Data Owners</w:t>
            </w:r>
          </w:p>
        </w:tc>
        <w:tc>
          <w:tcPr>
            <w:tcW w:type="dxa" w:w="4320"/>
          </w:tcPr>
          <w:p>
            <w:r>
              <w:t>Classify data; define authorised use and access; approve data sharing; support personal data protection and retention requirements.</w:t>
            </w:r>
          </w:p>
        </w:tc>
      </w:tr>
      <w:tr>
        <w:tc>
          <w:tcPr>
            <w:tcW w:type="dxa" w:w="4320"/>
          </w:tcPr>
          <w:p>
            <w:r>
              <w:t>IT Operations</w:t>
            </w:r>
          </w:p>
        </w:tc>
        <w:tc>
          <w:tcPr>
            <w:tcW w:type="dxa" w:w="4320"/>
          </w:tcPr>
          <w:p>
            <w:r>
              <w:t>Implement and operate technical security controls; maintain secure configurations; patch systems; monitor infrastructure; support incident response and recovery.</w:t>
            </w:r>
          </w:p>
        </w:tc>
      </w:tr>
      <w:tr>
        <w:tc>
          <w:tcPr>
            <w:tcW w:type="dxa" w:w="4320"/>
          </w:tcPr>
          <w:p>
            <w:r>
              <w:t>Security Operations</w:t>
            </w:r>
          </w:p>
        </w:tc>
        <w:tc>
          <w:tcPr>
            <w:tcW w:type="dxa" w:w="4320"/>
          </w:tcPr>
          <w:p>
            <w:r>
              <w:t>Monitor security events; triage alerts; coordinate incident response; maintain detection capabilities; report significant incidents.</w:t>
            </w:r>
          </w:p>
        </w:tc>
      </w:tr>
      <w:tr>
        <w:tc>
          <w:tcPr>
            <w:tcW w:type="dxa" w:w="4320"/>
          </w:tcPr>
          <w:p>
            <w:r>
              <w:t>Procurement and Vendor Management</w:t>
            </w:r>
          </w:p>
        </w:tc>
        <w:tc>
          <w:tcPr>
            <w:tcW w:type="dxa" w:w="4320"/>
          </w:tcPr>
          <w:p>
            <w:r>
              <w:t>Ensure cybersecurity requirements are included in supplier onboarding, contracts, renewals, and performance reviews.</w:t>
            </w:r>
          </w:p>
        </w:tc>
      </w:tr>
      <w:tr>
        <w:tc>
          <w:tcPr>
            <w:tcW w:type="dxa" w:w="4320"/>
          </w:tcPr>
          <w:p>
            <w:r>
              <w:t>Human Resources</w:t>
            </w:r>
          </w:p>
        </w:tc>
        <w:tc>
          <w:tcPr>
            <w:tcW w:type="dxa" w:w="4320"/>
          </w:tcPr>
          <w:p>
            <w:r>
              <w:t>Support onboarding and offboarding controls; coordinate training completion; enforce disciplinary processes where required.</w:t>
            </w:r>
          </w:p>
        </w:tc>
      </w:tr>
      <w:tr>
        <w:tc>
          <w:tcPr>
            <w:tcW w:type="dxa" w:w="4320"/>
          </w:tcPr>
          <w:p>
            <w:r>
              <w:t>Employees, Contractors, and Users</w:t>
            </w:r>
          </w:p>
        </w:tc>
        <w:tc>
          <w:tcPr>
            <w:tcW w:type="dxa" w:w="4320"/>
          </w:tcPr>
          <w:p>
            <w:r>
              <w:t>Comply with this Policy; protect personal data and information assets; complete required training; report incidents and weaknesses promptly.</w:t>
            </w:r>
          </w:p>
        </w:tc>
      </w:tr>
      <w:tr>
        <w:tc>
          <w:tcPr>
            <w:tcW w:type="dxa" w:w="4320"/>
          </w:tcPr>
          <w:p>
            <w:r>
              <w:t>Third Parties and Processors</w:t>
            </w:r>
          </w:p>
        </w:tc>
        <w:tc>
          <w:tcPr>
            <w:tcW w:type="dxa" w:w="4320"/>
          </w:tcPr>
          <w:p>
            <w:r>
              <w:t>Comply with contractual cybersecurity requirements; protect personal data; notify [Organisation Name] of incidents; support audits, assessments, and remediation activities.</w:t>
            </w:r>
          </w:p>
        </w:tc>
      </w:tr>
    </w:tbl>
    <w:p>
      <w:pPr>
        <w:pStyle w:val="Heading2"/>
      </w:pPr>
      <w:r>
        <w:t>Compliance, Monitoring &amp; Enforcement</w:t>
      </w:r>
    </w:p>
    <w:p>
      <w:r>
        <w:t>Compliance with this Policy is mandatory. [Organisation Name] shall monitor, test, and enforce compliance through governance reviews, control self-assessments, technical monitoring, internal audits, third-party reviews, risk assessments, vulnerability assessments, incident reviews, and management reporting.</w:t>
      </w:r>
    </w:p>
    <w:p>
      <w:r>
        <w:t>The Information Security function shall maintain a compliance monitoring programme that includes:</w:t>
      </w:r>
    </w:p>
    <w:p>
      <w:pPr>
        <w:pStyle w:val="ListBullet"/>
      </w:pPr>
      <w:r>
        <w:t>Periodic assessment of alignment with applicable National Cybersecurity Authority requirements.</w:t>
      </w:r>
    </w:p>
    <w:p>
      <w:pPr>
        <w:pStyle w:val="ListBullet"/>
      </w:pPr>
      <w:r>
        <w:t>Review of control implementation and operating effectiveness.</w:t>
      </w:r>
    </w:p>
    <w:p>
      <w:pPr>
        <w:pStyle w:val="ListBullet"/>
      </w:pPr>
      <w:r>
        <w:t>Monitoring of remediation actions, exceptions, and risk acceptances.</w:t>
      </w:r>
    </w:p>
    <w:p>
      <w:pPr>
        <w:pStyle w:val="ListBullet"/>
      </w:pPr>
      <w:r>
        <w:t>Reporting of non-compliance to accountable owners and management.</w:t>
      </w:r>
    </w:p>
    <w:p>
      <w:pPr>
        <w:pStyle w:val="ListBullet"/>
      </w:pPr>
      <w:r>
        <w:t>Escalation of overdue or high-risk issues to senior governance forums.</w:t>
      </w:r>
    </w:p>
    <w:p>
      <w:pPr>
        <w:pStyle w:val="ListBullet"/>
      </w:pPr>
      <w:r>
        <w:t>Coordination with Privacy, Legal, Compliance, and Internal Audit where personal data or regulatory obligations are affected.</w:t>
      </w:r>
    </w:p>
    <w:p>
      <w:r>
        <w:t>Minimum monitoring activities shall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Activity</w:t>
            </w:r>
          </w:p>
        </w:tc>
        <w:tc>
          <w:tcPr>
            <w:tcW w:type="dxa" w:w="2880"/>
          </w:tcPr>
          <w:p>
            <w:r>
              <w:t>Frequency</w:t>
            </w:r>
          </w:p>
        </w:tc>
        <w:tc>
          <w:tcPr>
            <w:tcW w:type="dxa" w:w="2880"/>
          </w:tcPr>
          <w:p>
            <w:r>
              <w:t>Responsible Function</w:t>
            </w:r>
          </w:p>
        </w:tc>
      </w:tr>
      <w:tr>
        <w:tc>
          <w:tcPr>
            <w:tcW w:type="dxa" w:w="2880"/>
          </w:tcPr>
          <w:p>
            <w:r>
              <w:t>Review of applicable cybersecurity standards and directives</w:t>
            </w:r>
          </w:p>
        </w:tc>
        <w:tc>
          <w:tcPr>
            <w:tcW w:type="dxa" w:w="2880"/>
          </w:tcPr>
          <w:p>
            <w:r>
              <w:t>Quarterly</w:t>
            </w:r>
          </w:p>
        </w:tc>
        <w:tc>
          <w:tcPr>
            <w:tcW w:type="dxa" w:w="2880"/>
          </w:tcPr>
          <w:p>
            <w:r>
              <w:t>Information Security and Compliance</w:t>
            </w:r>
          </w:p>
        </w:tc>
      </w:tr>
      <w:tr>
        <w:tc>
          <w:tcPr>
            <w:tcW w:type="dxa" w:w="2880"/>
          </w:tcPr>
          <w:p>
            <w:r>
              <w:t>Cybersecurity risk register review</w:t>
            </w:r>
          </w:p>
        </w:tc>
        <w:tc>
          <w:tcPr>
            <w:tcW w:type="dxa" w:w="2880"/>
          </w:tcPr>
          <w:p>
            <w:r>
              <w:t>Monthly</w:t>
            </w:r>
          </w:p>
        </w:tc>
        <w:tc>
          <w:tcPr>
            <w:tcW w:type="dxa" w:w="2880"/>
          </w:tcPr>
          <w:p>
            <w:r>
              <w:t>Information Security and Risk Management</w:t>
            </w:r>
          </w:p>
        </w:tc>
      </w:tr>
      <w:tr>
        <w:tc>
          <w:tcPr>
            <w:tcW w:type="dxa" w:w="2880"/>
          </w:tcPr>
          <w:p>
            <w:r>
              <w:t>Vulnerability and patch compliance reporting</w:t>
            </w:r>
          </w:p>
        </w:tc>
        <w:tc>
          <w:tcPr>
            <w:tcW w:type="dxa" w:w="2880"/>
          </w:tcPr>
          <w:p>
            <w:r>
              <w:t>Monthly</w:t>
            </w:r>
          </w:p>
        </w:tc>
        <w:tc>
          <w:tcPr>
            <w:tcW w:type="dxa" w:w="2880"/>
          </w:tcPr>
          <w:p>
            <w:r>
              <w:t>IT Operations and Information Security</w:t>
            </w:r>
          </w:p>
        </w:tc>
      </w:tr>
      <w:tr>
        <w:tc>
          <w:tcPr>
            <w:tcW w:type="dxa" w:w="2880"/>
          </w:tcPr>
          <w:p>
            <w:r>
              <w:t>Privileged access review</w:t>
            </w:r>
          </w:p>
        </w:tc>
        <w:tc>
          <w:tcPr>
            <w:tcW w:type="dxa" w:w="2880"/>
          </w:tcPr>
          <w:p>
            <w:r>
              <w:t>Quarterly</w:t>
            </w:r>
          </w:p>
        </w:tc>
        <w:tc>
          <w:tcPr>
            <w:tcW w:type="dxa" w:w="2880"/>
          </w:tcPr>
          <w:p>
            <w:r>
              <w:t>Identity and Access Management and System Owners</w:t>
            </w:r>
          </w:p>
        </w:tc>
      </w:tr>
      <w:tr>
        <w:tc>
          <w:tcPr>
            <w:tcW w:type="dxa" w:w="2880"/>
          </w:tcPr>
          <w:p>
            <w:r>
              <w:t>Third-party cybersecurity review for high-risk suppliers</w:t>
            </w:r>
          </w:p>
        </w:tc>
        <w:tc>
          <w:tcPr>
            <w:tcW w:type="dxa" w:w="2880"/>
          </w:tcPr>
          <w:p>
            <w:r>
              <w:t>At least annually</w:t>
            </w:r>
          </w:p>
        </w:tc>
        <w:tc>
          <w:tcPr>
            <w:tcW w:type="dxa" w:w="2880"/>
          </w:tcPr>
          <w:p>
            <w:r>
              <w:t>Vendor Management and Information Security</w:t>
            </w:r>
          </w:p>
        </w:tc>
      </w:tr>
      <w:tr>
        <w:tc>
          <w:tcPr>
            <w:tcW w:type="dxa" w:w="2880"/>
          </w:tcPr>
          <w:p>
            <w:r>
              <w:t>Security awareness completion review</w:t>
            </w:r>
          </w:p>
        </w:tc>
        <w:tc>
          <w:tcPr>
            <w:tcW w:type="dxa" w:w="2880"/>
          </w:tcPr>
          <w:p>
            <w:r>
              <w:t>Quarterly</w:t>
            </w:r>
          </w:p>
        </w:tc>
        <w:tc>
          <w:tcPr>
            <w:tcW w:type="dxa" w:w="2880"/>
          </w:tcPr>
          <w:p>
            <w:r>
              <w:t>Human Resources and Information Security</w:t>
            </w:r>
          </w:p>
        </w:tc>
      </w:tr>
      <w:tr>
        <w:tc>
          <w:tcPr>
            <w:tcW w:type="dxa" w:w="2880"/>
          </w:tcPr>
          <w:p>
            <w:r>
              <w:t>Cybersecurity incident trend review</w:t>
            </w:r>
          </w:p>
        </w:tc>
        <w:tc>
          <w:tcPr>
            <w:tcW w:type="dxa" w:w="2880"/>
          </w:tcPr>
          <w:p>
            <w:r>
              <w:t>Monthly</w:t>
            </w:r>
          </w:p>
        </w:tc>
        <w:tc>
          <w:tcPr>
            <w:tcW w:type="dxa" w:w="2880"/>
          </w:tcPr>
          <w:p>
            <w:r>
              <w:t>Security Operations</w:t>
            </w:r>
          </w:p>
        </w:tc>
      </w:tr>
      <w:tr>
        <w:tc>
          <w:tcPr>
            <w:tcW w:type="dxa" w:w="2880"/>
          </w:tcPr>
          <w:p>
            <w:r>
              <w:t>Policy compliance assessment</w:t>
            </w:r>
          </w:p>
        </w:tc>
        <w:tc>
          <w:tcPr>
            <w:tcW w:type="dxa" w:w="2880"/>
          </w:tcPr>
          <w:p>
            <w:r>
              <w:t>At least annually</w:t>
            </w:r>
          </w:p>
        </w:tc>
        <w:tc>
          <w:tcPr>
            <w:tcW w:type="dxa" w:w="2880"/>
          </w:tcPr>
          <w:p>
            <w:r>
              <w:t>Information Security</w:t>
            </w:r>
          </w:p>
        </w:tc>
      </w:tr>
      <w:tr>
        <w:tc>
          <w:tcPr>
            <w:tcW w:type="dxa" w:w="2880"/>
          </w:tcPr>
          <w:p>
            <w:r>
              <w:t>Independent audit or assurance review</w:t>
            </w:r>
          </w:p>
        </w:tc>
        <w:tc>
          <w:tcPr>
            <w:tcW w:type="dxa" w:w="2880"/>
          </w:tcPr>
          <w:p>
            <w:r>
              <w:t>According to audit plan</w:t>
            </w:r>
          </w:p>
        </w:tc>
        <w:tc>
          <w:tcPr>
            <w:tcW w:type="dxa" w:w="2880"/>
          </w:tcPr>
          <w:p>
            <w:r>
              <w:t>Internal Audit</w:t>
            </w:r>
          </w:p>
        </w:tc>
      </w:tr>
    </w:tbl>
    <w:p>
      <w:r>
        <w:t>Non-compliance with this Policy may result in one or more of the following actions:</w:t>
      </w:r>
    </w:p>
    <w:p>
      <w:pPr>
        <w:pStyle w:val="ListBullet"/>
      </w:pPr>
      <w:r>
        <w:t>Required remediation within a defined timeframe.</w:t>
      </w:r>
    </w:p>
    <w:p>
      <w:pPr>
        <w:pStyle w:val="ListBullet"/>
      </w:pPr>
      <w:r>
        <w:t>Increased monitoring or compensating controls.</w:t>
      </w:r>
    </w:p>
    <w:p>
      <w:pPr>
        <w:pStyle w:val="ListBullet"/>
      </w:pPr>
      <w:r>
        <w:t>Suspension or removal of system access.</w:t>
      </w:r>
    </w:p>
    <w:p>
      <w:pPr>
        <w:pStyle w:val="ListBullet"/>
      </w:pPr>
      <w:r>
        <w:t>Supplier corrective action or contractual remedies.</w:t>
      </w:r>
    </w:p>
    <w:p>
      <w:pPr>
        <w:pStyle w:val="ListBullet"/>
      </w:pPr>
      <w:r>
        <w:t>Formal risk escalation to senior management.</w:t>
      </w:r>
    </w:p>
    <w:p>
      <w:pPr>
        <w:pStyle w:val="ListBullet"/>
      </w:pPr>
      <w:r>
        <w:t>Disciplinary action in accordance with [Organisation Name] human resources policies.</w:t>
      </w:r>
    </w:p>
    <w:p>
      <w:pPr>
        <w:pStyle w:val="ListBullet"/>
      </w:pPr>
      <w:r>
        <w:t>Legal or regulatory action where required.</w:t>
      </w:r>
    </w:p>
    <w:p>
      <w:pPr>
        <w:pStyle w:val="ListBullet"/>
      </w:pPr>
      <w:r>
        <w:t>Termination of employment, contract, or supplier relationship in serious cases.</w:t>
      </w:r>
    </w:p>
    <w:p>
      <w:r>
        <w:t>Any suspected violation of this Policy shall be reported to the Information Security function, Compliance function, Human Resources, or through [Organisation Name] approved reporting channel.</w:t>
      </w:r>
    </w:p>
    <w:p>
      <w:pPr>
        <w:pStyle w:val="Heading2"/>
      </w:pPr>
      <w:r>
        <w:t>Exceptions</w:t>
      </w:r>
    </w:p>
    <w:p>
      <w:r>
        <w:t>Exceptions to this Policy shall be permitted only where there is a documented business need and where the associated risk has been assessed, approved, and controlled.</w:t>
      </w:r>
    </w:p>
    <w:p>
      <w:r>
        <w:t>All exception requests shall include:</w:t>
      </w:r>
    </w:p>
    <w:p>
      <w:pPr>
        <w:pStyle w:val="ListBullet"/>
      </w:pPr>
      <w:r>
        <w:t>The specific Policy requirement for which an exception is requested.</w:t>
      </w:r>
    </w:p>
    <w:p>
      <w:pPr>
        <w:pStyle w:val="ListBullet"/>
      </w:pPr>
      <w:r>
        <w:t>Business justification for the exception.</w:t>
      </w:r>
    </w:p>
    <w:p>
      <w:pPr>
        <w:pStyle w:val="ListBullet"/>
      </w:pPr>
      <w:r>
        <w:t>Affected systems, data, processes, users, locations, or third parties.</w:t>
      </w:r>
    </w:p>
    <w:p>
      <w:pPr>
        <w:pStyle w:val="ListBullet"/>
      </w:pPr>
      <w:r>
        <w:t>Whether personal data or sensitive personal data is affected.</w:t>
      </w:r>
    </w:p>
    <w:p>
      <w:pPr>
        <w:pStyle w:val="ListBullet"/>
      </w:pPr>
      <w:r>
        <w:t>Risk assessment and potential impact.</w:t>
      </w:r>
    </w:p>
    <w:p>
      <w:pPr>
        <w:pStyle w:val="ListBullet"/>
      </w:pPr>
      <w:r>
        <w:t>Proposed compensating controls.</w:t>
      </w:r>
    </w:p>
    <w:p>
      <w:pPr>
        <w:pStyle w:val="ListBullet"/>
      </w:pPr>
      <w:r>
        <w:t>Requested duration and expiry date.</w:t>
      </w:r>
    </w:p>
    <w:p>
      <w:pPr>
        <w:pStyle w:val="ListBullet"/>
      </w:pPr>
      <w:r>
        <w:t>Remediation or transition plan.</w:t>
      </w:r>
    </w:p>
    <w:p>
      <w:pPr>
        <w:pStyle w:val="ListBullet"/>
      </w:pPr>
      <w:r>
        <w:t>Approval from the relevant control owner, risk owner, Information Security, and other required stakeholders.</w:t>
      </w:r>
    </w:p>
    <w:p>
      <w:r>
        <w:t>Exceptions shall not be open-ended. Each exception shall have an expiry date and shall be reviewed before renewal. Exceptions involving high or critical risk, personal data exposure, regulatory impact, or significant deviation from National Cybersecurity Authority expectations shall require senior management approval.</w:t>
      </w:r>
    </w:p>
    <w:p>
      <w:r>
        <w:t>Exception records shall be maintained in an approved register.</w:t>
      </w:r>
    </w:p>
    <w:tbl>
      <w:tblPr>
        <w:tblStyle w:val="TableGrid"/>
        <w:tblW w:type="auto" w:w="0"/>
        <w:tblLook w:firstColumn="1" w:firstRow="1" w:lastColumn="0" w:lastRow="0" w:noHBand="0" w:noVBand="1" w:val="04A0"/>
      </w:tblPr>
      <w:tblGrid>
        <w:gridCol w:w="4320"/>
        <w:gridCol w:w="4320"/>
      </w:tblGrid>
      <w:tr>
        <w:tc>
          <w:tcPr>
            <w:tcW w:type="dxa" w:w="4320"/>
          </w:tcPr>
          <w:p>
            <w:r>
              <w:t>Exception Field</w:t>
            </w:r>
          </w:p>
        </w:tc>
        <w:tc>
          <w:tcPr>
            <w:tcW w:type="dxa" w:w="4320"/>
          </w:tcPr>
          <w:p>
            <w:r>
              <w:t>Required Information</w:t>
            </w:r>
          </w:p>
        </w:tc>
      </w:tr>
      <w:tr>
        <w:tc>
          <w:tcPr>
            <w:tcW w:type="dxa" w:w="4320"/>
          </w:tcPr>
          <w:p>
            <w:r>
              <w:t>Exception ID</w:t>
            </w:r>
          </w:p>
        </w:tc>
        <w:tc>
          <w:tcPr>
            <w:tcW w:type="dxa" w:w="4320"/>
          </w:tcPr>
          <w:p>
            <w:r>
              <w:t>[Exception ID]</w:t>
            </w:r>
          </w:p>
        </w:tc>
      </w:tr>
      <w:tr>
        <w:tc>
          <w:tcPr>
            <w:tcW w:type="dxa" w:w="4320"/>
          </w:tcPr>
          <w:p>
            <w:r>
              <w:t>Requesting Business Unit</w:t>
            </w:r>
          </w:p>
        </w:tc>
        <w:tc>
          <w:tcPr>
            <w:tcW w:type="dxa" w:w="4320"/>
          </w:tcPr>
          <w:p>
            <w:r>
              <w:t>[Business Unit]</w:t>
            </w:r>
          </w:p>
        </w:tc>
      </w:tr>
      <w:tr>
        <w:tc>
          <w:tcPr>
            <w:tcW w:type="dxa" w:w="4320"/>
          </w:tcPr>
          <w:p>
            <w:r>
              <w:t>Policy Requirement</w:t>
            </w:r>
          </w:p>
        </w:tc>
        <w:tc>
          <w:tcPr>
            <w:tcW w:type="dxa" w:w="4320"/>
          </w:tcPr>
          <w:p>
            <w:r>
              <w:t>[Requirement Description]</w:t>
            </w:r>
          </w:p>
        </w:tc>
      </w:tr>
      <w:tr>
        <w:tc>
          <w:tcPr>
            <w:tcW w:type="dxa" w:w="4320"/>
          </w:tcPr>
          <w:p>
            <w:r>
              <w:t>Affected Asset or Process</w:t>
            </w:r>
          </w:p>
        </w:tc>
        <w:tc>
          <w:tcPr>
            <w:tcW w:type="dxa" w:w="4320"/>
          </w:tcPr>
          <w:p>
            <w:r>
              <w:t>[System, Service, Process, or Supplier]</w:t>
            </w:r>
          </w:p>
        </w:tc>
      </w:tr>
      <w:tr>
        <w:tc>
          <w:tcPr>
            <w:tcW w:type="dxa" w:w="4320"/>
          </w:tcPr>
          <w:p>
            <w:r>
              <w:t>Personal Data Impact</w:t>
            </w:r>
          </w:p>
        </w:tc>
        <w:tc>
          <w:tcPr>
            <w:tcW w:type="dxa" w:w="4320"/>
          </w:tcPr>
          <w:p>
            <w:r>
              <w:t>[Yes/No and Description]</w:t>
            </w:r>
          </w:p>
        </w:tc>
      </w:tr>
      <w:tr>
        <w:tc>
          <w:tcPr>
            <w:tcW w:type="dxa" w:w="4320"/>
          </w:tcPr>
          <w:p>
            <w:r>
              <w:t>Risk Rating</w:t>
            </w:r>
          </w:p>
        </w:tc>
        <w:tc>
          <w:tcPr>
            <w:tcW w:type="dxa" w:w="4320"/>
          </w:tcPr>
          <w:p>
            <w:r>
              <w:t>[Low/Medium/High/Critical]</w:t>
            </w:r>
          </w:p>
        </w:tc>
      </w:tr>
      <w:tr>
        <w:tc>
          <w:tcPr>
            <w:tcW w:type="dxa" w:w="4320"/>
          </w:tcPr>
          <w:p>
            <w:r>
              <w:t>Compensating Controls</w:t>
            </w:r>
          </w:p>
        </w:tc>
        <w:tc>
          <w:tcPr>
            <w:tcW w:type="dxa" w:w="4320"/>
          </w:tcPr>
          <w:p>
            <w:r>
              <w:t>[Controls]</w:t>
            </w:r>
          </w:p>
        </w:tc>
      </w:tr>
      <w:tr>
        <w:tc>
          <w:tcPr>
            <w:tcW w:type="dxa" w:w="4320"/>
          </w:tcPr>
          <w:p>
            <w:r>
              <w:t>Approval Authority</w:t>
            </w:r>
          </w:p>
        </w:tc>
        <w:tc>
          <w:tcPr>
            <w:tcW w:type="dxa" w:w="4320"/>
          </w:tcPr>
          <w:p>
            <w:r>
              <w:t>[Approver Name or Role]</w:t>
            </w:r>
          </w:p>
        </w:tc>
      </w:tr>
      <w:tr>
        <w:tc>
          <w:tcPr>
            <w:tcW w:type="dxa" w:w="4320"/>
          </w:tcPr>
          <w:p>
            <w:r>
              <w:t>Expiry Date</w:t>
            </w:r>
          </w:p>
        </w:tc>
        <w:tc>
          <w:tcPr>
            <w:tcW w:type="dxa" w:w="4320"/>
          </w:tcPr>
          <w:p>
            <w:r>
              <w:t>[Date]</w:t>
            </w:r>
          </w:p>
        </w:tc>
      </w:tr>
      <w:tr>
        <w:tc>
          <w:tcPr>
            <w:tcW w:type="dxa" w:w="4320"/>
          </w:tcPr>
          <w:p>
            <w:r>
              <w:t>Remediation Plan</w:t>
            </w:r>
          </w:p>
        </w:tc>
        <w:tc>
          <w:tcPr>
            <w:tcW w:type="dxa" w:w="4320"/>
          </w:tcPr>
          <w:p>
            <w:r>
              <w:t>[Plan and Target Date]</w:t>
            </w:r>
          </w:p>
        </w:tc>
      </w:tr>
      <w:tr>
        <w:tc>
          <w:tcPr>
            <w:tcW w:type="dxa" w:w="4320"/>
          </w:tcPr>
          <w:p>
            <w:r>
              <w:t>Review Status</w:t>
            </w:r>
          </w:p>
        </w:tc>
        <w:tc>
          <w:tcPr>
            <w:tcW w:type="dxa" w:w="4320"/>
          </w:tcPr>
          <w:p>
            <w:r>
              <w:t>[Open/Approved/Rejected/Expired/Closed]</w:t>
            </w:r>
          </w:p>
        </w:tc>
      </w:tr>
    </w:tbl>
    <w:p>
      <w:r>
        <w:t>Emergency exceptions may be granted for urgent operational needs, provided that they are documented as soon as practicable, reviewed by Information Security, time-limited, and subject to retrospective approval.</w:t>
      </w:r>
    </w:p>
    <w:p>
      <w:pPr>
        <w:pStyle w:val="Heading2"/>
      </w:pPr>
      <w:r>
        <w:t>Review &amp; Maintenance</w:t>
      </w:r>
    </w:p>
    <w:p>
      <w:r>
        <w:t>This Policy shall be reviewed at least annually and whenever significant changes occur, including:</w:t>
      </w:r>
    </w:p>
    <w:p>
      <w:pPr>
        <w:pStyle w:val="ListBullet"/>
      </w:pPr>
      <w:r>
        <w:t>New or updated cybersecurity standards, directives, or guidance from Saudi authorities.</w:t>
      </w:r>
    </w:p>
    <w:p>
      <w:pPr>
        <w:pStyle w:val="ListBullet"/>
      </w:pPr>
      <w:r>
        <w:t>Changes to Saudi personal data protection obligations.</w:t>
      </w:r>
    </w:p>
    <w:p>
      <w:pPr>
        <w:pStyle w:val="ListBullet"/>
      </w:pPr>
      <w:r>
        <w:t>Significant changes to [Organisation Name] business operations, systems, data processing activities, or technology architecture.</w:t>
      </w:r>
    </w:p>
    <w:p>
      <w:pPr>
        <w:pStyle w:val="ListBullet"/>
      </w:pPr>
      <w:r>
        <w:t>Major cybersecurity incidents, personal data breaches, audit findings, or regulatory findings.</w:t>
      </w:r>
    </w:p>
    <w:p>
      <w:pPr>
        <w:pStyle w:val="ListBullet"/>
      </w:pPr>
      <w:r>
        <w:t>Material changes in threat landscape, risk exposure, outsourcing arrangements, or cloud adoption.</w:t>
      </w:r>
    </w:p>
    <w:p>
      <w:pPr>
        <w:pStyle w:val="ListBullet"/>
      </w:pPr>
      <w:r>
        <w:t>Organisational restructuring or changes in accountability.</w:t>
      </w:r>
    </w:p>
    <w:p>
      <w:r>
        <w:t>The Chief Information Security Officer is responsible for maintaining this Policy and coordinating reviews with relevant stakeholders, including Privacy, Legal, Compliance, Risk Management, Internal Audit, IT, Human Resources, Procurement, and business representatives.</w:t>
      </w:r>
    </w:p>
    <w:p>
      <w:r>
        <w:t>Policy updates shall be approved according to [Organisation Name] governance requirements. Superseded versions shall be retained in accordance with document retention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Description of Change</w:t>
            </w:r>
          </w:p>
        </w:tc>
        <w:tc>
          <w:tcPr>
            <w:tcW w:type="dxa" w:w="2160"/>
          </w:tcPr>
          <w:p>
            <w:r>
              <w:t>Approved By</w:t>
            </w:r>
          </w:p>
        </w:tc>
      </w:tr>
      <w:tr>
        <w:tc>
          <w:tcPr>
            <w:tcW w:type="dxa" w:w="2160"/>
          </w:tcPr>
          <w:p>
            <w:r>
              <w:t>1.0</w:t>
            </w:r>
          </w:p>
        </w:tc>
        <w:tc>
          <w:tcPr>
            <w:tcW w:type="dxa" w:w="2160"/>
          </w:tcPr>
          <w:p>
            <w:r>
              <w:t>[Approval Date]</w:t>
            </w:r>
          </w:p>
        </w:tc>
        <w:tc>
          <w:tcPr>
            <w:tcW w:type="dxa" w:w="2160"/>
          </w:tcPr>
          <w:p>
            <w:r>
              <w:t>Initial release</w:t>
            </w:r>
          </w:p>
        </w:tc>
        <w:tc>
          <w:tcPr>
            <w:tcW w:type="dxa" w:w="2160"/>
          </w:tcPr>
          <w:p>
            <w:r>
              <w:t>[Approver Name or Committee]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