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Encryption Configuration Evidence</w:t>
      </w:r>
    </w:p>
    <w:p>
      <w:pPr>
        <w:pStyle w:val="Heading2"/>
      </w:pPr>
      <w:r>
        <w:t>What This Evidences</w:t>
      </w:r>
    </w:p>
    <w:p>
      <w:r>
        <w:t>Encryption Configuration Evidence demonstrates that [Organisation Name] has configured encryption to protect sensitive data both at rest and in transit, supporting SOC 2 CC6.7 expectations for protecting information during storage, processing, and transmission.</w:t>
      </w:r>
    </w:p>
    <w:p>
      <w:r>
        <w:t>This evidence is not authored manually. It must be collected from [Organisation Name]’s operational systems, cloud platforms, security tools, infrastructure consoles, or configuration management sources. The purpose is to show actual implemented encryption settings, not a policy statement or intended design.</w:t>
      </w:r>
    </w:p>
    <w:p>
      <w:pPr>
        <w:pStyle w:val="Heading2"/>
      </w:pPr>
      <w:r>
        <w:t>Where To Collect It From</w:t>
      </w:r>
    </w:p>
    <w:p>
      <w:r>
        <w:t>Collect this evidence from the systems that enforce or record encryption configuration, typically including:</w:t>
      </w:r>
    </w:p>
    <w:p>
      <w:pPr>
        <w:pStyle w:val="ListBullet"/>
      </w:pPr>
      <w:r>
        <w:t>Cloud provider consoles such as [AWS Console], [Azure Portal], or [Google Cloud Console]</w:t>
      </w:r>
    </w:p>
    <w:p>
      <w:pPr>
        <w:pStyle w:val="ListBullet"/>
      </w:pPr>
      <w:r>
        <w:t>Infrastructure-as-code repositories such as [GitHub], [GitLab], or [Bitbucket]</w:t>
      </w:r>
    </w:p>
    <w:p>
      <w:pPr>
        <w:pStyle w:val="ListBullet"/>
      </w:pPr>
      <w:r>
        <w:t>Configuration management or posture management tools such as [CSPM Tool], [Terraform Cloud], or [Ansible Tower]</w:t>
      </w:r>
    </w:p>
    <w:p>
      <w:pPr>
        <w:pStyle w:val="ListBullet"/>
      </w:pPr>
      <w:r>
        <w:t>Database administration consoles such as [RDS Console], [Azure SQL], [Cloud SQL], [MongoDB Atlas], or [Snowflake]</w:t>
      </w:r>
    </w:p>
    <w:p>
      <w:pPr>
        <w:pStyle w:val="ListBullet"/>
      </w:pPr>
      <w:r>
        <w:t>Storage service consoles such as [S3], [Azure Storage], [Google Cloud Storage], or [Backup Platform]</w:t>
      </w:r>
    </w:p>
    <w:p>
      <w:pPr>
        <w:pStyle w:val="ListBullet"/>
      </w:pPr>
      <w:r>
        <w:t>Certificate and TLS management tools such as [Certificate Manager], [Load Balancer Console], [CDN Console], or [Web Application Firewall]</w:t>
      </w:r>
    </w:p>
    <w:p>
      <w:pPr>
        <w:pStyle w:val="ListBullet"/>
      </w:pPr>
      <w:r>
        <w:t>Endpoint or server management platforms such as [MDM/EDR Tool], where disk encryption is centrally enforced</w:t>
      </w:r>
    </w:p>
    <w:p>
      <w:pPr>
        <w:pStyle w:val="ListBullet"/>
      </w:pPr>
      <w:r>
        <w:t>SIEM or log store such as [SIEM Tool], if encryption configuration changes are logged there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Identify the in-scope systems handling confidential, customer, production, or regulated data in [Asset Inventory/CMDB].</w:t>
      </w:r>
    </w:p>
    <w:p>
      <w:pPr>
        <w:pStyle w:val="ListBullet"/>
      </w:pPr>
      <w:r>
        <w:t>For each in-scope data store, open the relevant platform console or configuration tool.</w:t>
      </w:r>
    </w:p>
    <w:p>
      <w:pPr>
        <w:pStyle w:val="ListBullet"/>
      </w:pPr>
      <w:r>
        <w:t>Export or screenshot the encryption-at-rest configuration showing encryption is enabled.</w:t>
      </w:r>
    </w:p>
    <w:p>
      <w:pPr>
        <w:pStyle w:val="ListBullet"/>
      </w:pPr>
      <w:r>
        <w:t>For cloud storage, databases, backups, and volumes, capture the encryption status and key management configuration.</w:t>
      </w:r>
    </w:p>
    <w:p>
      <w:pPr>
        <w:pStyle w:val="ListBullet"/>
      </w:pPr>
      <w:r>
        <w:t>For systems using customer-managed keys, capture the key identifier, key status, rotation setting, and access policy summary.</w:t>
      </w:r>
    </w:p>
    <w:p>
      <w:pPr>
        <w:pStyle w:val="ListBullet"/>
      </w:pPr>
      <w:r>
        <w:t>For encryption in transit, open the configuration for public endpoints, load balancers, APIs, ingress controllers, CDNs, VPNs, or service mesh components.</w:t>
      </w:r>
    </w:p>
    <w:p>
      <w:pPr>
        <w:pStyle w:val="ListBullet"/>
      </w:pPr>
      <w:r>
        <w:t>Capture TLS/HTTPS enforcement settings, accepted protocol versions, certificate details, and redirect or secure transport rules.</w:t>
      </w:r>
    </w:p>
    <w:p>
      <w:pPr>
        <w:pStyle w:val="ListBullet"/>
      </w:pPr>
      <w:r>
        <w:t>Where available, export configuration reports from [CSPM Tool], [Cloud Security Dashboard], or [Infrastructure-as-Code Pipeline].</w:t>
      </w:r>
    </w:p>
    <w:p>
      <w:pPr>
        <w:pStyle w:val="ListBullet"/>
      </w:pPr>
      <w:r>
        <w:t>Record the collection date, collector name, source system, and scope covered.</w:t>
      </w:r>
    </w:p>
    <w:p>
      <w:pPr>
        <w:pStyle w:val="ListBullet"/>
      </w:pPr>
      <w:r>
        <w:t>Save the exported files or screenshots to the approved evidence repository.</w:t>
      </w:r>
    </w:p>
    <w:p>
      <w:pPr>
        <w:pStyle w:val="Heading2"/>
      </w:pPr>
      <w:r>
        <w:t>What To Capture</w:t>
      </w:r>
    </w:p>
    <w:p>
      <w:r>
        <w:t>Capture enough detail to prove actual encryption configuration, including:</w:t>
      </w:r>
    </w:p>
    <w:p>
      <w:pPr>
        <w:pStyle w:val="ListBullet"/>
      </w:pPr>
      <w:r>
        <w:t>System, service, application, database, bucket, volume, endpoint, or asset name</w:t>
      </w:r>
    </w:p>
    <w:p>
      <w:pPr>
        <w:pStyle w:val="ListBullet"/>
      </w:pPr>
      <w:r>
        <w:t>Environment, such as production, staging, or corporate</w:t>
      </w:r>
    </w:p>
    <w:p>
      <w:pPr>
        <w:pStyle w:val="ListBullet"/>
      </w:pPr>
      <w:r>
        <w:t>Encryption-at-rest status: enabled/disabled</w:t>
      </w:r>
    </w:p>
    <w:p>
      <w:pPr>
        <w:pStyle w:val="ListBullet"/>
      </w:pPr>
      <w:r>
        <w:t>Encryption algorithm or service-managed encryption setting, where visible</w:t>
      </w:r>
    </w:p>
    <w:p>
      <w:pPr>
        <w:pStyle w:val="ListBullet"/>
      </w:pPr>
      <w:r>
        <w:t>Key type: platform-managed key, customer-managed key, or HSM-backed key</w:t>
      </w:r>
    </w:p>
    <w:p>
      <w:pPr>
        <w:pStyle w:val="ListBullet"/>
      </w:pPr>
      <w:r>
        <w:t>Key identifier, alias, or name, with sensitive secrets redacted</w:t>
      </w:r>
    </w:p>
    <w:p>
      <w:pPr>
        <w:pStyle w:val="ListBullet"/>
      </w:pPr>
      <w:r>
        <w:t>Key status, rotation setting, and last rotation date, if applicable</w:t>
      </w:r>
    </w:p>
    <w:p>
      <w:pPr>
        <w:pStyle w:val="ListBullet"/>
      </w:pPr>
      <w:r>
        <w:t>Storage/database/backup encryption settings</w:t>
      </w:r>
    </w:p>
    <w:p>
      <w:pPr>
        <w:pStyle w:val="ListBullet"/>
      </w:pPr>
      <w:r>
        <w:t>Disk or volume encryption status for servers and endpoints</w:t>
      </w:r>
    </w:p>
    <w:p>
      <w:pPr>
        <w:pStyle w:val="ListBullet"/>
      </w:pPr>
      <w:r>
        <w:t>TLS/HTTPS enforcement status for web, API, and service endpoints</w:t>
      </w:r>
    </w:p>
    <w:p>
      <w:pPr>
        <w:pStyle w:val="ListBullet"/>
      </w:pPr>
      <w:r>
        <w:t>TLS certificate issuer, subject/common name, expiry date, and covered hostname</w:t>
      </w:r>
    </w:p>
    <w:p>
      <w:pPr>
        <w:pStyle w:val="ListBullet"/>
      </w:pPr>
      <w:r>
        <w:t>Minimum TLS version and disabled legacy protocols, where visible</w:t>
      </w:r>
    </w:p>
    <w:p>
      <w:pPr>
        <w:pStyle w:val="ListBullet"/>
      </w:pPr>
      <w:r>
        <w:t>Security group, listener, ingress, or load balancer rule enforcing secure transport</w:t>
      </w:r>
    </w:p>
    <w:p>
      <w:pPr>
        <w:pStyle w:val="ListBullet"/>
      </w:pPr>
      <w:r>
        <w:t>Timestamp of export or screenshot</w:t>
      </w:r>
    </w:p>
    <w:p>
      <w:pPr>
        <w:pStyle w:val="ListBullet"/>
      </w:pPr>
      <w:r>
        <w:t>Name of source system/tool used to collect the evidence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Frequency: At least quarterly, and after material infrastructure, application, network, certificate, or key management changes.</w:t>
      </w:r>
    </w:p>
    <w:p>
      <w:pPr>
        <w:pStyle w:val="ListBullet"/>
      </w:pPr>
      <w:r>
        <w:t>Primary owner: [Security Engineering Owner] or [Cloud Platform Owner].</w:t>
      </w:r>
    </w:p>
    <w:p>
      <w:pPr>
        <w:pStyle w:val="ListBullet"/>
      </w:pPr>
      <w:r>
        <w:t>Supporting owners: [Infrastructure Owner], [DevOps Owner], [Database Owner], and [IT Operations Owner].</w:t>
      </w:r>
    </w:p>
    <w:p>
      <w:pPr>
        <w:pStyle w:val="ListBullet"/>
      </w:pPr>
      <w:r>
        <w:t>Review owner: [GRC Owner] or [Compliance Owner].</w:t>
      </w:r>
    </w:p>
    <w:p>
      <w:pPr>
        <w:pStyle w:val="Heading2"/>
      </w:pPr>
      <w:r>
        <w:t>Retention &amp; Storage</w:t>
      </w:r>
    </w:p>
    <w:p>
      <w:r>
        <w:t>Store collected evidence in [Evidence Repository/GRC Tool] under the SOC 2 evidence folder for the relevant audit period.</w:t>
      </w:r>
    </w:p>
    <w:p>
      <w:r>
        <w:t>Evidence should be:</w:t>
      </w:r>
    </w:p>
    <w:p>
      <w:pPr>
        <w:pStyle w:val="ListBullet"/>
      </w:pPr>
      <w:r>
        <w:t>Read-only or access-controlled after upload</w:t>
      </w:r>
    </w:p>
    <w:p>
      <w:pPr>
        <w:pStyle w:val="ListBullet"/>
      </w:pPr>
      <w:r>
        <w:t>Retained for at least [Retention Period], or longer if required by customer, legal, or audit obligations</w:t>
      </w:r>
    </w:p>
    <w:p>
      <w:pPr>
        <w:pStyle w:val="ListBullet"/>
      </w:pPr>
      <w:r>
        <w:t>Linked to the applicable system, control, collection date, and owner</w:t>
      </w:r>
    </w:p>
    <w:p>
      <w:pPr>
        <w:pStyle w:val="ListBullet"/>
      </w:pPr>
      <w:r>
        <w:t>Protected from unauthorised modification or deletion</w:t>
      </w:r>
    </w:p>
    <w:p>
      <w:pPr>
        <w:pStyle w:val="ListBullet"/>
      </w:pPr>
      <w:r>
        <w:t>Redacted only for secrets, private keys, passwords, tokens, or sensitive connection strings</w:t>
      </w:r>
    </w:p>
    <w:p>
      <w:r>
        <w:t>Do not store private encryption keys, plaintext secrets, or credentials as evidence.</w:t>
      </w:r>
    </w:p>
    <w:p>
      <w:pPr>
        <w:pStyle w:val="Heading2"/>
      </w:pPr>
      <w:r>
        <w:t>Acceptance Criteria</w:t>
      </w:r>
    </w:p>
    <w:p>
      <w:r>
        <w:t>An auditor will typically accept the evidence if it:</w:t>
      </w:r>
    </w:p>
    <w:p>
      <w:pPr>
        <w:pStyle w:val="ListBullet"/>
      </w:pPr>
      <w:r>
        <w:t>Comes directly from operational systems, not a manually created description</w:t>
      </w:r>
    </w:p>
    <w:p>
      <w:pPr>
        <w:pStyle w:val="ListBullet"/>
      </w:pPr>
      <w:r>
        <w:t>Covers all material in-scope production systems that store, process, transmit, or back up sensitive data</w:t>
      </w:r>
    </w:p>
    <w:p>
      <w:pPr>
        <w:pStyle w:val="ListBullet"/>
      </w:pPr>
      <w:r>
        <w:t>Shows encryption at rest is enabled for relevant databases, storage, backups, disks, and volumes</w:t>
      </w:r>
    </w:p>
    <w:p>
      <w:pPr>
        <w:pStyle w:val="ListBullet"/>
      </w:pPr>
      <w:r>
        <w:t>Shows encryption in transit is enforced for externally exposed and sensitive internal communications</w:t>
      </w:r>
    </w:p>
    <w:p>
      <w:pPr>
        <w:pStyle w:val="ListBullet"/>
      </w:pPr>
      <w:r>
        <w:t>Includes clear system names, environments, timestamps, and source tools</w:t>
      </w:r>
    </w:p>
    <w:p>
      <w:pPr>
        <w:pStyle w:val="ListBullet"/>
      </w:pPr>
      <w:r>
        <w:t>Demonstrates appropriate key management, including key status and rotation where applicable</w:t>
      </w:r>
    </w:p>
    <w:p>
      <w:pPr>
        <w:pStyle w:val="ListBullet"/>
      </w:pPr>
      <w:r>
        <w:t>Shows TLS certificates are valid and not expired at the time of collection</w:t>
      </w:r>
    </w:p>
    <w:p>
      <w:pPr>
        <w:pStyle w:val="ListBullet"/>
      </w:pPr>
      <w:r>
        <w:t>Confirms weak or obsolete transport protocols are not permitted where configurable</w:t>
      </w:r>
    </w:p>
    <w:p>
      <w:pPr>
        <w:pStyle w:val="ListBullet"/>
      </w:pPr>
      <w:r>
        <w:t>Is recent enough for the audit period and aligned to the agreed evidence frequency</w:t>
      </w:r>
    </w:p>
    <w:p>
      <w:pPr>
        <w:pStyle w:val="ListBullet"/>
      </w:pPr>
      <w:r>
        <w:t>Is stored in the approved evidence repository with access controls and audit trail enabled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