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DORA Applicability Determination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[DORA-POL-002]</w:t>
            </w:r>
          </w:p>
        </w:tc>
      </w:tr>
      <w:tr>
        <w:tc>
          <w:tcPr>
            <w:tcW w:type="dxa" w:w="4320"/>
          </w:tcPr>
          <w:p>
            <w:r>
              <w:t>Version</w:t>
            </w:r>
          </w:p>
        </w:tc>
        <w:tc>
          <w:tcPr>
            <w:tcW w:type="dxa" w:w="4320"/>
          </w:tcPr>
          <w:p>
            <w:r>
              <w:t>1.0</w:t>
            </w:r>
          </w:p>
        </w:tc>
      </w:tr>
      <w:tr>
        <w:tc>
          <w:tcPr>
            <w:tcW w:type="dxa" w:w="4320"/>
          </w:tcPr>
          <w:p>
            <w:r>
              <w:t>Owner</w:t>
            </w:r>
          </w:p>
        </w:tc>
        <w:tc>
          <w:tcPr>
            <w:tcW w:type="dxa" w:w="4320"/>
          </w:tcPr>
          <w:p>
            <w:r>
              <w:t>[Chief Risk Officer]</w:t>
            </w:r>
          </w:p>
        </w:tc>
      </w:tr>
      <w:tr>
        <w:tc>
          <w:tcPr>
            <w:tcW w:type="dxa" w:w="4320"/>
          </w:tcPr>
          <w:p>
            <w:r>
              <w:t>Effective Date</w:t>
            </w:r>
          </w:p>
        </w:tc>
        <w:tc>
          <w:tcPr>
            <w:tcW w:type="dxa" w:w="4320"/>
          </w:tcPr>
          <w:p>
            <w:r>
              <w:t>[YYYY-MM-DD]</w:t>
            </w:r>
          </w:p>
        </w:tc>
      </w:tr>
      <w:tr>
        <w:tc>
          <w:tcPr>
            <w:tcW w:type="dxa" w:w="4320"/>
          </w:tcPr>
          <w:p>
            <w:r>
              <w:t>Framework</w:t>
            </w:r>
          </w:p>
        </w:tc>
        <w:tc>
          <w:tcPr>
            <w:tcW w:type="dxa" w:w="4320"/>
          </w:tcPr>
          <w:p>
            <w:r>
              <w:t>Regulation (EU) 2022/2554 — Digital Operational Resilience Act (DORA)</w:t>
            </w:r>
          </w:p>
        </w:tc>
      </w:tr>
      <w:tr>
        <w:tc>
          <w:tcPr>
            <w:tcW w:type="dxa" w:w="4320"/>
          </w:tcPr>
          <w:p>
            <w:r>
              <w:t>Classification</w:t>
            </w:r>
          </w:p>
        </w:tc>
        <w:tc>
          <w:tcPr>
            <w:tcW w:type="dxa" w:w="4320"/>
          </w:tcPr>
          <w:p>
            <w:r>
              <w:t>Internal</w:t>
            </w:r>
          </w:p>
        </w:tc>
      </w:tr>
    </w:tbl>
    <w:p>
      <w:pPr>
        <w:pStyle w:val="Heading2"/>
      </w:pPr>
      <w:r>
        <w:t>Purpose</w:t>
      </w:r>
    </w:p>
    <w:p>
      <w:r>
        <w:t>This Policy establishes the mandatory requirements for determining, approving, documenting, and maintaining the organisation’s applicability status under Regulation (EU) 2022/2554, the Digital Operational Resilience Act (DORA), with specific reference to Article 2.</w:t>
      </w:r>
    </w:p>
    <w:p>
      <w:r>
        <w:t>The purpose of this Policy is to ensure that the organisation:</w:t>
      </w:r>
    </w:p>
    <w:p>
      <w:pPr>
        <w:pStyle w:val="ListBullet"/>
      </w:pPr>
      <w:r>
        <w:t>Confirms whether it is within the scope of DORA as a financial entity listed in Article 2(1);</w:t>
      </w:r>
    </w:p>
    <w:p>
      <w:pPr>
        <w:pStyle w:val="ListBullet"/>
      </w:pPr>
      <w:r>
        <w:t>Determines whether any Article 2 exclusions or exemptions apply;</w:t>
      </w:r>
    </w:p>
    <w:p>
      <w:pPr>
        <w:pStyle w:val="ListBullet"/>
      </w:pPr>
      <w:r>
        <w:t>Documents the basis for the applicability decision in an auditable manner;</w:t>
      </w:r>
    </w:p>
    <w:p>
      <w:pPr>
        <w:pStyle w:val="ListBullet"/>
      </w:pPr>
      <w:r>
        <w:t>Classifies the organisation for proportional application of DORA requirements, taking account of its size, overall risk profile, nature, scale and complexity of services, activities and operations;</w:t>
      </w:r>
    </w:p>
    <w:p>
      <w:pPr>
        <w:pStyle w:val="ListBullet"/>
      </w:pPr>
      <w:r>
        <w:t>Maintains the determination on an ongoing basis in response to organisational, regulatory, licensing, operational, and structural changes.</w:t>
      </w:r>
    </w:p>
    <w:p>
      <w:r>
        <w:t>This Policy supports the organisation’s compliance with DORA by ensuring that the applicability decision is formally governed, periodically reviewed, and approved by accountable senior management.</w:t>
      </w:r>
    </w:p>
    <w:p>
      <w:pPr>
        <w:pStyle w:val="Heading2"/>
      </w:pPr>
      <w:r>
        <w:t>Scope</w:t>
      </w:r>
    </w:p>
    <w:p>
      <w:r>
        <w:t>This Policy applies to the entire organisation, including all legal entities, branches, business units, regulated activities, functions, ICT operations, and third-party arrangements that may affect the organisation’s status under DORA.</w:t>
      </w:r>
    </w:p>
    <w:p>
      <w:r>
        <w:t>This Policy applies to the assessment of whether the organisation falls within one or more of the financial entity categories specified in DORA Article 2(1), including:</w:t>
      </w:r>
    </w:p>
    <w:p>
      <w:pPr>
        <w:pStyle w:val="ListBullet"/>
      </w:pPr>
      <w:r>
        <w:t>Credit institutions;</w:t>
      </w:r>
    </w:p>
    <w:p>
      <w:pPr>
        <w:pStyle w:val="ListBullet"/>
      </w:pPr>
      <w:r>
        <w:t>Payment institutions, including payment institutions exempted pursuant to Directive (EU) 2015/2366;</w:t>
      </w:r>
    </w:p>
    <w:p>
      <w:pPr>
        <w:pStyle w:val="ListBullet"/>
      </w:pPr>
      <w:r>
        <w:t>Account information service providers;</w:t>
      </w:r>
    </w:p>
    <w:p>
      <w:pPr>
        <w:pStyle w:val="ListBullet"/>
      </w:pPr>
      <w:r>
        <w:t>Electronic money institutions, including electronic money institutions exempted pursuant to Directive 2009/110/EC;</w:t>
      </w:r>
    </w:p>
    <w:p>
      <w:pPr>
        <w:pStyle w:val="ListBullet"/>
      </w:pPr>
      <w:r>
        <w:t>Investment firms;</w:t>
      </w:r>
    </w:p>
    <w:p>
      <w:pPr>
        <w:pStyle w:val="ListBullet"/>
      </w:pPr>
      <w:r>
        <w:t>Crypto-asset service providers as authorised under applicable Union law and issuers of asset-referenced tokens;</w:t>
      </w:r>
    </w:p>
    <w:p>
      <w:pPr>
        <w:pStyle w:val="ListBullet"/>
      </w:pPr>
      <w:r>
        <w:t>Central securities depositories;</w:t>
      </w:r>
    </w:p>
    <w:p>
      <w:pPr>
        <w:pStyle w:val="ListBullet"/>
      </w:pPr>
      <w:r>
        <w:t>Central counterparties;</w:t>
      </w:r>
    </w:p>
    <w:p>
      <w:pPr>
        <w:pStyle w:val="ListBullet"/>
      </w:pPr>
      <w:r>
        <w:t>Trading venues;</w:t>
      </w:r>
    </w:p>
    <w:p>
      <w:pPr>
        <w:pStyle w:val="ListBullet"/>
      </w:pPr>
      <w:r>
        <w:t>Trade repositories;</w:t>
      </w:r>
    </w:p>
    <w:p>
      <w:pPr>
        <w:pStyle w:val="ListBullet"/>
      </w:pPr>
      <w:r>
        <w:t>Managers of alternative investment funds;</w:t>
      </w:r>
    </w:p>
    <w:p>
      <w:pPr>
        <w:pStyle w:val="ListBullet"/>
      </w:pPr>
      <w:r>
        <w:t>Management companies;</w:t>
      </w:r>
    </w:p>
    <w:p>
      <w:pPr>
        <w:pStyle w:val="ListBullet"/>
      </w:pPr>
      <w:r>
        <w:t>Data reporting service providers;</w:t>
      </w:r>
    </w:p>
    <w:p>
      <w:pPr>
        <w:pStyle w:val="ListBullet"/>
      </w:pPr>
      <w:r>
        <w:t>Insurance and reinsurance undertakings;</w:t>
      </w:r>
    </w:p>
    <w:p>
      <w:pPr>
        <w:pStyle w:val="ListBullet"/>
      </w:pPr>
      <w:r>
        <w:t>Insurance intermediaries, reinsurance intermediaries and ancillary insurance intermediaries;</w:t>
      </w:r>
    </w:p>
    <w:p>
      <w:pPr>
        <w:pStyle w:val="ListBullet"/>
      </w:pPr>
      <w:r>
        <w:t>Institutions for occupational retirement provision;</w:t>
      </w:r>
    </w:p>
    <w:p>
      <w:pPr>
        <w:pStyle w:val="ListBullet"/>
      </w:pPr>
      <w:r>
        <w:t>Credit rating agencies;</w:t>
      </w:r>
    </w:p>
    <w:p>
      <w:pPr>
        <w:pStyle w:val="ListBullet"/>
      </w:pPr>
      <w:r>
        <w:t>Administrators of critical benchmarks;</w:t>
      </w:r>
    </w:p>
    <w:p>
      <w:pPr>
        <w:pStyle w:val="ListBullet"/>
      </w:pPr>
      <w:r>
        <w:t>Crowdfunding service providers;</w:t>
      </w:r>
    </w:p>
    <w:p>
      <w:pPr>
        <w:pStyle w:val="ListBullet"/>
      </w:pPr>
      <w:r>
        <w:t>Securitisation repositories.</w:t>
      </w:r>
    </w:p>
    <w:p>
      <w:r>
        <w:t>This Policy also applies to the determination of whether the organisation is excluded from DORA under Article 2(3), including where applicable to entities such as:</w:t>
      </w:r>
    </w:p>
    <w:p>
      <w:pPr>
        <w:pStyle w:val="ListBullet"/>
      </w:pPr>
      <w:r>
        <w:t>Managers of alternative investment funds referred to in Article 3(2) of Directive 2011/61/EU;</w:t>
      </w:r>
    </w:p>
    <w:p>
      <w:pPr>
        <w:pStyle w:val="ListBullet"/>
      </w:pPr>
      <w:r>
        <w:t>Insurance and reinsurance undertakings referred to in Article 4 of Directive 2009/138/EC;</w:t>
      </w:r>
    </w:p>
    <w:p>
      <w:pPr>
        <w:pStyle w:val="ListBullet"/>
      </w:pPr>
      <w:r>
        <w:t>Institutions for occupational retirement provision operating pension schemes which together do not have more than 15 members in total;</w:t>
      </w:r>
    </w:p>
    <w:p>
      <w:pPr>
        <w:pStyle w:val="ListBullet"/>
      </w:pPr>
      <w:r>
        <w:t>Natural or legal persons exempted under Articles 2 and 3 of Directive 2014/65/EU;</w:t>
      </w:r>
    </w:p>
    <w:p>
      <w:pPr>
        <w:pStyle w:val="ListBullet"/>
      </w:pPr>
      <w:r>
        <w:t>Insurance intermediaries, reinsurance intermediaries and ancillary insurance intermediaries which are microenterprises or small or medium-sized enterprises;</w:t>
      </w:r>
    </w:p>
    <w:p>
      <w:pPr>
        <w:pStyle w:val="ListBullet"/>
      </w:pPr>
      <w:r>
        <w:t>Post office giro institutions referred to in Article 2(5), point (3), of Directive 2013/36/EU.</w:t>
      </w:r>
    </w:p>
    <w:p>
      <w:r>
        <w:t>This Policy applies to:</w:t>
      </w:r>
    </w:p>
    <w:p>
      <w:pPr>
        <w:pStyle w:val="ListBullet"/>
      </w:pPr>
      <w:r>
        <w:t>Initial DORA applicability determination;</w:t>
      </w:r>
    </w:p>
    <w:p>
      <w:pPr>
        <w:pStyle w:val="ListBullet"/>
      </w:pPr>
      <w:r>
        <w:t>Annual applicability reassessment;</w:t>
      </w:r>
    </w:p>
    <w:p>
      <w:pPr>
        <w:pStyle w:val="ListBullet"/>
      </w:pPr>
      <w:r>
        <w:t>Trigger-based reassessment following material changes;</w:t>
      </w:r>
    </w:p>
    <w:p>
      <w:pPr>
        <w:pStyle w:val="ListBullet"/>
      </w:pPr>
      <w:r>
        <w:t>Proportionality classification for DORA implementation planning and control design;</w:t>
      </w:r>
    </w:p>
    <w:p>
      <w:pPr>
        <w:pStyle w:val="ListBullet"/>
      </w:pPr>
      <w:r>
        <w:t>Internal and external audit evidence supporting the organisation’s DORA scope conclusion.</w:t>
      </w:r>
    </w:p>
    <w:p>
      <w:r>
        <w:t>This Policy does not define detailed procedures for implementing all DORA obligations. Where the organisation is determined to be in scope, implementation requirements shall be governed by the organisation’s DORA governance, ICT risk management, incident reporting, resilience testing, third-party risk management, and information-sharing policies and standards.</w:t>
      </w:r>
    </w:p>
    <w:p>
      <w:pPr>
        <w:pStyle w:val="Heading2"/>
      </w:pPr>
      <w:r>
        <w:t>Policy Statements</w:t>
      </w:r>
    </w:p>
    <w:p>
      <w:pPr>
        <w:pStyle w:val="ListBullet"/>
      </w:pPr>
      <w:r>
        <w:t>The organisation shall maintain a formal, documented DORA applicability determination approved by accountable senior management.</w:t>
      </w:r>
    </w:p>
    <w:p>
      <w:pPr>
        <w:pStyle w:val="ListBullet"/>
      </w:pPr>
      <w:r>
        <w:t>The organisation shall assess its status against each financial entity category listed in DORA Article 2(1) and shall document whether each category is applicable, not applicable, or requires legal/regulatory interpretation.</w:t>
      </w:r>
    </w:p>
    <w:p>
      <w:pPr>
        <w:pStyle w:val="ListBullet"/>
      </w:pPr>
      <w:r>
        <w:t>The organisation shall determine DORA applicability at the legal entity level and, where relevant, at group, branch, or regulated activity level.</w:t>
      </w:r>
    </w:p>
    <w:p>
      <w:pPr>
        <w:pStyle w:val="ListBullet"/>
      </w:pPr>
      <w:r>
        <w:t>The organisation shall not rely solely on group-level classification where individual legal entities, branches, regulated activities, or licensed functions may independently fall within the scope of DORA.</w:t>
      </w:r>
    </w:p>
    <w:p>
      <w:pPr>
        <w:pStyle w:val="ListBullet"/>
      </w:pPr>
      <w:r>
        <w:t>The organisation shall identify all authorisations, licences, registrations, permissions, regulated services, and supervisory relationships relevant to determining whether it is a financial entity under Article 2(1).</w:t>
      </w:r>
    </w:p>
    <w:p>
      <w:pPr>
        <w:pStyle w:val="ListBullet"/>
      </w:pPr>
      <w:r>
        <w:t>The organisation shall consider whether it performs multiple regulated activities and, where more than one Article 2(1) financial entity category applies, shall document each applicable category.</w:t>
      </w:r>
    </w:p>
    <w:p>
      <w:pPr>
        <w:pStyle w:val="ListBullet"/>
      </w:pPr>
      <w:r>
        <w:t>The organisation shall assess whether any Article 2 exclusion or exemption applies and shall document the legal and factual basis for any exclusion relied upon.</w:t>
      </w:r>
    </w:p>
    <w:p>
      <w:pPr>
        <w:pStyle w:val="ListBullet"/>
      </w:pPr>
      <w:r>
        <w:t>The organisation shall not claim exclusion from DORA unless the exclusion is expressly supported by Article 2, applicable Union law, competent authority guidance, or formal legal analysis.</w:t>
      </w:r>
    </w:p>
    <w:p>
      <w:pPr>
        <w:pStyle w:val="ListBullet"/>
      </w:pPr>
      <w:r>
        <w:t>The organisation shall obtain review from Legal, Compliance, or qualified external counsel where DORA applicability is unclear, disputed, dependent on regulatory interpretation, or affected by cross-border operations.</w:t>
      </w:r>
    </w:p>
    <w:p>
      <w:pPr>
        <w:pStyle w:val="ListBullet"/>
      </w:pPr>
      <w:r>
        <w:t>The organisation shall classify its proportionality profile for DORA implementation based on its size, overall risk profile, and the nature, scale, and complexity of its services, activities, and operations.</w:t>
      </w:r>
    </w:p>
    <w:p>
      <w:pPr>
        <w:pStyle w:val="ListBullet"/>
      </w:pPr>
      <w:r>
        <w:t>The organisation’s proportionality classification shall not be used to avoid DORA obligations where the organisation is in scope; it shall only inform the depth, complexity, frequency, and formality of implementation measures where DORA permits proportional application.</w:t>
      </w:r>
    </w:p>
    <w:p>
      <w:pPr>
        <w:pStyle w:val="ListBullet"/>
      </w:pPr>
      <w:r>
        <w:t>The proportionality classification shall consider, at a minimum:</w:t>
      </w:r>
    </w:p>
    <w:p>
      <w:pPr>
        <w:pStyle w:val="ListBullet"/>
      </w:pPr>
      <w:r>
        <w:t>Regulatory status and financial entity type;</w:t>
      </w:r>
    </w:p>
    <w:p>
      <w:pPr>
        <w:pStyle w:val="ListBullet"/>
      </w:pPr>
      <w:r>
        <w:t>Number and jurisdictions of regulated entities;</w:t>
      </w:r>
    </w:p>
    <w:p>
      <w:pPr>
        <w:pStyle w:val="ListBullet"/>
      </w:pPr>
      <w:r>
        <w:t>Criticality of services provided to customers and markets;</w:t>
      </w:r>
    </w:p>
    <w:p>
      <w:pPr>
        <w:pStyle w:val="ListBullet"/>
      </w:pPr>
      <w:r>
        <w:t>ICT dependency and digital service delivery model;</w:t>
      </w:r>
    </w:p>
    <w:p>
      <w:pPr>
        <w:pStyle w:val="ListBullet"/>
      </w:pPr>
      <w:r>
        <w:t>Use of ICT third-party service providers;</w:t>
      </w:r>
    </w:p>
    <w:p>
      <w:pPr>
        <w:pStyle w:val="ListBullet"/>
      </w:pPr>
      <w:r>
        <w:t>Volume and sensitivity of data processed;</w:t>
      </w:r>
    </w:p>
    <w:p>
      <w:pPr>
        <w:pStyle w:val="ListBullet"/>
      </w:pPr>
      <w:r>
        <w:t>Operational complexity;</w:t>
      </w:r>
    </w:p>
    <w:p>
      <w:pPr>
        <w:pStyle w:val="ListBullet"/>
      </w:pPr>
      <w:r>
        <w:t>Cross-border activity;</w:t>
      </w:r>
    </w:p>
    <w:p>
      <w:pPr>
        <w:pStyle w:val="ListBullet"/>
      </w:pPr>
      <w:r>
        <w:t>Impact of disruption on clients, counterparties, markets, or financial stability;</w:t>
      </w:r>
    </w:p>
    <w:p>
      <w:pPr>
        <w:pStyle w:val="ListBullet"/>
      </w:pPr>
      <w:r>
        <w:t>Prior ICT incidents, control deficiencies, or supervisory findings.</w:t>
      </w:r>
    </w:p>
    <w:p>
      <w:pPr>
        <w:pStyle w:val="ListBullet"/>
      </w:pPr>
      <w:r>
        <w:t>The organisation shall assign one of the following proportionality classifications for DORA governance and implementation planning:</w:t>
      </w:r>
    </w:p>
    <w:p>
      <w:pPr>
        <w:pStyle w:val="ListBullet"/>
      </w:pPr>
      <w:r>
        <w:t>Low Complexity / Limited Impact;</w:t>
      </w:r>
    </w:p>
    <w:p>
      <w:pPr>
        <w:pStyle w:val="ListBullet"/>
      </w:pPr>
      <w:r>
        <w:t>Moderate Complexity / Standard Impact;</w:t>
      </w:r>
    </w:p>
    <w:p>
      <w:pPr>
        <w:pStyle w:val="ListBullet"/>
      </w:pPr>
      <w:r>
        <w:t>High Complexity / Significant Impact;</w:t>
      </w:r>
    </w:p>
    <w:p>
      <w:pPr>
        <w:pStyle w:val="ListBullet"/>
      </w:pPr>
      <w:r>
        <w:t>Systemic, Critical, or Market-Impacting.</w:t>
      </w:r>
    </w:p>
    <w:p>
      <w:pPr>
        <w:pStyle w:val="ListBullet"/>
      </w:pPr>
      <w:r>
        <w:t>The organisation shall maintain an auditable DORA Applicability Assessment Record containing the scope conclusion, rationale, evidence reviewed, proportionality classification, approval, and review date.</w:t>
      </w:r>
    </w:p>
    <w:p>
      <w:pPr>
        <w:pStyle w:val="ListBullet"/>
      </w:pPr>
      <w:r>
        <w:t>The DORA Applicability Assessment Record shall include, at a minimum, the following information:</w:t>
      </w:r>
    </w:p>
    <w:tbl>
      <w:tblPr>
        <w:tblStyle w:val="TableGrid"/>
        <w:tblW w:type="auto" w:w="0"/>
        <w:tblLook w:firstColumn="1" w:firstRow="1" w:lastColumn="0" w:lastRow="0" w:noHBand="0" w:noVBand="1" w:val="04A0"/>
      </w:tblPr>
      <w:tblGrid>
        <w:gridCol w:w="4320"/>
        <w:gridCol w:w="4320"/>
      </w:tblGrid>
      <w:tr>
        <w:tc>
          <w:tcPr>
            <w:tcW w:type="dxa" w:w="4320"/>
          </w:tcPr>
          <w:p>
            <w:r>
              <w:t>Assessment Element</w:t>
            </w:r>
          </w:p>
        </w:tc>
        <w:tc>
          <w:tcPr>
            <w:tcW w:type="dxa" w:w="4320"/>
          </w:tcPr>
          <w:p>
            <w:r>
              <w:t>Required Content</w:t>
            </w:r>
          </w:p>
        </w:tc>
      </w:tr>
      <w:tr>
        <w:tc>
          <w:tcPr>
            <w:tcW w:type="dxa" w:w="4320"/>
          </w:tcPr>
          <w:p>
            <w:r>
              <w:t>Legal entity or group assessed</w:t>
            </w:r>
          </w:p>
        </w:tc>
        <w:tc>
          <w:tcPr>
            <w:tcW w:type="dxa" w:w="4320"/>
          </w:tcPr>
          <w:p>
            <w:r>
              <w:t>Name, registration details, jurisdiction, and regulated status</w:t>
            </w:r>
          </w:p>
        </w:tc>
      </w:tr>
      <w:tr>
        <w:tc>
          <w:tcPr>
            <w:tcW w:type="dxa" w:w="4320"/>
          </w:tcPr>
          <w:p>
            <w:r>
              <w:t>Article 2 category assessment</w:t>
            </w:r>
          </w:p>
        </w:tc>
        <w:tc>
          <w:tcPr>
            <w:tcW w:type="dxa" w:w="4320"/>
          </w:tcPr>
          <w:p>
            <w:r>
              <w:t>Applicable and non-applicable financial entity types</w:t>
            </w:r>
          </w:p>
        </w:tc>
      </w:tr>
      <w:tr>
        <w:tc>
          <w:tcPr>
            <w:tcW w:type="dxa" w:w="4320"/>
          </w:tcPr>
          <w:p>
            <w:r>
              <w:t>Licensing and regulatory evidence</w:t>
            </w:r>
          </w:p>
        </w:tc>
        <w:tc>
          <w:tcPr>
            <w:tcW w:type="dxa" w:w="4320"/>
          </w:tcPr>
          <w:p>
            <w:r>
              <w:t>Authorisations, registrations, supervisory notifications, or competent authority records</w:t>
            </w:r>
          </w:p>
        </w:tc>
      </w:tr>
      <w:tr>
        <w:tc>
          <w:tcPr>
            <w:tcW w:type="dxa" w:w="4320"/>
          </w:tcPr>
          <w:p>
            <w:r>
              <w:t>Exclusion assessment</w:t>
            </w:r>
          </w:p>
        </w:tc>
        <w:tc>
          <w:tcPr>
            <w:tcW w:type="dxa" w:w="4320"/>
          </w:tcPr>
          <w:p>
            <w:r>
              <w:t>Any Article 2 exclusion considered and conclusion</w:t>
            </w:r>
          </w:p>
        </w:tc>
      </w:tr>
      <w:tr>
        <w:tc>
          <w:tcPr>
            <w:tcW w:type="dxa" w:w="4320"/>
          </w:tcPr>
          <w:p>
            <w:r>
              <w:t>Scope conclusion</w:t>
            </w:r>
          </w:p>
        </w:tc>
        <w:tc>
          <w:tcPr>
            <w:tcW w:type="dxa" w:w="4320"/>
          </w:tcPr>
          <w:p>
            <w:r>
              <w:t>In scope, out of scope, partially in scope, or requires further legal determination</w:t>
            </w:r>
          </w:p>
        </w:tc>
      </w:tr>
      <w:tr>
        <w:tc>
          <w:tcPr>
            <w:tcW w:type="dxa" w:w="4320"/>
          </w:tcPr>
          <w:p>
            <w:r>
              <w:t>Proportionality classification</w:t>
            </w:r>
          </w:p>
        </w:tc>
        <w:tc>
          <w:tcPr>
            <w:tcW w:type="dxa" w:w="4320"/>
          </w:tcPr>
          <w:p>
            <w:r>
              <w:t>Classification and rationale</w:t>
            </w:r>
          </w:p>
        </w:tc>
      </w:tr>
      <w:tr>
        <w:tc>
          <w:tcPr>
            <w:tcW w:type="dxa" w:w="4320"/>
          </w:tcPr>
          <w:p>
            <w:r>
              <w:t>Approvals</w:t>
            </w:r>
          </w:p>
        </w:tc>
        <w:tc>
          <w:tcPr>
            <w:tcW w:type="dxa" w:w="4320"/>
          </w:tcPr>
          <w:p>
            <w:r>
              <w:t>Accountable executive and control owner approvals</w:t>
            </w:r>
          </w:p>
        </w:tc>
      </w:tr>
      <w:tr>
        <w:tc>
          <w:tcPr>
            <w:tcW w:type="dxa" w:w="4320"/>
          </w:tcPr>
          <w:p>
            <w:r>
              <w:t>Review date</w:t>
            </w:r>
          </w:p>
        </w:tc>
        <w:tc>
          <w:tcPr>
            <w:tcW w:type="dxa" w:w="4320"/>
          </w:tcPr>
          <w:p>
            <w:r>
              <w:t>Date of last review and next scheduled review</w:t>
            </w:r>
          </w:p>
        </w:tc>
      </w:tr>
    </w:tbl>
    <w:p>
      <w:pPr>
        <w:pStyle w:val="ListBullet"/>
      </w:pPr>
      <w:r>
        <w:t>The organisation shall retain documentary evidence supporting the applicability determination, including regulatory licences, authorisation records, corporate structure charts, business activity descriptions, legal opinions, competent authority correspondence, and board or committee approvals.</w:t>
      </w:r>
    </w:p>
    <w:p>
      <w:pPr>
        <w:pStyle w:val="ListBullet"/>
      </w:pPr>
      <w:r>
        <w:t>The organisation shall reassess DORA applicability at least annually.</w:t>
      </w:r>
    </w:p>
    <w:p>
      <w:pPr>
        <w:pStyle w:val="ListBullet"/>
      </w:pPr>
      <w:r>
        <w:t>The organisation shall conduct a trigger-based reassessment without undue delay when any of the following events occur:</w:t>
      </w:r>
    </w:p>
    <w:p>
      <w:pPr>
        <w:pStyle w:val="ListBullet"/>
      </w:pPr>
      <w:r>
        <w:t>New regulated activity, product, or service is launched;</w:t>
      </w:r>
    </w:p>
    <w:p>
      <w:pPr>
        <w:pStyle w:val="ListBullet"/>
      </w:pPr>
      <w:r>
        <w:t>Regulatory licence, authorisation, permission, or registration is obtained, varied, suspended, or withdrawn;</w:t>
      </w:r>
    </w:p>
    <w:p>
      <w:pPr>
        <w:pStyle w:val="ListBullet"/>
      </w:pPr>
      <w:r>
        <w:t>New legal entity, branch, acquisition, merger, divestment, or restructuring occurs;</w:t>
      </w:r>
    </w:p>
    <w:p>
      <w:pPr>
        <w:pStyle w:val="ListBullet"/>
      </w:pPr>
      <w:r>
        <w:t>Entry into a new EU Member State or cross-border regulated activity occurs;</w:t>
      </w:r>
    </w:p>
    <w:p>
      <w:pPr>
        <w:pStyle w:val="ListBullet"/>
      </w:pPr>
      <w:r>
        <w:t>Business model materially changes, including digital platform expansion;</w:t>
      </w:r>
    </w:p>
    <w:p>
      <w:pPr>
        <w:pStyle w:val="ListBullet"/>
      </w:pPr>
      <w:r>
        <w:t>ICT operations become materially more critical to regulated services;</w:t>
      </w:r>
    </w:p>
    <w:p>
      <w:pPr>
        <w:pStyle w:val="ListBullet"/>
      </w:pPr>
      <w:r>
        <w:t>Competent authority guidance, legislation, or supervisory expectation changes;</w:t>
      </w:r>
    </w:p>
    <w:p>
      <w:pPr>
        <w:pStyle w:val="ListBullet"/>
      </w:pPr>
      <w:r>
        <w:t>The organisation becomes a critical or important provider to another financial entity;</w:t>
      </w:r>
    </w:p>
    <w:p>
      <w:pPr>
        <w:pStyle w:val="ListBullet"/>
      </w:pPr>
      <w:r>
        <w:t>Material change occurs in the scale, complexity, or risk profile of operations.</w:t>
      </w:r>
    </w:p>
    <w:p>
      <w:pPr>
        <w:pStyle w:val="ListBullet"/>
      </w:pPr>
      <w:r>
        <w:t>Where the organisation is determined to be in scope of DORA, the organisation shall establish and maintain a DORA compliance programme covering applicable obligations including ICT risk management, incident reporting, digital operational resilience testing, ICT third-party risk management, and information sharing where relevant.</w:t>
      </w:r>
    </w:p>
    <w:p>
      <w:pPr>
        <w:pStyle w:val="ListBullet"/>
      </w:pPr>
      <w:r>
        <w:t>Where the organisation is determined to be out of scope of DORA, the organisation shall retain the documented assessment and supporting evidence and shall continue to monitor trigger events that may bring the organisation into scope.</w:t>
      </w:r>
    </w:p>
    <w:p>
      <w:pPr>
        <w:pStyle w:val="ListBullet"/>
      </w:pPr>
      <w:r>
        <w:t>Where the organisation is partially in scope, the organisation shall define and document the specific entities, activities, systems, services, and functions subject to DORA requirements.</w:t>
      </w:r>
    </w:p>
    <w:p>
      <w:pPr>
        <w:pStyle w:val="ListBullet"/>
      </w:pPr>
      <w:r>
        <w:t>Where applicability depends on interpretation of EU or national financial services legislation, the organisation shall document the interpretive basis and obtain approval from Legal or Compliance before finalising the determination.</w:t>
      </w:r>
    </w:p>
    <w:p>
      <w:pPr>
        <w:pStyle w:val="ListBullet"/>
      </w:pPr>
      <w:r>
        <w:t>The organisation shall ensure that the DORA applicability determination is available to relevant internal stakeholders, including Risk, Compliance, Legal, ICT, Procurement, Third-Party Risk Management, Internal Audit, and senior management.</w:t>
      </w:r>
    </w:p>
    <w:p>
      <w:pPr>
        <w:pStyle w:val="ListBullet"/>
      </w:pPr>
      <w:r>
        <w:t>The organisation shall ensure that DORA scope status is reflected in enterprise compliance obligations inventories, risk registers, control libraries, policy frameworks, and audit planning.</w:t>
      </w:r>
    </w:p>
    <w:p>
      <w:pPr>
        <w:pStyle w:val="ListBullet"/>
      </w:pPr>
      <w:r>
        <w:t>The organisation shall ensure that changes to DORA applicability or proportionality classification are communicated to impacted control owners and governance bodies in a timely manner.</w:t>
      </w:r>
    </w:p>
    <w:p>
      <w:pPr>
        <w:pStyle w:val="ListBullet"/>
      </w:pPr>
      <w:r>
        <w:t>The organisation shall not downgrade its proportionality classification without documented rationale, evidence of reduced complexity or risk, and approval from accountable senior management.</w:t>
      </w:r>
    </w:p>
    <w:p>
      <w:pPr>
        <w:pStyle w:val="ListBullet"/>
      </w:pPr>
      <w:r>
        <w:t>The organisation shall escalate unresolved DORA applicability questions to the appropriate executive governance forum or board-level risk committee.</w:t>
      </w:r>
    </w:p>
    <w:p>
      <w:pPr>
        <w:pStyle w:val="ListBullet"/>
      </w:pPr>
      <w:r>
        <w:t>The organisation shall maintain evidence of senior management awareness and approval of the DORA applicability conclusion.</w:t>
      </w:r>
    </w:p>
    <w:p>
      <w:pPr>
        <w:pStyle w:val="ListBullet"/>
      </w:pPr>
      <w:r>
        <w:t>The organisation shall ensure that the applicability determination is consistent with external regulatory filings, licence records, public disclosures, supervisory communications, and internal legal entity inventories.</w:t>
      </w:r>
    </w:p>
    <w:p>
      <w:pPr>
        <w:pStyle w:val="ListBullet"/>
      </w:pPr>
      <w:r>
        <w:t>The organisation shall retain DORA applicability records in accordance with the organisation’s records retention requirements and for no less than the period necessary to evidence regulatory compliance to competent authorities and auditors.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Management Body</w:t>
            </w:r>
          </w:p>
        </w:tc>
        <w:tc>
          <w:tcPr>
            <w:tcW w:type="dxa" w:w="4320"/>
          </w:tcPr>
          <w:p>
            <w:r>
              <w:t>Provides oversight of DORA applicability determination where the organisation is in scope or potentially in scope; ensures accountability for DORA compliance; challenges and approves material scope conclusions where required.</w:t>
            </w:r>
          </w:p>
        </w:tc>
      </w:tr>
      <w:tr>
        <w:tc>
          <w:tcPr>
            <w:tcW w:type="dxa" w:w="4320"/>
          </w:tcPr>
          <w:p>
            <w:r>
              <w:t>Executive Risk Committee / Governance Forum</w:t>
            </w:r>
          </w:p>
        </w:tc>
        <w:tc>
          <w:tcPr>
            <w:tcW w:type="dxa" w:w="4320"/>
          </w:tcPr>
          <w:p>
            <w:r>
              <w:t>Reviews DORA applicability status, proportionality classification, and material changes; ensures appropriate remediation or implementation actions are assigned.</w:t>
            </w:r>
          </w:p>
        </w:tc>
      </w:tr>
      <w:tr>
        <w:tc>
          <w:tcPr>
            <w:tcW w:type="dxa" w:w="4320"/>
          </w:tcPr>
          <w:p>
            <w:r>
              <w:t>Chief Risk Officer / Policy Owner</w:t>
            </w:r>
          </w:p>
        </w:tc>
        <w:tc>
          <w:tcPr>
            <w:tcW w:type="dxa" w:w="4320"/>
          </w:tcPr>
          <w:p>
            <w:r>
              <w:t>Owns this Policy; ensures the DORA applicability determination is performed, documented, reviewed, and maintained; escalates material applicability issues to senior management.</w:t>
            </w:r>
          </w:p>
        </w:tc>
      </w:tr>
      <w:tr>
        <w:tc>
          <w:tcPr>
            <w:tcW w:type="dxa" w:w="4320"/>
          </w:tcPr>
          <w:p>
            <w:r>
              <w:t>Compliance Function</w:t>
            </w:r>
          </w:p>
        </w:tc>
        <w:tc>
          <w:tcPr>
            <w:tcW w:type="dxa" w:w="4320"/>
          </w:tcPr>
          <w:p>
            <w:r>
              <w:t>Interprets DORA Article 2 requirements in coordination with Legal; maintains regulatory obligations mapping; validates applicability conclusions against licences, registrations, and competent authority expectations.</w:t>
            </w:r>
          </w:p>
        </w:tc>
      </w:tr>
      <w:tr>
        <w:tc>
          <w:tcPr>
            <w:tcW w:type="dxa" w:w="4320"/>
          </w:tcPr>
          <w:p>
            <w:r>
              <w:t>Legal Function</w:t>
            </w:r>
          </w:p>
        </w:tc>
        <w:tc>
          <w:tcPr>
            <w:tcW w:type="dxa" w:w="4320"/>
          </w:tcPr>
          <w:p>
            <w:r>
              <w:t>Provides legal analysis on entity classification, exemptions, exclusions, cross-border implications, and interpretation of applicable EU and national financial services legislation.</w:t>
            </w:r>
          </w:p>
        </w:tc>
      </w:tr>
      <w:tr>
        <w:tc>
          <w:tcPr>
            <w:tcW w:type="dxa" w:w="4320"/>
          </w:tcPr>
          <w:p>
            <w:r>
              <w:t>ICT Risk / Information Security Function</w:t>
            </w:r>
          </w:p>
        </w:tc>
        <w:tc>
          <w:tcPr>
            <w:tcW w:type="dxa" w:w="4320"/>
          </w:tcPr>
          <w:p>
            <w:r>
              <w:t>Provides input on ICT dependency, digital operational resilience implications, ICT service criticality, and proportionality classification.</w:t>
            </w:r>
          </w:p>
        </w:tc>
      </w:tr>
      <w:tr>
        <w:tc>
          <w:tcPr>
            <w:tcW w:type="dxa" w:w="4320"/>
          </w:tcPr>
          <w:p>
            <w:r>
              <w:t>Business Unit Owners</w:t>
            </w:r>
          </w:p>
        </w:tc>
        <w:tc>
          <w:tcPr>
            <w:tcW w:type="dxa" w:w="4320"/>
          </w:tcPr>
          <w:p>
            <w:r>
              <w:t>Provide accurate information on regulated activities, products, services, jurisdictions, customer segments, and operational changes that may affect DORA applicability.</w:t>
            </w:r>
          </w:p>
        </w:tc>
      </w:tr>
      <w:tr>
        <w:tc>
          <w:tcPr>
            <w:tcW w:type="dxa" w:w="4320"/>
          </w:tcPr>
          <w:p>
            <w:r>
              <w:t>Corporate Secretariat / Entity Management</w:t>
            </w:r>
          </w:p>
        </w:tc>
        <w:tc>
          <w:tcPr>
            <w:tcW w:type="dxa" w:w="4320"/>
          </w:tcPr>
          <w:p>
            <w:r>
              <w:t>Maintains legal entity structure, corporate registrations, branch details, and governance approvals relevant to the applicability determination.</w:t>
            </w:r>
          </w:p>
        </w:tc>
      </w:tr>
      <w:tr>
        <w:tc>
          <w:tcPr>
            <w:tcW w:type="dxa" w:w="4320"/>
          </w:tcPr>
          <w:p>
            <w:r>
              <w:t>Third-Party Risk Management / Procurement</w:t>
            </w:r>
          </w:p>
        </w:tc>
        <w:tc>
          <w:tcPr>
            <w:tcW w:type="dxa" w:w="4320"/>
          </w:tcPr>
          <w:p>
            <w:r>
              <w:t>Provides input on ICT third-party dependencies and critical or important outsourced services relevant to proportionality classification.</w:t>
            </w:r>
          </w:p>
        </w:tc>
      </w:tr>
      <w:tr>
        <w:tc>
          <w:tcPr>
            <w:tcW w:type="dxa" w:w="4320"/>
          </w:tcPr>
          <w:p>
            <w:r>
              <w:t>Internal Audit</w:t>
            </w:r>
          </w:p>
        </w:tc>
        <w:tc>
          <w:tcPr>
            <w:tcW w:type="dxa" w:w="4320"/>
          </w:tcPr>
          <w:p>
            <w:r>
              <w:t>Provides independent assurance over the design and operating effectiveness of the DORA applicability determination process and supporting evidence.</w:t>
            </w:r>
          </w:p>
        </w:tc>
      </w:tr>
      <w:tr>
        <w:tc>
          <w:tcPr>
            <w:tcW w:type="dxa" w:w="4320"/>
          </w:tcPr>
          <w:p>
            <w:r>
              <w:t>Records Owner</w:t>
            </w:r>
          </w:p>
        </w:tc>
        <w:tc>
          <w:tcPr>
            <w:tcW w:type="dxa" w:w="4320"/>
          </w:tcPr>
          <w:p>
            <w:r>
              <w:t>Ensures approved applicability assessments, legal opinions, evidence, and approvals are retained in accordance with records management requirements.</w:t>
            </w:r>
          </w:p>
        </w:tc>
      </w:tr>
    </w:tbl>
    <w:p>
      <w:pPr>
        <w:pStyle w:val="Heading2"/>
      </w:pPr>
      <w:r>
        <w:t>Compliance, Monitoring &amp; Enforcement</w:t>
      </w:r>
    </w:p>
    <w:p>
      <w:r>
        <w:t>Compliance with this Policy is mandatory for all in-scope functions, business units, and legal entities.</w:t>
      </w:r>
    </w:p>
    <w:p>
      <w:r>
        <w:t>The organisation shall monitor compliance with this Policy through governance oversight, control self-assessments, compliance reviews, internal audit activity, and management reporting.</w:t>
      </w:r>
    </w:p>
    <w:p>
      <w:r>
        <w:t>The following minimum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Owner</w:t>
            </w:r>
          </w:p>
        </w:tc>
        <w:tc>
          <w:tcPr>
            <w:tcW w:type="dxa" w:w="2160"/>
          </w:tcPr>
          <w:p>
            <w:r>
              <w:t>Evidence</w:t>
            </w:r>
          </w:p>
        </w:tc>
      </w:tr>
      <w:tr>
        <w:tc>
          <w:tcPr>
            <w:tcW w:type="dxa" w:w="2160"/>
          </w:tcPr>
          <w:p>
            <w:r>
              <w:t>Review of DORA applicability assessment against Article 2 entity categories</w:t>
            </w:r>
          </w:p>
        </w:tc>
        <w:tc>
          <w:tcPr>
            <w:tcW w:type="dxa" w:w="2160"/>
          </w:tcPr>
          <w:p>
            <w:r>
              <w:t>Annually and upon trigger event</w:t>
            </w:r>
          </w:p>
        </w:tc>
        <w:tc>
          <w:tcPr>
            <w:tcW w:type="dxa" w:w="2160"/>
          </w:tcPr>
          <w:p>
            <w:r>
              <w:t>Compliance Function</w:t>
            </w:r>
          </w:p>
        </w:tc>
        <w:tc>
          <w:tcPr>
            <w:tcW w:type="dxa" w:w="2160"/>
          </w:tcPr>
          <w:p>
            <w:r>
              <w:t>Completed applicability assessment, evidence file, approval record</w:t>
            </w:r>
          </w:p>
        </w:tc>
      </w:tr>
      <w:tr>
        <w:tc>
          <w:tcPr>
            <w:tcW w:type="dxa" w:w="2160"/>
          </w:tcPr>
          <w:p>
            <w:r>
              <w:t>Review of legal entity, licence, and regulated activity inventory for DORA impact</w:t>
            </w:r>
          </w:p>
        </w:tc>
        <w:tc>
          <w:tcPr>
            <w:tcW w:type="dxa" w:w="2160"/>
          </w:tcPr>
          <w:p>
            <w:r>
              <w:t>Quarterly</w:t>
            </w:r>
          </w:p>
        </w:tc>
        <w:tc>
          <w:tcPr>
            <w:tcW w:type="dxa" w:w="2160"/>
          </w:tcPr>
          <w:p>
            <w:r>
              <w:t>Legal / Compliance</w:t>
            </w:r>
          </w:p>
        </w:tc>
        <w:tc>
          <w:tcPr>
            <w:tcW w:type="dxa" w:w="2160"/>
          </w:tcPr>
          <w:p>
            <w:r>
              <w:t>Licence register review, change log, meeting minutes</w:t>
            </w:r>
          </w:p>
        </w:tc>
      </w:tr>
      <w:tr>
        <w:tc>
          <w:tcPr>
            <w:tcW w:type="dxa" w:w="2160"/>
          </w:tcPr>
          <w:p>
            <w:r>
              <w:t>Review of proportionality classification and supporting rationale</w:t>
            </w:r>
          </w:p>
        </w:tc>
        <w:tc>
          <w:tcPr>
            <w:tcW w:type="dxa" w:w="2160"/>
          </w:tcPr>
          <w:p>
            <w:r>
              <w:t>Annually and upon material change</w:t>
            </w:r>
          </w:p>
        </w:tc>
        <w:tc>
          <w:tcPr>
            <w:tcW w:type="dxa" w:w="2160"/>
          </w:tcPr>
          <w:p>
            <w:r>
              <w:t>Chief Risk Officer</w:t>
            </w:r>
          </w:p>
        </w:tc>
        <w:tc>
          <w:tcPr>
            <w:tcW w:type="dxa" w:w="2160"/>
          </w:tcPr>
          <w:p>
            <w:r>
              <w:t>Classification rationale, risk profile evidence, governance approval</w:t>
            </w:r>
          </w:p>
        </w:tc>
      </w:tr>
      <w:tr>
        <w:tc>
          <w:tcPr>
            <w:tcW w:type="dxa" w:w="2160"/>
          </w:tcPr>
          <w:p>
            <w:r>
              <w:t>Verification that DORA scope status is reflected in compliance obligations inventory and control framework</w:t>
            </w:r>
          </w:p>
        </w:tc>
        <w:tc>
          <w:tcPr>
            <w:tcW w:type="dxa" w:w="2160"/>
          </w:tcPr>
          <w:p>
            <w:r>
              <w:t>Annually</w:t>
            </w:r>
          </w:p>
        </w:tc>
        <w:tc>
          <w:tcPr>
            <w:tcW w:type="dxa" w:w="2160"/>
          </w:tcPr>
          <w:p>
            <w:r>
              <w:t>Compliance Function</w:t>
            </w:r>
          </w:p>
        </w:tc>
        <w:tc>
          <w:tcPr>
            <w:tcW w:type="dxa" w:w="2160"/>
          </w:tcPr>
          <w:p>
            <w:r>
              <w:t>Updated obligations register and control mapping</w:t>
            </w:r>
          </w:p>
        </w:tc>
      </w:tr>
      <w:tr>
        <w:tc>
          <w:tcPr>
            <w:tcW w:type="dxa" w:w="2160"/>
          </w:tcPr>
          <w:p>
            <w:r>
              <w:t>Independent assurance over applicability process</w:t>
            </w:r>
          </w:p>
        </w:tc>
        <w:tc>
          <w:tcPr>
            <w:tcW w:type="dxa" w:w="2160"/>
          </w:tcPr>
          <w:p>
            <w:r>
              <w:t>Risk-based audit cycle</w:t>
            </w:r>
          </w:p>
        </w:tc>
        <w:tc>
          <w:tcPr>
            <w:tcW w:type="dxa" w:w="2160"/>
          </w:tcPr>
          <w:p>
            <w:r>
              <w:t>Internal Audit</w:t>
            </w:r>
          </w:p>
        </w:tc>
        <w:tc>
          <w:tcPr>
            <w:tcW w:type="dxa" w:w="2160"/>
          </w:tcPr>
          <w:p>
            <w:r>
              <w:t>Audit report, findings, management actions</w:t>
            </w:r>
          </w:p>
        </w:tc>
      </w:tr>
    </w:tbl>
    <w:p>
      <w:r>
        <w:t>Non-compliance with this Policy may include, but is not limited to:</w:t>
      </w:r>
    </w:p>
    <w:p>
      <w:pPr>
        <w:pStyle w:val="ListBullet"/>
      </w:pPr>
      <w:r>
        <w:t>Failure to complete or maintain a documented DORA applicability determination;</w:t>
      </w:r>
    </w:p>
    <w:p>
      <w:pPr>
        <w:pStyle w:val="ListBullet"/>
      </w:pPr>
      <w:r>
        <w:t>Failure to assess all Article 2(1) financial entity categories relevant to the organisation;</w:t>
      </w:r>
    </w:p>
    <w:p>
      <w:pPr>
        <w:pStyle w:val="ListBullet"/>
      </w:pPr>
      <w:r>
        <w:t>Unsupported reliance on a DORA exclusion or exemption;</w:t>
      </w:r>
    </w:p>
    <w:p>
      <w:pPr>
        <w:pStyle w:val="ListBullet"/>
      </w:pPr>
      <w:r>
        <w:t>Failure to reassess applicability following a material business, legal, licensing, or operational change;</w:t>
      </w:r>
    </w:p>
    <w:p>
      <w:pPr>
        <w:pStyle w:val="ListBullet"/>
      </w:pPr>
      <w:r>
        <w:t>Misclassification of proportionality without documented evidence;</w:t>
      </w:r>
    </w:p>
    <w:p>
      <w:pPr>
        <w:pStyle w:val="ListBullet"/>
      </w:pPr>
      <w:r>
        <w:t>Failure to escalate uncertain or disputed applicability conclusions;</w:t>
      </w:r>
    </w:p>
    <w:p>
      <w:pPr>
        <w:pStyle w:val="ListBullet"/>
      </w:pPr>
      <w:r>
        <w:t>Inconsistency between DORA applicability records and regulatory licences, public disclosures, or supervisory communications.</w:t>
      </w:r>
    </w:p>
    <w:p>
      <w:r>
        <w:t>Policy breaches shall be recorded, assessed for regulatory and operational impact, and remediated in accordance with the organisation’s compliance issue management process.</w:t>
      </w:r>
    </w:p>
    <w:p>
      <w:r>
        <w:t>Material breaches shall be escalated to the Executive Risk Committee, the Management Body, or another designated governance forum. Where required by applicable law or competent authority expectations, material issues relating to regulatory classification or DORA compliance status shall be reported to the relevant competent authority.</w:t>
      </w:r>
    </w:p>
    <w:p>
      <w:r>
        <w:t>Enforcement actions may include:</w:t>
      </w:r>
    </w:p>
    <w:p>
      <w:pPr>
        <w:pStyle w:val="ListBullet"/>
      </w:pPr>
      <w:r>
        <w:t>Mandatory remediation plans;</w:t>
      </w:r>
    </w:p>
    <w:p>
      <w:pPr>
        <w:pStyle w:val="ListBullet"/>
      </w:pPr>
      <w:r>
        <w:t>Re-performance of the applicability assessment;</w:t>
      </w:r>
    </w:p>
    <w:p>
      <w:pPr>
        <w:pStyle w:val="ListBullet"/>
      </w:pPr>
      <w:r>
        <w:t>Legal or external regulatory review;</w:t>
      </w:r>
    </w:p>
    <w:p>
      <w:pPr>
        <w:pStyle w:val="ListBullet"/>
      </w:pPr>
      <w:r>
        <w:t>Updates to compliance obligations and control frameworks;</w:t>
      </w:r>
    </w:p>
    <w:p>
      <w:pPr>
        <w:pStyle w:val="ListBullet"/>
      </w:pPr>
      <w:r>
        <w:t>Executive escalation;</w:t>
      </w:r>
    </w:p>
    <w:p>
      <w:pPr>
        <w:pStyle w:val="ListBullet"/>
      </w:pPr>
      <w:r>
        <w:t>Internal audit review;</w:t>
      </w:r>
    </w:p>
    <w:p>
      <w:pPr>
        <w:pStyle w:val="ListBullet"/>
      </w:pPr>
      <w:r>
        <w:t>Disciplinary action in accordance with HR policies where misconduct, negligence, or deliberate non-compliance is identified.</w:t>
      </w:r>
    </w:p>
    <w:p>
      <w:pPr>
        <w:pStyle w:val="Heading2"/>
      </w:pPr>
      <w:r>
        <w:t>Exceptions</w:t>
      </w:r>
    </w:p>
    <w:p>
      <w:r>
        <w:t>Exceptions to this Policy shall be permitted only where there is a documented and approved basis for not meeting a specific policy requirement.</w:t>
      </w:r>
    </w:p>
    <w:p>
      <w:r>
        <w:t>Exceptions shall not be used to avoid a legally applicable DORA obligation or to defer an Article 2 applicability determination indefinitely.</w:t>
      </w:r>
    </w:p>
    <w:p>
      <w:r>
        <w:t>All exception requests shall include:</w:t>
      </w:r>
    </w:p>
    <w:p>
      <w:pPr>
        <w:pStyle w:val="ListBullet"/>
      </w:pPr>
      <w:r>
        <w:t>Specific policy requirement for which exception is requested;</w:t>
      </w:r>
    </w:p>
    <w:p>
      <w:pPr>
        <w:pStyle w:val="ListBullet"/>
      </w:pPr>
      <w:r>
        <w:t>Business or regulatory rationale;</w:t>
      </w:r>
    </w:p>
    <w:p>
      <w:pPr>
        <w:pStyle w:val="ListBullet"/>
      </w:pPr>
      <w:r>
        <w:t>Legal or compliance impact assessment;</w:t>
      </w:r>
    </w:p>
    <w:p>
      <w:pPr>
        <w:pStyle w:val="ListBullet"/>
      </w:pPr>
      <w:r>
        <w:t>Risk assessment;</w:t>
      </w:r>
    </w:p>
    <w:p>
      <w:pPr>
        <w:pStyle w:val="ListBullet"/>
      </w:pPr>
      <w:r>
        <w:t>Compensating controls;</w:t>
      </w:r>
    </w:p>
    <w:p>
      <w:pPr>
        <w:pStyle w:val="ListBullet"/>
      </w:pPr>
      <w:r>
        <w:t>Expiry date;</w:t>
      </w:r>
    </w:p>
    <w:p>
      <w:pPr>
        <w:pStyle w:val="ListBullet"/>
      </w:pPr>
      <w:r>
        <w:t>Remediation plan where applicable;</w:t>
      </w:r>
    </w:p>
    <w:p>
      <w:pPr>
        <w:pStyle w:val="ListBullet"/>
      </w:pPr>
      <w:r>
        <w:t>Approval by the Policy Owner and Compliance Function;</w:t>
      </w:r>
    </w:p>
    <w:p>
      <w:pPr>
        <w:pStyle w:val="ListBullet"/>
      </w:pPr>
      <w:r>
        <w:t>Additional approval by Legal or senior management where the exception affects regulatory interpretation or scope conclusion.</w:t>
      </w:r>
    </w:p>
    <w:p>
      <w:r>
        <w:t>The following exception rules apply:</w:t>
      </w:r>
    </w:p>
    <w:p>
      <w:pPr>
        <w:pStyle w:val="ListBullet"/>
      </w:pPr>
      <w:r>
        <w:t>The organisation shall not approve an exception that contradicts the express requirements of DORA Article 2.</w:t>
      </w:r>
    </w:p>
    <w:p>
      <w:pPr>
        <w:pStyle w:val="ListBullet"/>
      </w:pPr>
      <w:r>
        <w:t>The organisation shall not approve an exception to the requirement to maintain a documented applicability determination.</w:t>
      </w:r>
    </w:p>
    <w:p>
      <w:pPr>
        <w:pStyle w:val="ListBullet"/>
      </w:pPr>
      <w:r>
        <w:t>The organisation shall not approve indefinite exceptions.</w:t>
      </w:r>
    </w:p>
    <w:p>
      <w:pPr>
        <w:pStyle w:val="ListBullet"/>
      </w:pPr>
      <w:r>
        <w:t>The organisation shall review active exceptions at least quarterly.</w:t>
      </w:r>
    </w:p>
    <w:p>
      <w:pPr>
        <w:pStyle w:val="ListBullet"/>
      </w:pPr>
      <w:r>
        <w:t>The organisation shall escalate overdue or high-risk exceptions to the Executive Risk Committee or equivalent governance forum.</w:t>
      </w:r>
    </w:p>
    <w:p>
      <w:r>
        <w:t>Example exception records are shown below for format and content expectations: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Exception ID</w:t>
            </w:r>
          </w:p>
        </w:tc>
        <w:tc>
          <w:tcPr>
            <w:tcW w:type="dxa" w:w="1234"/>
          </w:tcPr>
          <w:p>
            <w:r>
              <w:t>Policy Requirement</w:t>
            </w:r>
          </w:p>
        </w:tc>
        <w:tc>
          <w:tcPr>
            <w:tcW w:type="dxa" w:w="1234"/>
          </w:tcPr>
          <w:p>
            <w:r>
              <w:t>Reason</w:t>
            </w:r>
          </w:p>
        </w:tc>
        <w:tc>
          <w:tcPr>
            <w:tcW w:type="dxa" w:w="1234"/>
          </w:tcPr>
          <w:p>
            <w:r>
              <w:t>Risk Rating</w:t>
            </w:r>
          </w:p>
        </w:tc>
        <w:tc>
          <w:tcPr>
            <w:tcW w:type="dxa" w:w="1234"/>
          </w:tcPr>
          <w:p>
            <w:r>
              <w:t>Compensating Control</w:t>
            </w:r>
          </w:p>
        </w:tc>
        <w:tc>
          <w:tcPr>
            <w:tcW w:type="dxa" w:w="1234"/>
          </w:tcPr>
          <w:p>
            <w:r>
              <w:t>Expiry Date</w:t>
            </w:r>
          </w:p>
        </w:tc>
        <w:tc>
          <w:tcPr>
            <w:tcW w:type="dxa" w:w="1234"/>
          </w:tcPr>
          <w:p>
            <w:r>
              <w:t>Status</w:t>
            </w:r>
          </w:p>
        </w:tc>
      </w:tr>
      <w:tr>
        <w:tc>
          <w:tcPr>
            <w:tcW w:type="dxa" w:w="1234"/>
          </w:tcPr>
          <w:p>
            <w:r>
              <w:t>EX-DORA-002-001</w:t>
            </w:r>
          </w:p>
        </w:tc>
        <w:tc>
          <w:tcPr>
            <w:tcW w:type="dxa" w:w="1234"/>
          </w:tcPr>
          <w:p>
            <w:r>
              <w:t>Annual reassessment completed by scheduled review date</w:t>
            </w:r>
          </w:p>
        </w:tc>
        <w:tc>
          <w:tcPr>
            <w:tcW w:type="dxa" w:w="1234"/>
          </w:tcPr>
          <w:p>
            <w:r>
              <w:t>Pending confirmation of licence variation from competent authority</w:t>
            </w:r>
          </w:p>
        </w:tc>
        <w:tc>
          <w:tcPr>
            <w:tcW w:type="dxa" w:w="1234"/>
          </w:tcPr>
          <w:p>
            <w:r>
              <w:t>Medium</w:t>
            </w:r>
          </w:p>
        </w:tc>
        <w:tc>
          <w:tcPr>
            <w:tcW w:type="dxa" w:w="1234"/>
          </w:tcPr>
          <w:p>
            <w:r>
              <w:t>Interim Legal review completed; no new regulated service launched until confirmation</w:t>
            </w:r>
          </w:p>
        </w:tc>
        <w:tc>
          <w:tcPr>
            <w:tcW w:type="dxa" w:w="1234"/>
          </w:tcPr>
          <w:p>
            <w:r>
              <w:t>[YYYY-MM-DD]</w:t>
            </w:r>
          </w:p>
        </w:tc>
        <w:tc>
          <w:tcPr>
            <w:tcW w:type="dxa" w:w="1234"/>
          </w:tcPr>
          <w:p>
            <w:r>
              <w:t>Open</w:t>
            </w:r>
          </w:p>
        </w:tc>
      </w:tr>
      <w:tr>
        <w:tc>
          <w:tcPr>
            <w:tcW w:type="dxa" w:w="1234"/>
          </w:tcPr>
          <w:p>
            <w:r>
              <w:t>EX-DORA-002-002</w:t>
            </w:r>
          </w:p>
        </w:tc>
        <w:tc>
          <w:tcPr>
            <w:tcW w:type="dxa" w:w="1234"/>
          </w:tcPr>
          <w:p>
            <w:r>
              <w:t>Proportionality classification evidence pack complete</w:t>
            </w:r>
          </w:p>
        </w:tc>
        <w:tc>
          <w:tcPr>
            <w:tcW w:type="dxa" w:w="1234"/>
          </w:tcPr>
          <w:p>
            <w:r>
              <w:t>ICT dependency metrics unavailable due to system migration</w:t>
            </w:r>
          </w:p>
        </w:tc>
        <w:tc>
          <w:tcPr>
            <w:tcW w:type="dxa" w:w="1234"/>
          </w:tcPr>
          <w:p>
            <w:r>
              <w:t>Low</w:t>
            </w:r>
          </w:p>
        </w:tc>
        <w:tc>
          <w:tcPr>
            <w:tcW w:type="dxa" w:w="1234"/>
          </w:tcPr>
          <w:p>
            <w:r>
              <w:t>Manual service criticality review completed by ICT Risk and Business Owners</w:t>
            </w:r>
          </w:p>
        </w:tc>
        <w:tc>
          <w:tcPr>
            <w:tcW w:type="dxa" w:w="1234"/>
          </w:tcPr>
          <w:p>
            <w:r>
              <w:t>[YYYY-MM-DD]</w:t>
            </w:r>
          </w:p>
        </w:tc>
        <w:tc>
          <w:tcPr>
            <w:tcW w:type="dxa" w:w="1234"/>
          </w:tcPr>
          <w:p>
            <w:r>
              <w:t>Approved</w:t>
            </w:r>
          </w:p>
        </w:tc>
      </w:tr>
    </w:tbl>
    <w:p>
      <w:pPr>
        <w:pStyle w:val="Heading2"/>
      </w:pPr>
      <w:r>
        <w:t>Review &amp; Maintenance</w:t>
      </w:r>
    </w:p>
    <w:p>
      <w:r>
        <w:t>This Policy shall be reviewed at least annually and additionally when any of the following occur:</w:t>
      </w:r>
    </w:p>
    <w:p>
      <w:pPr>
        <w:pStyle w:val="ListBullet"/>
      </w:pPr>
      <w:r>
        <w:t>DORA Article 2 or related regulatory technical standards, implementing standards, or supervisory guidance are amended or clarified;</w:t>
      </w:r>
    </w:p>
    <w:p>
      <w:pPr>
        <w:pStyle w:val="ListBullet"/>
      </w:pPr>
      <w:r>
        <w:t>The organisation’s regulatory licence, authorisation, registration, or permission changes;</w:t>
      </w:r>
    </w:p>
    <w:p>
      <w:pPr>
        <w:pStyle w:val="ListBullet"/>
      </w:pPr>
      <w:r>
        <w:t>The organisation launches, acquires, ceases, or materially changes a regulated financial service;</w:t>
      </w:r>
    </w:p>
    <w:p>
      <w:pPr>
        <w:pStyle w:val="ListBullet"/>
      </w:pPr>
      <w:r>
        <w:t>The organisation enters a new jurisdiction or changes its cross-border operating model;</w:t>
      </w:r>
    </w:p>
    <w:p>
      <w:pPr>
        <w:pStyle w:val="ListBullet"/>
      </w:pPr>
      <w:r>
        <w:t>The organisation completes a merger, acquisition, divestment, restructuring, or legal entity change;</w:t>
      </w:r>
    </w:p>
    <w:p>
      <w:pPr>
        <w:pStyle w:val="ListBullet"/>
      </w:pPr>
      <w:r>
        <w:t>Competent authority feedback, audit findings, or compliance monitoring identifies a deficiency in the applicability determination;</w:t>
      </w:r>
    </w:p>
    <w:p>
      <w:pPr>
        <w:pStyle w:val="ListBullet"/>
      </w:pPr>
      <w:r>
        <w:t>The organisation’s size, risk profile, ICT dependency, or operational complexity materially changes.</w:t>
      </w:r>
    </w:p>
    <w:p>
      <w:r>
        <w:t>The Policy Owner shall ensure that each review considers:</w:t>
      </w:r>
    </w:p>
    <w:p>
      <w:pPr>
        <w:pStyle w:val="ListBullet"/>
      </w:pPr>
      <w:r>
        <w:t>Continued alignment with DORA Article 2;</w:t>
      </w:r>
    </w:p>
    <w:p>
      <w:pPr>
        <w:pStyle w:val="ListBullet"/>
      </w:pPr>
      <w:r>
        <w:t>Accuracy of financial entity categorisation;</w:t>
      </w:r>
    </w:p>
    <w:p>
      <w:pPr>
        <w:pStyle w:val="ListBullet"/>
      </w:pPr>
      <w:r>
        <w:t>Continued validity of exclusions or exemptions relied upon;</w:t>
      </w:r>
    </w:p>
    <w:p>
      <w:pPr>
        <w:pStyle w:val="ListBullet"/>
      </w:pPr>
      <w:r>
        <w:t>Adequacy of proportionality classification criteria;</w:t>
      </w:r>
    </w:p>
    <w:p>
      <w:pPr>
        <w:pStyle w:val="ListBullet"/>
      </w:pPr>
      <w:r>
        <w:t>Consistency with legal entity records, licence inventories, and regulatory filings;</w:t>
      </w:r>
    </w:p>
    <w:p>
      <w:pPr>
        <w:pStyle w:val="ListBullet"/>
      </w:pPr>
      <w:r>
        <w:t>Lessons learned from audits, supervisory interactions, incidents, and organisational changes;</w:t>
      </w:r>
    </w:p>
    <w:p>
      <w:pPr>
        <w:pStyle w:val="ListBullet"/>
      </w:pPr>
      <w:r>
        <w:t>Adequacy of roles, responsibilities, monitoring, and escalation requirements.</w:t>
      </w:r>
    </w:p>
    <w:p>
      <w:r>
        <w:t>Material amendments to this Policy shall be reviewed by Compliance and Legal and approved by the designated governance authority.</w:t>
      </w:r>
    </w:p>
    <w:p>
      <w:r>
        <w:t>The organisation shall retain superseded versions of this Policy, approval records, and related applicability assessment records in accordance with applicable records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