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Acceptable Use Policy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[AUP-POL-001]</w:t>
            </w:r>
          </w:p>
        </w:tc>
        <w:tc>
          <w:tcPr>
            <w:tcW w:type="dxa" w:w="1234"/>
          </w:tcPr>
          <w:p>
            <w:r>
              <w:t>1.0</w:t>
            </w:r>
          </w:p>
        </w:tc>
        <w:tc>
          <w:tcPr>
            <w:tcW w:type="dxa" w:w="1234"/>
          </w:tcPr>
          <w:p>
            <w:r>
              <w:t>[Information Security Manager]</w:t>
            </w:r>
          </w:p>
        </w:tc>
        <w:tc>
          <w:tcPr>
            <w:tcW w:type="dxa" w:w="1234"/>
          </w:tcPr>
          <w:p>
            <w:r>
              <w:t>[YYYY-MM-DD]</w:t>
            </w:r>
          </w:p>
        </w:tc>
        <w:tc>
          <w:tcPr>
            <w:tcW w:type="dxa" w:w="1234"/>
          </w:tcPr>
          <w:p>
            <w:r>
              <w:t>ISO/IEC 27001:2022</w:t>
            </w:r>
          </w:p>
        </w:tc>
        <w:tc>
          <w:tcPr>
            <w:tcW w:type="dxa" w:w="1234"/>
          </w:tcPr>
          <w:p>
            <w:r>
              <w:t>Annex A.5.10 — Acceptable Use of Information and Other Associated Assets</w:t>
            </w:r>
          </w:p>
        </w:tc>
        <w:tc>
          <w:tcPr>
            <w:tcW w:type="dxa" w:w="1234"/>
          </w:tcPr>
          <w:p>
            <w:r>
              <w:t>Internal</w:t>
            </w:r>
          </w:p>
        </w:tc>
      </w:tr>
    </w:tbl>
    <w:p>
      <w:pPr>
        <w:pStyle w:val="Heading2"/>
      </w:pPr>
      <w:r>
        <w:t>Purpose</w:t>
      </w:r>
    </w:p>
    <w:p>
      <w:r>
        <w:t>The purpose of this Acceptable Use Policy is to define mandatory rules for the appropriate, secure, and authorised use of the organisation’s information, information systems, IT assets, communications services, and information processing facilities.</w:t>
      </w:r>
    </w:p>
    <w:p>
      <w:r>
        <w:t>This Policy supports ISO/IEC 27001:2022 Annex A.5.10 by ensuring that personnel understand and follow the organisation’s requirements for acceptable use of information and associated assets throughout their lifecycle, including creation, access, processing, storage, transmission, sharing, retention, and disposal.</w:t>
      </w:r>
    </w:p>
    <w:p>
      <w:pPr>
        <w:pStyle w:val="Heading2"/>
      </w:pPr>
      <w:r>
        <w:t>Scope</w:t>
      </w:r>
    </w:p>
    <w:p>
      <w:r>
        <w:t>This Policy applies to:</w:t>
      </w:r>
    </w:p>
    <w:p>
      <w:pPr>
        <w:pStyle w:val="ListBullet"/>
      </w:pPr>
      <w:r>
        <w:t>All employees, contractors, consultants, temporary workers, interns, third-party users, service providers, and any other personnel who access, process, store, transmit, or manage organisational information or associated assets.</w:t>
      </w:r>
    </w:p>
    <w:p>
      <w:pPr>
        <w:pStyle w:val="ListBullet"/>
      </w:pPr>
      <w:r>
        <w:t>All information owned, processed, stored, or transmitted by or on behalf of the organisation, regardless of format, classification, location, or ownership of the device used.</w:t>
      </w:r>
    </w:p>
    <w:p>
      <w:pPr>
        <w:pStyle w:val="ListBullet"/>
      </w:pPr>
      <w:r>
        <w:t>All organisational information assets and associated assets, including but not limited to:</w:t>
      </w:r>
    </w:p>
    <w:p>
      <w:pPr>
        <w:pStyle w:val="ListBullet"/>
      </w:pPr>
      <w:r>
        <w:t>End-user devices, including desktops, laptops, tablets, smartphones, and removable media.</w:t>
      </w:r>
    </w:p>
    <w:p>
      <w:pPr>
        <w:pStyle w:val="ListBullet"/>
      </w:pPr>
      <w:r>
        <w:t>Servers, applications, databases, cloud platforms, collaboration tools, and software-as-a-service services.</w:t>
      </w:r>
    </w:p>
    <w:p>
      <w:pPr>
        <w:pStyle w:val="ListBullet"/>
      </w:pPr>
      <w:r>
        <w:t>Networks, internet connectivity, email, messaging systems, telephony, video conferencing, and remote access services.</w:t>
      </w:r>
    </w:p>
    <w:p>
      <w:pPr>
        <w:pStyle w:val="ListBullet"/>
      </w:pPr>
      <w:r>
        <w:t>Physical information processing facilities, including offices, data centres, server rooms, network rooms, and secure work areas.</w:t>
      </w:r>
    </w:p>
    <w:p>
      <w:pPr>
        <w:pStyle w:val="ListBullet"/>
      </w:pPr>
      <w:r>
        <w:t>Paper records, printed materials, portable storage, backups, and archived information.</w:t>
      </w:r>
    </w:p>
    <w:p>
      <w:pPr>
        <w:pStyle w:val="ListBullet"/>
      </w:pPr>
      <w:r>
        <w:t>Use of organisation-provided assets and personally owned assets where they are authorised to access or process organisational information.</w:t>
      </w:r>
    </w:p>
    <w:p>
      <w:r>
        <w:t>This Policy applies regardless of whether access occurs from organisation premises, remote locations, third-party premises, public locations, or personal residences.</w:t>
      </w:r>
    </w:p>
    <w:p>
      <w:pPr>
        <w:pStyle w:val="Heading2"/>
      </w:pPr>
      <w:r>
        <w:t>Policy Statements</w:t>
      </w:r>
    </w:p>
    <w:p>
      <w:pPr>
        <w:pStyle w:val="ListBullet"/>
      </w:pPr>
      <w:r>
        <w:t>Authorised Use</w:t>
      </w:r>
    </w:p>
    <w:p>
      <w:r>
        <w:t>1.1. Users shall use organisational information, IT assets, communication services, and information processing facilities only for authorised business purposes and in accordance with assigned duties, contractual obligations, applicable laws, and approved organisational policies. 1.2. Users shall access only the information, systems, services, and facilities for which they have been explicitly authorised. 1.3. Users shall not attempt to bypass, disable, interfere with, or circumvent security controls, access restrictions, monitoring mechanisms, logging, content filtering, endpoint protection, or other protective measures. 1.4. Users shall not use organisational assets for activities that are illegal, fraudulent, malicious, discriminatory, harassing, defamatory, obscene, threatening, or otherwise inconsistent with organisational values and legal obligations.</w:t>
      </w:r>
    </w:p>
    <w:p>
      <w:pPr>
        <w:pStyle w:val="ListBullet"/>
      </w:pPr>
      <w:r>
        <w:t>Protection of Information</w:t>
      </w:r>
    </w:p>
    <w:p>
      <w:r>
        <w:t>2.1. Users shall handle organisational information in accordance with its approved classification, handling requirements, retention requirements, and any applicable legal, regulatory, contractual, or privacy obligations. 2.2. Users shall ensure that confidential, restricted, personal, customer, regulated, or commercially sensitive information is accessed, stored, processed, transmitted, shared, and disposed of only using approved methods and systems. 2.3. Users shall not disclose organisational information to unauthorised individuals, groups, third parties, public forums, social media platforms, or external services without prior authorisation and an approved business need. 2.4. Users shall verify recipients and communication channels before sending confidential, restricted, personal, or sensitive information. 2.5. Users shall not discuss confidential or sensitive organisational information in public areas, shared spaces, transport, or any location where it may be overheard by unauthorised persons. 2.6. Users shall protect printed, written, and displayed information from unauthorised viewing, copying, removal, or destruction.</w:t>
      </w:r>
    </w:p>
    <w:p>
      <w:pPr>
        <w:pStyle w:val="ListBullet"/>
      </w:pPr>
      <w:r>
        <w:t>Use of Organisational IT Assets</w:t>
      </w:r>
    </w:p>
    <w:p>
      <w:r>
        <w:t>3.1. Users shall take reasonable care of organisational IT assets assigned to them and shall protect such assets from loss, theft, damage, unauthorised access, and misuse. 3.2. Users shall not lend, transfer, sell, modify, reassign, or dispose of organisational IT assets unless authorised through approved asset management processes. 3.3. Users shall keep organisational devices physically secure, including when working remotely, travelling, or using shared locations. 3.4. Users shall promptly report lost, stolen, damaged, compromised, or suspected compromised assets in accordance with incident reporting requirements. 3.5. Users shall return all organisational assets, information, access tokens, removable media, documents, and credentials upon termination, role change, contract completion, or request by the organisation.</w:t>
      </w:r>
    </w:p>
    <w:p>
      <w:pPr>
        <w:pStyle w:val="ListBullet"/>
      </w:pPr>
      <w:r>
        <w:t>User Accounts, Authentication, and Credentials</w:t>
      </w:r>
    </w:p>
    <w:p>
      <w:r>
        <w:t>4.1. Users shall use only their assigned user accounts and shall not share accounts, passwords, passphrases, authentication tokens, smart cards, certificates, one-time codes, or multi-factor authentication devices with any other person. 4.2. Users shall maintain the confidentiality of credentials and shall not write them down, store them in unapproved locations, transmit them insecurely, or reuse them where prohibited by organisational standards. 4.3. Users shall use approved password managers and authentication methods where provided or mandated by the organisation. 4.4. Users shall lock or log out of workstations, applications, and sessions when unattended or when use is complete. 4.5. Users shall immediately report suspected credential disclosure, unauthorised account use, phishing attempts, or authentication anomalies.</w:t>
      </w:r>
    </w:p>
    <w:p>
      <w:pPr>
        <w:pStyle w:val="ListBullet"/>
      </w:pPr>
      <w:r>
        <w:t>Software, Applications, and Cloud Services</w:t>
      </w:r>
    </w:p>
    <w:p>
      <w:r>
        <w:t>5.1. Users shall use only approved, licensed, and authorised software, applications, browser extensions, scripts, utilities, and cloud services for organisational business. 5.2. Users shall not install, download, execute, or use unauthorised software, freeware, shareware, cracked software, unlicensed software, peer-to-peer tools, hacking tools, malware, or tools designed to bypass security controls. 5.3. Users shall not upload, store, process, or share organisational information using unauthorised personal cloud storage, personal email, consumer messaging applications, file-sharing services, artificial intelligence services, or external collaboration platforms. 5.4. Users shall not connect third-party applications, integrations, plug-ins, or automation tools to organisational systems unless approved through appropriate security and change management processes. 5.5. Users shall comply with software licensing, intellectual property, copyright, and usage restrictions.</w:t>
      </w:r>
    </w:p>
    <w:p>
      <w:pPr>
        <w:pStyle w:val="ListBullet"/>
      </w:pPr>
      <w:r>
        <w:t>Email, Messaging, Collaboration, and Internet Use</w:t>
      </w:r>
    </w:p>
    <w:p>
      <w:r>
        <w:t>6.1. Users shall use organisational email, messaging, collaboration, and internet services responsibly, professionally, and in support of authorised business activities. 6.2. Users shall not use organisational communication services to create, transmit, store, or distribute content that is unlawful, abusive, offensive, discriminatory, harassing, sexually explicit, defamatory, threatening, knowingly false, or malicious. 6.3. Users shall not open suspicious links, attachments, macros, or files from untrusted sources and shall report suspected phishing or malicious communications using approved reporting channels. 6.4. Users shall not auto-forward organisational email or business communications to personal email accounts or unauthorised external accounts. 6.5. Users shall not subscribe to non-business services, mailing lists, social media accounts, or web platforms using organisational accounts unless there is an approved business purpose. 6.6. Users shall not use organisational internet access to visit sites or services that are illegal, malicious, high-risk, or unrelated to authorised business where such use creates security, legal, reputational, or operational risk.</w:t>
      </w:r>
    </w:p>
    <w:p>
      <w:pPr>
        <w:pStyle w:val="ListBullet"/>
      </w:pPr>
      <w:r>
        <w:t>Remote Working and Mobile Use</w:t>
      </w:r>
    </w:p>
    <w:p>
      <w:r>
        <w:t>7.1. Users shall access organisational systems remotely only through approved remote access methods, secured networks, and authentication mechanisms. 7.2. Users shall ensure that remote working environments protect organisational information from unauthorised access, viewing, overhearing, recording, theft, or loss. 7.3. Users shall not use public or untrusted devices to access organisational systems unless explicitly authorised and technically controlled. 7.4. Users shall not process confidential, restricted, personal, or regulated information over public networks unless an approved secure connection is used. 7.5. Users shall ensure that mobile devices used for organisational purposes are protected by approved security controls, including screen lock, encryption where required, supported operating systems, and remote wipe or equivalent management capability where applicable.</w:t>
      </w:r>
    </w:p>
    <w:p>
      <w:pPr>
        <w:pStyle w:val="ListBullet"/>
      </w:pPr>
      <w:r>
        <w:t>Personally Owned Devices and Bring Your Own Device</w:t>
      </w:r>
    </w:p>
    <w:p>
      <w:r>
        <w:t>8.1. Users shall not use personally owned devices to access, store, process, or transmit organisational information unless such use is explicitly authorised under approved bring-your-own-device requirements. 8.2. Users shall permit required security controls on personally owned devices used for organisational purposes, including device registration, access controls, encryption, endpoint protection, mobile device management, data separation, monitoring of organisational data, and remote removal of organisational information where applicable. 8.3. Users shall not store organisational information locally on personally owned devices unless specifically authorised and protected in accordance with organisational security requirements. 8.4. Users shall promptly notify the organisation if an authorised personally owned device is lost, stolen, compromised, shared with unauthorised persons, sold, transferred, repaired, or decommissioned.</w:t>
      </w:r>
    </w:p>
    <w:p>
      <w:pPr>
        <w:pStyle w:val="ListBullet"/>
      </w:pPr>
      <w:r>
        <w:t>Removable Media and Portable Storage</w:t>
      </w:r>
    </w:p>
    <w:p>
      <w:r>
        <w:t>9.1. Users shall use removable media and portable storage only where there is an approved business need and where the media is authorised, encrypted where required, and protected from loss or unauthorised access. 9.2. Users shall not connect unknown, found, untrusted, or personal removable media to organisational assets or networks. 9.3. Users shall not copy confidential, restricted, personal, regulated, or sensitive information to removable media unless authorised and protected using approved encryption and handling controls. 9.4. Users shall securely return, erase, destroy, or dispose of removable media in accordance with organisational media handling and disposal requirements.</w:t>
      </w:r>
    </w:p>
    <w:p>
      <w:pPr>
        <w:pStyle w:val="ListBullet"/>
      </w:pPr>
      <w:r>
        <w:t>Physical and Environmental Use of Facilities</w:t>
      </w:r>
    </w:p>
    <w:p>
      <w:r>
        <w:t>10.1. Users shall access organisation premises, restricted areas, secure workspaces, data centres, server rooms, network rooms, and information processing facilities only when authorised. 10.2. Users shall not allow unauthorised individuals to tailgate, piggyback, enter restricted areas, use access badges, or access information processing facilities. 10.3. Users shall wear and display identification badges where required and shall challenge or report unidentified or unauthorised persons in controlled areas where safe to do so. 10.4. Users shall comply with clean desk and clear screen requirements to protect sensitive information from unauthorised disclosure. 10.5. Users shall not tamper with, relocate, connect to, disconnect, or modify network equipment, cabling, servers, security devices, power systems, environmental controls, or other infrastructure unless authorised.</w:t>
      </w:r>
    </w:p>
    <w:p>
      <w:pPr>
        <w:pStyle w:val="ListBullet"/>
      </w:pPr>
      <w:r>
        <w:t>Use of Networks and Connectivity</w:t>
      </w:r>
    </w:p>
    <w:p>
      <w:r>
        <w:t>11.1. Users shall connect organisational assets only to authorised networks and approved connectivity services. 11.2. Users shall not connect unauthorised wireless access points, routers, switches, modems, network bridges, cellular hotspots, storage devices, or other network equipment to organisational networks. 11.3. Users shall not perform network scanning, vulnerability testing, interception, packet capture, traffic redirection, credential harvesting, spoofing, denial-of-service activity, or other security testing unless formally authorised. 11.4. Users shall not intentionally introduce malware, unauthorised code, unauthorised automation, or disruptive activity into organisational systems or networks.</w:t>
      </w:r>
    </w:p>
    <w:p>
      <w:pPr>
        <w:pStyle w:val="ListBullet"/>
      </w:pPr>
      <w:r>
        <w:t>Data Transfer, Sharing, and External Disclosure</w:t>
      </w:r>
    </w:p>
    <w:p>
      <w:r>
        <w:t>12.1. Users shall share organisational information only with authorised recipients who have a legitimate business need and are subject to appropriate confidentiality, contractual, legal, and security obligations. 12.2. Users shall use approved secure transfer methods for transmitting confidential, restricted, personal, regulated, or sensitive information externally. 12.3. Users shall not publish, post, disclose, or discuss non-public organisational information on social media, public websites, forums, code repositories, blogs, conferences, or other external channels without prior approval. 12.4. Users shall ensure that external sharing permissions, links, folders, and collaboration spaces are limited to authorised recipients and are removed when no longer required. 12.5. Users shall not use organisational information for personal gain, unauthorised research, competitive advantage, or purposes unrelated to authorised organisational activities.</w:t>
      </w:r>
    </w:p>
    <w:p>
      <w:pPr>
        <w:pStyle w:val="ListBullet"/>
      </w:pPr>
      <w:r>
        <w:t>Artificial Intelligence, Automation, and External Processing Tools</w:t>
      </w:r>
    </w:p>
    <w:p>
      <w:r>
        <w:t>13.1. Users shall not submit confidential, restricted, personal, regulated, customer, proprietary, authentication, source code, security, or commercially sensitive information to public or unapproved artificial intelligence, machine learning, analytics, translation, transcription, automation, or external processing services. 13.2. Users shall use only approved AI and automation tools for organisational work and shall comply with any data classification, privacy, intellectual property, and human review requirements established for such tools. 13.3. Users shall validate outputs from AI or automation tools before business use and shall remain accountable for decisions, communications, or work products generated or assisted by such tools.</w:t>
      </w:r>
    </w:p>
    <w:p>
      <w:pPr>
        <w:pStyle w:val="ListBullet"/>
      </w:pPr>
      <w:r>
        <w:t>Personal Use</w:t>
      </w:r>
    </w:p>
    <w:p>
      <w:r>
        <w:t>14.1. Limited personal use of organisational IT assets and communication services may be permitted where it is lawful, reasonable, incidental, does not interfere with work responsibilities, does not create security or operational risk, does not incur material cost, and does not breach this Policy or any other organisational requirement. 14.2. Users shall have no expectation of privacy when using organisational assets, networks, systems, or services, except where privacy rights are protected by applicable law. 14.3. Users shall not use organisational assets for personal commercial activities, political campaigning, unauthorised fundraising, gambling, cryptocurrency mining, unauthorised streaming, mass personal storage, or activities that create reputational, legal, regulatory, or security risk.</w:t>
      </w:r>
    </w:p>
    <w:p>
      <w:pPr>
        <w:pStyle w:val="ListBullet"/>
      </w:pPr>
      <w:r>
        <w:t>Monitoring, Logging, and Privacy</w:t>
      </w:r>
    </w:p>
    <w:p>
      <w:r>
        <w:t>15.1. Users shall acknowledge that use of organisational information assets, systems, networks, facilities, and services may be monitored, logged, inspected, analysed, retained, and disclosed where permitted by law and necessary for security, compliance, operational, legal, or investigative purposes. 15.2. The organisation shall conduct monitoring in accordance with applicable privacy, employment, labour, contractual, and data protection requirements. 15.3. Users shall not attempt to remove, alter, obscure, disable, or interfere with logs, monitoring tools, audit trails, endpoint controls, or security telemetry.</w:t>
      </w:r>
    </w:p>
    <w:p>
      <w:pPr>
        <w:pStyle w:val="ListBullet"/>
      </w:pPr>
      <w:r>
        <w:t>Incident Reporting</w:t>
      </w:r>
    </w:p>
    <w:p>
      <w:r>
        <w:t>16.1. Users shall promptly report actual or suspected information security incidents, policy violations, unauthorised access, data leakage, malware infection, phishing, lost or stolen assets, misdirected communications, exposed information, or suspicious activity through approved reporting channels. 16.2. Users shall preserve relevant evidence and shall not investigate, remediate, delete, alter, or disclose suspected incidents unless directed by authorised personnel. 16.3. Users shall cooperate with authorised investigations, containment activities, and recovery actions.</w:t>
      </w:r>
    </w:p>
    <w:p>
      <w:pPr>
        <w:pStyle w:val="ListBullet"/>
      </w:pPr>
      <w:r>
        <w:t>Acknowledgement and Training</w:t>
      </w:r>
    </w:p>
    <w:p>
      <w:r>
        <w:t>17.1. Users shall read, understand, and acknowledge this Policy before being granted access to organisational information or associated assets and periodically thereafter. 17.2. Users shall complete required information security awareness training, including acceptable use, phishing awareness, data handling, incident reporting, and secure remote working requirements. 17.3. Managers shall ensure that users under their supervision understand the acceptable use requirements relevant to their roles and working arrangements.</w:t>
      </w:r>
    </w:p>
    <w:p>
      <w:pPr>
        <w:pStyle w:val="ListBullet"/>
      </w:pPr>
      <w:r>
        <w:t>Minimum Acceptable Use Requirements by Asset Type</w:t>
      </w:r>
    </w:p>
    <w:tbl>
      <w:tblPr>
        <w:tblStyle w:val="TableGrid"/>
        <w:tblW w:type="auto" w:w="0"/>
        <w:tblLook w:firstColumn="1" w:firstRow="1" w:lastColumn="0" w:lastRow="0" w:noHBand="0" w:noVBand="1" w:val="04A0"/>
      </w:tblPr>
      <w:tblGrid>
        <w:gridCol w:w="2880"/>
        <w:gridCol w:w="2880"/>
        <w:gridCol w:w="2880"/>
      </w:tblGrid>
      <w:tr>
        <w:tc>
          <w:tcPr>
            <w:tcW w:type="dxa" w:w="2880"/>
          </w:tcPr>
          <w:p>
            <w:r>
              <w:t>Asset or Service</w:t>
            </w:r>
          </w:p>
        </w:tc>
        <w:tc>
          <w:tcPr>
            <w:tcW w:type="dxa" w:w="2880"/>
          </w:tcPr>
          <w:p>
            <w:r>
              <w:t>Acceptable Use Requirements</w:t>
            </w:r>
          </w:p>
        </w:tc>
        <w:tc>
          <w:tcPr>
            <w:tcW w:type="dxa" w:w="2880"/>
          </w:tcPr>
          <w:p>
            <w:r>
              <w:t>Prohibited Use Examples</w:t>
            </w:r>
          </w:p>
        </w:tc>
      </w:tr>
      <w:tr>
        <w:tc>
          <w:tcPr>
            <w:tcW w:type="dxa" w:w="2880"/>
          </w:tcPr>
          <w:p>
            <w:r>
              <w:t>Organisational laptops and desktops</w:t>
            </w:r>
          </w:p>
        </w:tc>
        <w:tc>
          <w:tcPr>
            <w:tcW w:type="dxa" w:w="2880"/>
          </w:tcPr>
          <w:p>
            <w:r>
              <w:t>Business use, approved software, security controls enabled, locked when unattended, protected from theft</w:t>
            </w:r>
          </w:p>
        </w:tc>
        <w:tc>
          <w:tcPr>
            <w:tcW w:type="dxa" w:w="2880"/>
          </w:tcPr>
          <w:p>
            <w:r>
              <w:t>Disabling endpoint protection, installing unapproved software, sharing device with unauthorised persons</w:t>
            </w:r>
          </w:p>
        </w:tc>
      </w:tr>
      <w:tr>
        <w:tc>
          <w:tcPr>
            <w:tcW w:type="dxa" w:w="2880"/>
          </w:tcPr>
          <w:p>
            <w:r>
              <w:t>Mobile devices</w:t>
            </w:r>
          </w:p>
        </w:tc>
        <w:tc>
          <w:tcPr>
            <w:tcW w:type="dxa" w:w="2880"/>
          </w:tcPr>
          <w:p>
            <w:r>
              <w:t>Approved access, screen lock, supported OS, secure storage, prompt reporting of loss</w:t>
            </w:r>
          </w:p>
        </w:tc>
        <w:tc>
          <w:tcPr>
            <w:tcW w:type="dxa" w:w="2880"/>
          </w:tcPr>
          <w:p>
            <w:r>
              <w:t>Storing sensitive data in personal apps, jailbreaking/rooting, bypassing management controls</w:t>
            </w:r>
          </w:p>
        </w:tc>
      </w:tr>
      <w:tr>
        <w:tc>
          <w:tcPr>
            <w:tcW w:type="dxa" w:w="2880"/>
          </w:tcPr>
          <w:p>
            <w:r>
              <w:t>Email and messaging</w:t>
            </w:r>
          </w:p>
        </w:tc>
        <w:tc>
          <w:tcPr>
            <w:tcW w:type="dxa" w:w="2880"/>
          </w:tcPr>
          <w:p>
            <w:r>
              <w:t>Business communications, approved sharing, phishing caution, professional conduct</w:t>
            </w:r>
          </w:p>
        </w:tc>
        <w:tc>
          <w:tcPr>
            <w:tcW w:type="dxa" w:w="2880"/>
          </w:tcPr>
          <w:p>
            <w:r>
              <w:t>Auto-forwarding to personal email, sending offensive content, opening suspicious attachments</w:t>
            </w:r>
          </w:p>
        </w:tc>
      </w:tr>
      <w:tr>
        <w:tc>
          <w:tcPr>
            <w:tcW w:type="dxa" w:w="2880"/>
          </w:tcPr>
          <w:p>
            <w:r>
              <w:t>Cloud and collaboration services</w:t>
            </w:r>
          </w:p>
        </w:tc>
        <w:tc>
          <w:tcPr>
            <w:tcW w:type="dxa" w:w="2880"/>
          </w:tcPr>
          <w:p>
            <w:r>
              <w:t>Approved repositories, access controlled sharing, secure transfer, classification-based handling</w:t>
            </w:r>
          </w:p>
        </w:tc>
        <w:tc>
          <w:tcPr>
            <w:tcW w:type="dxa" w:w="2880"/>
          </w:tcPr>
          <w:p>
            <w:r>
              <w:t>Uploading sensitive data to personal cloud storage, public sharing of restricted documents</w:t>
            </w:r>
          </w:p>
        </w:tc>
      </w:tr>
      <w:tr>
        <w:tc>
          <w:tcPr>
            <w:tcW w:type="dxa" w:w="2880"/>
          </w:tcPr>
          <w:p>
            <w:r>
              <w:t>Removable media</w:t>
            </w:r>
          </w:p>
        </w:tc>
        <w:tc>
          <w:tcPr>
            <w:tcW w:type="dxa" w:w="2880"/>
          </w:tcPr>
          <w:p>
            <w:r>
              <w:t>Approved business need, encryption where required, secure disposal</w:t>
            </w:r>
          </w:p>
        </w:tc>
        <w:tc>
          <w:tcPr>
            <w:tcW w:type="dxa" w:w="2880"/>
          </w:tcPr>
          <w:p>
            <w:r>
              <w:t>Using unknown USB drives, copying restricted data without approval</w:t>
            </w:r>
          </w:p>
        </w:tc>
      </w:tr>
      <w:tr>
        <w:tc>
          <w:tcPr>
            <w:tcW w:type="dxa" w:w="2880"/>
          </w:tcPr>
          <w:p>
            <w:r>
              <w:t>Networks and internet</w:t>
            </w:r>
          </w:p>
        </w:tc>
        <w:tc>
          <w:tcPr>
            <w:tcW w:type="dxa" w:w="2880"/>
          </w:tcPr>
          <w:p>
            <w:r>
              <w:t>Authorised connectivity, approved remote access, responsible browsing</w:t>
            </w:r>
          </w:p>
        </w:tc>
        <w:tc>
          <w:tcPr>
            <w:tcW w:type="dxa" w:w="2880"/>
          </w:tcPr>
          <w:p>
            <w:r>
              <w:t>Unauthorised scanning, connecting rogue devices, visiting malicious or illegal sites</w:t>
            </w:r>
          </w:p>
        </w:tc>
      </w:tr>
      <w:tr>
        <w:tc>
          <w:tcPr>
            <w:tcW w:type="dxa" w:w="2880"/>
          </w:tcPr>
          <w:p>
            <w:r>
              <w:t>Physical facilities</w:t>
            </w:r>
          </w:p>
        </w:tc>
        <w:tc>
          <w:tcPr>
            <w:tcW w:type="dxa" w:w="2880"/>
          </w:tcPr>
          <w:p>
            <w:r>
              <w:t>Authorised access, badge use, visitor control, clean desk/clear screen</w:t>
            </w:r>
          </w:p>
        </w:tc>
        <w:tc>
          <w:tcPr>
            <w:tcW w:type="dxa" w:w="2880"/>
          </w:tcPr>
          <w:p>
            <w:r>
              <w:t>Tailgating, accessing server rooms without approval, leaving confidential documents exposed</w:t>
            </w:r>
          </w:p>
        </w:tc>
      </w:tr>
      <w:tr>
        <w:tc>
          <w:tcPr>
            <w:tcW w:type="dxa" w:w="2880"/>
          </w:tcPr>
          <w:p>
            <w:r>
              <w:t>Paper records and printouts</w:t>
            </w:r>
          </w:p>
        </w:tc>
        <w:tc>
          <w:tcPr>
            <w:tcW w:type="dxa" w:w="2880"/>
          </w:tcPr>
          <w:p>
            <w:r>
              <w:t>Secure printing, controlled storage, authorised sharing, secure disposal</w:t>
            </w:r>
          </w:p>
        </w:tc>
        <w:tc>
          <w:tcPr>
            <w:tcW w:type="dxa" w:w="2880"/>
          </w:tcPr>
          <w:p>
            <w:r>
              <w:t>Leaving printouts unattended, discarding sensitive records in general waste</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Approve the organisation’s commitment to secure and acceptable use of information and associated assets; ensure adequate resources and authority exist to enforce this Policy.</w:t>
            </w:r>
          </w:p>
        </w:tc>
      </w:tr>
      <w:tr>
        <w:tc>
          <w:tcPr>
            <w:tcW w:type="dxa" w:w="4320"/>
          </w:tcPr>
          <w:p>
            <w:r>
              <w:t>Information Security Manager</w:t>
            </w:r>
          </w:p>
        </w:tc>
        <w:tc>
          <w:tcPr>
            <w:tcW w:type="dxa" w:w="4320"/>
          </w:tcPr>
          <w:p>
            <w:r>
              <w:t>Own and maintain this Policy; define acceptable use requirements; coordinate awareness activities; advise on exceptions; monitor alignment with ISO/IEC 27001:2022 Annex A.5.10 and related controls.</w:t>
            </w:r>
          </w:p>
        </w:tc>
      </w:tr>
      <w:tr>
        <w:tc>
          <w:tcPr>
            <w:tcW w:type="dxa" w:w="4320"/>
          </w:tcPr>
          <w:p>
            <w:r>
              <w:t>IT Management</w:t>
            </w:r>
          </w:p>
        </w:tc>
        <w:tc>
          <w:tcPr>
            <w:tcW w:type="dxa" w:w="4320"/>
          </w:tcPr>
          <w:p>
            <w:r>
              <w:t>Implement and operate technical controls that support acceptable use, including access controls, endpoint protection, logging, monitoring, network security, software control, remote access, and asset management.</w:t>
            </w:r>
          </w:p>
        </w:tc>
      </w:tr>
      <w:tr>
        <w:tc>
          <w:tcPr>
            <w:tcW w:type="dxa" w:w="4320"/>
          </w:tcPr>
          <w:p>
            <w:r>
              <w:t>Human Resources</w:t>
            </w:r>
          </w:p>
        </w:tc>
        <w:tc>
          <w:tcPr>
            <w:tcW w:type="dxa" w:w="4320"/>
          </w:tcPr>
          <w:p>
            <w:r>
              <w:t>Support communication, acknowledgement, onboarding, offboarding, disciplinary processes, and role-based awareness relating to acceptable use requirements.</w:t>
            </w:r>
          </w:p>
        </w:tc>
      </w:tr>
      <w:tr>
        <w:tc>
          <w:tcPr>
            <w:tcW w:type="dxa" w:w="4320"/>
          </w:tcPr>
          <w:p>
            <w:r>
              <w:t>Legal / Compliance / Privacy Function</w:t>
            </w:r>
          </w:p>
        </w:tc>
        <w:tc>
          <w:tcPr>
            <w:tcW w:type="dxa" w:w="4320"/>
          </w:tcPr>
          <w:p>
            <w:r>
              <w:t>Advise on legal, regulatory, contractual, privacy, monitoring, and records requirements associated with acceptable use and investigations.</w:t>
            </w:r>
          </w:p>
        </w:tc>
      </w:tr>
      <w:tr>
        <w:tc>
          <w:tcPr>
            <w:tcW w:type="dxa" w:w="4320"/>
          </w:tcPr>
          <w:p>
            <w:r>
              <w:t>Asset Owners / Information Owners</w:t>
            </w:r>
          </w:p>
        </w:tc>
        <w:tc>
          <w:tcPr>
            <w:tcW w:type="dxa" w:w="4320"/>
          </w:tcPr>
          <w:p>
            <w:r>
              <w:t>Define authorised use, access requirements, handling rules, retention requirements, and sharing restrictions for information and assets under their ownership.</w:t>
            </w:r>
          </w:p>
        </w:tc>
      </w:tr>
      <w:tr>
        <w:tc>
          <w:tcPr>
            <w:tcW w:type="dxa" w:w="4320"/>
          </w:tcPr>
          <w:p>
            <w:r>
              <w:t>Managers</w:t>
            </w:r>
          </w:p>
        </w:tc>
        <w:tc>
          <w:tcPr>
            <w:tcW w:type="dxa" w:w="4320"/>
          </w:tcPr>
          <w:p>
            <w:r>
              <w:t>Ensure personnel understand and comply with this Policy; approve business use where authorised; report violations; support timely return of assets and removal of access when roles change.</w:t>
            </w:r>
          </w:p>
        </w:tc>
      </w:tr>
      <w:tr>
        <w:tc>
          <w:tcPr>
            <w:tcW w:type="dxa" w:w="4320"/>
          </w:tcPr>
          <w:p>
            <w:r>
              <w:t>Users</w:t>
            </w:r>
          </w:p>
        </w:tc>
        <w:tc>
          <w:tcPr>
            <w:tcW w:type="dxa" w:w="4320"/>
          </w:tcPr>
          <w:p>
            <w:r>
              <w:t>Use information and associated assets responsibly, lawfully, securely, and only as authorised; protect credentials and assets; complete training; report incidents and violations promptly.</w:t>
            </w:r>
          </w:p>
        </w:tc>
      </w:tr>
      <w:tr>
        <w:tc>
          <w:tcPr>
            <w:tcW w:type="dxa" w:w="4320"/>
          </w:tcPr>
          <w:p>
            <w:r>
              <w:t>Third Parties / Service Providers</w:t>
            </w:r>
          </w:p>
        </w:tc>
        <w:tc>
          <w:tcPr>
            <w:tcW w:type="dxa" w:w="4320"/>
          </w:tcPr>
          <w:p>
            <w:r>
              <w:t>Comply with this Policy or equivalent contractual requirements when accessing or processing organisational information or using organisational assets, systems, networks, or facilities.</w:t>
            </w:r>
          </w:p>
        </w:tc>
      </w:tr>
      <w:tr>
        <w:tc>
          <w:tcPr>
            <w:tcW w:type="dxa" w:w="4320"/>
          </w:tcPr>
          <w:p>
            <w:r>
              <w:t>Internal Audit / Assurance</w:t>
            </w:r>
          </w:p>
        </w:tc>
        <w:tc>
          <w:tcPr>
            <w:tcW w:type="dxa" w:w="4320"/>
          </w:tcPr>
          <w:p>
            <w:r>
              <w:t>Periodically assess compliance with this Policy and the effectiveness of controls supporting acceptable use.</w:t>
            </w:r>
          </w:p>
        </w:tc>
      </w:tr>
    </w:tbl>
    <w:p>
      <w:pPr>
        <w:pStyle w:val="Heading2"/>
      </w:pPr>
      <w:r>
        <w:t>Compliance, Monitoring &amp; Enforcement</w:t>
      </w:r>
    </w:p>
    <w:p>
      <w:r>
        <w:t>Compliance with this Policy is mandatory.</w:t>
      </w:r>
    </w:p>
    <w:p>
      <w:r>
        <w:t>The organisation shall monitor and assess compliance using proportionate and legally permitted methods, which may include:</w:t>
      </w:r>
    </w:p>
    <w:p>
      <w:pPr>
        <w:pStyle w:val="ListBullet"/>
      </w:pPr>
      <w:r>
        <w:t>Access reviews and entitlement reviews.</w:t>
      </w:r>
    </w:p>
    <w:p>
      <w:pPr>
        <w:pStyle w:val="ListBullet"/>
      </w:pPr>
      <w:r>
        <w:t>Asset inventory reconciliation and assigned asset checks.</w:t>
      </w:r>
    </w:p>
    <w:p>
      <w:pPr>
        <w:pStyle w:val="ListBullet"/>
      </w:pPr>
      <w:r>
        <w:t>Endpoint security, configuration, patching, encryption, and device compliance monitoring.</w:t>
      </w:r>
    </w:p>
    <w:p>
      <w:pPr>
        <w:pStyle w:val="ListBullet"/>
      </w:pPr>
      <w:r>
        <w:t>Network, internet, email, remote access, and cloud service logging.</w:t>
      </w:r>
    </w:p>
    <w:p>
      <w:pPr>
        <w:pStyle w:val="ListBullet"/>
      </w:pPr>
      <w:r>
        <w:t>Data loss prevention alerts and information sharing reviews.</w:t>
      </w:r>
    </w:p>
    <w:p>
      <w:pPr>
        <w:pStyle w:val="ListBullet"/>
      </w:pPr>
      <w:r>
        <w:t>Software inventory, licensing, and application control reviews.</w:t>
      </w:r>
    </w:p>
    <w:p>
      <w:pPr>
        <w:pStyle w:val="ListBullet"/>
      </w:pPr>
      <w:r>
        <w:t>Physical access log reviews and visitor access checks.</w:t>
      </w:r>
    </w:p>
    <w:p>
      <w:pPr>
        <w:pStyle w:val="ListBullet"/>
      </w:pPr>
      <w:r>
        <w:t>Security incident analysis and user activity investigations.</w:t>
      </w:r>
    </w:p>
    <w:p>
      <w:pPr>
        <w:pStyle w:val="ListBullet"/>
      </w:pPr>
      <w:r>
        <w:t>Internal audits, management reviews, and control testing.</w:t>
      </w:r>
    </w:p>
    <w:p>
      <w:pPr>
        <w:pStyle w:val="ListBullet"/>
      </w:pPr>
      <w:r>
        <w:t>Training completion and policy acknowledgement tracking.</w:t>
      </w:r>
    </w:p>
    <w:p>
      <w:r>
        <w:t>The following compliance activities shall be performed at minimum: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Role</w:t>
            </w:r>
          </w:p>
        </w:tc>
        <w:tc>
          <w:tcPr>
            <w:tcW w:type="dxa" w:w="2160"/>
          </w:tcPr>
          <w:p>
            <w:r>
              <w:t>Evidence</w:t>
            </w:r>
          </w:p>
        </w:tc>
      </w:tr>
      <w:tr>
        <w:tc>
          <w:tcPr>
            <w:tcW w:type="dxa" w:w="2160"/>
          </w:tcPr>
          <w:p>
            <w:r>
              <w:t>Policy acknowledgement by users</w:t>
            </w:r>
          </w:p>
        </w:tc>
        <w:tc>
          <w:tcPr>
            <w:tcW w:type="dxa" w:w="2160"/>
          </w:tcPr>
          <w:p>
            <w:r>
              <w:t>Upon onboarding and at least annually</w:t>
            </w:r>
          </w:p>
        </w:tc>
        <w:tc>
          <w:tcPr>
            <w:tcW w:type="dxa" w:w="2160"/>
          </w:tcPr>
          <w:p>
            <w:r>
              <w:t>Human Resources / Information Security Manager</w:t>
            </w:r>
          </w:p>
        </w:tc>
        <w:tc>
          <w:tcPr>
            <w:tcW w:type="dxa" w:w="2160"/>
          </w:tcPr>
          <w:p>
            <w:r>
              <w:t>Signed or electronic acknowledgement records</w:t>
            </w:r>
          </w:p>
        </w:tc>
      </w:tr>
      <w:tr>
        <w:tc>
          <w:tcPr>
            <w:tcW w:type="dxa" w:w="2160"/>
          </w:tcPr>
          <w:p>
            <w:r>
              <w:t>Information security awareness training</w:t>
            </w:r>
          </w:p>
        </w:tc>
        <w:tc>
          <w:tcPr>
            <w:tcW w:type="dxa" w:w="2160"/>
          </w:tcPr>
          <w:p>
            <w:r>
              <w:t>Upon onboarding and at least annually</w:t>
            </w:r>
          </w:p>
        </w:tc>
        <w:tc>
          <w:tcPr>
            <w:tcW w:type="dxa" w:w="2160"/>
          </w:tcPr>
          <w:p>
            <w:r>
              <w:t>Information Security Manager / Human Resources</w:t>
            </w:r>
          </w:p>
        </w:tc>
        <w:tc>
          <w:tcPr>
            <w:tcW w:type="dxa" w:w="2160"/>
          </w:tcPr>
          <w:p>
            <w:r>
              <w:t>Training completion reports</w:t>
            </w:r>
          </w:p>
        </w:tc>
      </w:tr>
      <w:tr>
        <w:tc>
          <w:tcPr>
            <w:tcW w:type="dxa" w:w="2160"/>
          </w:tcPr>
          <w:p>
            <w:r>
              <w:t>Review of user access and privileges</w:t>
            </w:r>
          </w:p>
        </w:tc>
        <w:tc>
          <w:tcPr>
            <w:tcW w:type="dxa" w:w="2160"/>
          </w:tcPr>
          <w:p>
            <w:r>
              <w:t>At least quarterly for privileged access; at least annually for standard access</w:t>
            </w:r>
          </w:p>
        </w:tc>
        <w:tc>
          <w:tcPr>
            <w:tcW w:type="dxa" w:w="2160"/>
          </w:tcPr>
          <w:p>
            <w:r>
              <w:t>Asset Owners / IT Management</w:t>
            </w:r>
          </w:p>
        </w:tc>
        <w:tc>
          <w:tcPr>
            <w:tcW w:type="dxa" w:w="2160"/>
          </w:tcPr>
          <w:p>
            <w:r>
              <w:t>Access review records and remediation evidence</w:t>
            </w:r>
          </w:p>
        </w:tc>
      </w:tr>
      <w:tr>
        <w:tc>
          <w:tcPr>
            <w:tcW w:type="dxa" w:w="2160"/>
          </w:tcPr>
          <w:p>
            <w:r>
              <w:t>Endpoint and device compliance review</w:t>
            </w:r>
          </w:p>
        </w:tc>
        <w:tc>
          <w:tcPr>
            <w:tcW w:type="dxa" w:w="2160"/>
          </w:tcPr>
          <w:p>
            <w:r>
              <w:t>At least monthly</w:t>
            </w:r>
          </w:p>
        </w:tc>
        <w:tc>
          <w:tcPr>
            <w:tcW w:type="dxa" w:w="2160"/>
          </w:tcPr>
          <w:p>
            <w:r>
              <w:t>IT Management</w:t>
            </w:r>
          </w:p>
        </w:tc>
        <w:tc>
          <w:tcPr>
            <w:tcW w:type="dxa" w:w="2160"/>
          </w:tcPr>
          <w:p>
            <w:r>
              <w:t>Device compliance reports</w:t>
            </w:r>
          </w:p>
        </w:tc>
      </w:tr>
      <w:tr>
        <w:tc>
          <w:tcPr>
            <w:tcW w:type="dxa" w:w="2160"/>
          </w:tcPr>
          <w:p>
            <w:r>
              <w:t>Review of unauthorised software and cloud service usage</w:t>
            </w:r>
          </w:p>
        </w:tc>
        <w:tc>
          <w:tcPr>
            <w:tcW w:type="dxa" w:w="2160"/>
          </w:tcPr>
          <w:p>
            <w:r>
              <w:t>At least quarterly</w:t>
            </w:r>
          </w:p>
        </w:tc>
        <w:tc>
          <w:tcPr>
            <w:tcW w:type="dxa" w:w="2160"/>
          </w:tcPr>
          <w:p>
            <w:r>
              <w:t>IT Management / Information Security Manager</w:t>
            </w:r>
          </w:p>
        </w:tc>
        <w:tc>
          <w:tcPr>
            <w:tcW w:type="dxa" w:w="2160"/>
          </w:tcPr>
          <w:p>
            <w:r>
              <w:t>Software inventory and cloud usage reports</w:t>
            </w:r>
          </w:p>
        </w:tc>
      </w:tr>
      <w:tr>
        <w:tc>
          <w:tcPr>
            <w:tcW w:type="dxa" w:w="2160"/>
          </w:tcPr>
          <w:p>
            <w:r>
              <w:t>Review of external sharing permissions for collaboration platforms</w:t>
            </w:r>
          </w:p>
        </w:tc>
        <w:tc>
          <w:tcPr>
            <w:tcW w:type="dxa" w:w="2160"/>
          </w:tcPr>
          <w:p>
            <w:r>
              <w:t>At least quarterly</w:t>
            </w:r>
          </w:p>
        </w:tc>
        <w:tc>
          <w:tcPr>
            <w:tcW w:type="dxa" w:w="2160"/>
          </w:tcPr>
          <w:p>
            <w:r>
              <w:t>Information Owners / IT Management</w:t>
            </w:r>
          </w:p>
        </w:tc>
        <w:tc>
          <w:tcPr>
            <w:tcW w:type="dxa" w:w="2160"/>
          </w:tcPr>
          <w:p>
            <w:r>
              <w:t>Sharing review reports and remediation records</w:t>
            </w:r>
          </w:p>
        </w:tc>
      </w:tr>
      <w:tr>
        <w:tc>
          <w:tcPr>
            <w:tcW w:type="dxa" w:w="2160"/>
          </w:tcPr>
          <w:p>
            <w:r>
              <w:t>Security log and alert review</w:t>
            </w:r>
          </w:p>
        </w:tc>
        <w:tc>
          <w:tcPr>
            <w:tcW w:type="dxa" w:w="2160"/>
          </w:tcPr>
          <w:p>
            <w:r>
              <w:t>Ongoing, based on risk and monitoring capability</w:t>
            </w:r>
          </w:p>
        </w:tc>
        <w:tc>
          <w:tcPr>
            <w:tcW w:type="dxa" w:w="2160"/>
          </w:tcPr>
          <w:p>
            <w:r>
              <w:t>IT Management / Security Operations</w:t>
            </w:r>
          </w:p>
        </w:tc>
        <w:tc>
          <w:tcPr>
            <w:tcW w:type="dxa" w:w="2160"/>
          </w:tcPr>
          <w:p>
            <w:r>
              <w:t>Security monitoring records and incident tickets</w:t>
            </w:r>
          </w:p>
        </w:tc>
      </w:tr>
      <w:tr>
        <w:tc>
          <w:tcPr>
            <w:tcW w:type="dxa" w:w="2160"/>
          </w:tcPr>
          <w:p>
            <w:r>
              <w:t>Policy compliance audit</w:t>
            </w:r>
          </w:p>
        </w:tc>
        <w:tc>
          <w:tcPr>
            <w:tcW w:type="dxa" w:w="2160"/>
          </w:tcPr>
          <w:p>
            <w:r>
              <w:t>At least annually or as part of the internal audit programme</w:t>
            </w:r>
          </w:p>
        </w:tc>
        <w:tc>
          <w:tcPr>
            <w:tcW w:type="dxa" w:w="2160"/>
          </w:tcPr>
          <w:p>
            <w:r>
              <w:t>Internal Audit / Information Security Manager</w:t>
            </w:r>
          </w:p>
        </w:tc>
        <w:tc>
          <w:tcPr>
            <w:tcW w:type="dxa" w:w="2160"/>
          </w:tcPr>
          <w:p>
            <w:r>
              <w:t>Audit reports and corrective action plans</w:t>
            </w:r>
          </w:p>
        </w:tc>
      </w:tr>
    </w:tbl>
    <w:p>
      <w:r>
        <w:t>Violations of this Policy may result in one or more of the following actions, depending on severity, intent, impact, contractual terms, and applicable law:</w:t>
      </w:r>
    </w:p>
    <w:p>
      <w:pPr>
        <w:pStyle w:val="ListBullet"/>
      </w:pPr>
      <w:r>
        <w:t>Security warning, coaching, or mandatory retraining.</w:t>
      </w:r>
    </w:p>
    <w:p>
      <w:pPr>
        <w:pStyle w:val="ListBullet"/>
      </w:pPr>
      <w:r>
        <w:t>Temporary or permanent restriction of access.</w:t>
      </w:r>
    </w:p>
    <w:p>
      <w:pPr>
        <w:pStyle w:val="ListBullet"/>
      </w:pPr>
      <w:r>
        <w:t>Removal or quarantine of assets, accounts, software, or data.</w:t>
      </w:r>
    </w:p>
    <w:p>
      <w:pPr>
        <w:pStyle w:val="ListBullet"/>
      </w:pPr>
      <w:r>
        <w:t>Formal disciplinary action, up to and including termination of employment or contract.</w:t>
      </w:r>
    </w:p>
    <w:p>
      <w:pPr>
        <w:pStyle w:val="ListBullet"/>
      </w:pPr>
      <w:r>
        <w:t>Contractual remedies for third parties, including suspension or termination of services.</w:t>
      </w:r>
    </w:p>
    <w:p>
      <w:pPr>
        <w:pStyle w:val="ListBullet"/>
      </w:pPr>
      <w:r>
        <w:t>Civil, regulatory, or criminal referral where required or appropriate.</w:t>
      </w:r>
    </w:p>
    <w:p>
      <w:pPr>
        <w:pStyle w:val="ListBullet"/>
      </w:pPr>
      <w:r>
        <w:t>Recovery of costs or damages where permitted by law and contract.</w:t>
      </w:r>
    </w:p>
    <w:p>
      <w:r>
        <w:t>The organisation shall investigate suspected violations in accordance with approved incident management, disciplinary, legal, and evidence handling processes.</w:t>
      </w:r>
    </w:p>
    <w:p>
      <w:pPr>
        <w:pStyle w:val="Heading2"/>
      </w:pPr>
      <w:r>
        <w:t>Exceptions</w:t>
      </w:r>
    </w:p>
    <w:p>
      <w:r>
        <w:t>Exceptions to this Policy shall be permitted only where there is a documented business need, risk assessment, compensating controls, defined duration, and approval by authorised personnel.</w:t>
      </w:r>
    </w:p>
    <w:p>
      <w:r>
        <w:t>Users shall not proceed with activities that violate this Policy unless an exception has been formally approved in advance, except where immediate action is necessary to protect life, safety, or critical organisational interests. In such cases, the activity shall be reported as soon as practicable.</w:t>
      </w:r>
    </w:p>
    <w:p>
      <w:r>
        <w:t>Exception requests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role, department, and contact details of the person requesting the exception</w:t>
            </w:r>
          </w:p>
        </w:tc>
      </w:tr>
      <w:tr>
        <w:tc>
          <w:tcPr>
            <w:tcW w:type="dxa" w:w="4320"/>
          </w:tcPr>
          <w:p>
            <w:r>
              <w:t>Policy requirement</w:t>
            </w:r>
          </w:p>
        </w:tc>
        <w:tc>
          <w:tcPr>
            <w:tcW w:type="dxa" w:w="4320"/>
          </w:tcPr>
          <w:p>
            <w:r>
              <w:t>Specific requirement for which the exception is requested</w:t>
            </w:r>
          </w:p>
        </w:tc>
      </w:tr>
      <w:tr>
        <w:tc>
          <w:tcPr>
            <w:tcW w:type="dxa" w:w="4320"/>
          </w:tcPr>
          <w:p>
            <w:r>
              <w:t>Business justification</w:t>
            </w:r>
          </w:p>
        </w:tc>
        <w:tc>
          <w:tcPr>
            <w:tcW w:type="dxa" w:w="4320"/>
          </w:tcPr>
          <w:p>
            <w:r>
              <w:t>Reason the exception is necessary and why compliant alternatives are not feasible</w:t>
            </w:r>
          </w:p>
        </w:tc>
      </w:tr>
      <w:tr>
        <w:tc>
          <w:tcPr>
            <w:tcW w:type="dxa" w:w="4320"/>
          </w:tcPr>
          <w:p>
            <w:r>
              <w:t>Assets and information affected</w:t>
            </w:r>
          </w:p>
        </w:tc>
        <w:tc>
          <w:tcPr>
            <w:tcW w:type="dxa" w:w="4320"/>
          </w:tcPr>
          <w:p>
            <w:r>
              <w:t>Systems, services, devices, data types, classifications, and users involved</w:t>
            </w:r>
          </w:p>
        </w:tc>
      </w:tr>
      <w:tr>
        <w:tc>
          <w:tcPr>
            <w:tcW w:type="dxa" w:w="4320"/>
          </w:tcPr>
          <w:p>
            <w:r>
              <w:t>Risk assessment</w:t>
            </w:r>
          </w:p>
        </w:tc>
        <w:tc>
          <w:tcPr>
            <w:tcW w:type="dxa" w:w="4320"/>
          </w:tcPr>
          <w:p>
            <w:r>
              <w:t>Security, privacy, legal, operational, and compliance risks arising from the exception</w:t>
            </w:r>
          </w:p>
        </w:tc>
      </w:tr>
      <w:tr>
        <w:tc>
          <w:tcPr>
            <w:tcW w:type="dxa" w:w="4320"/>
          </w:tcPr>
          <w:p>
            <w:r>
              <w:t>Compensating controls</w:t>
            </w:r>
          </w:p>
        </w:tc>
        <w:tc>
          <w:tcPr>
            <w:tcW w:type="dxa" w:w="4320"/>
          </w:tcPr>
          <w:p>
            <w:r>
              <w:t>Controls that will reduce the risk during the exception period</w:t>
            </w:r>
          </w:p>
        </w:tc>
      </w:tr>
      <w:tr>
        <w:tc>
          <w:tcPr>
            <w:tcW w:type="dxa" w:w="4320"/>
          </w:tcPr>
          <w:p>
            <w:r>
              <w:t>Duration</w:t>
            </w:r>
          </w:p>
        </w:tc>
        <w:tc>
          <w:tcPr>
            <w:tcW w:type="dxa" w:w="4320"/>
          </w:tcPr>
          <w:p>
            <w:r>
              <w:t>Start date, end date, and review date; open-ended exceptions shall not be permitted</w:t>
            </w:r>
          </w:p>
        </w:tc>
      </w:tr>
      <w:tr>
        <w:tc>
          <w:tcPr>
            <w:tcW w:type="dxa" w:w="4320"/>
          </w:tcPr>
          <w:p>
            <w:r>
              <w:t>Approvals</w:t>
            </w:r>
          </w:p>
        </w:tc>
        <w:tc>
          <w:tcPr>
            <w:tcW w:type="dxa" w:w="4320"/>
          </w:tcPr>
          <w:p>
            <w:r>
              <w:t>Required approvals from the Information Security Manager, relevant Asset Owner, and additional approvers where required</w:t>
            </w:r>
          </w:p>
        </w:tc>
      </w:tr>
      <w:tr>
        <w:tc>
          <w:tcPr>
            <w:tcW w:type="dxa" w:w="4320"/>
          </w:tcPr>
          <w:p>
            <w:r>
              <w:t>Review and closure evidence</w:t>
            </w:r>
          </w:p>
        </w:tc>
        <w:tc>
          <w:tcPr>
            <w:tcW w:type="dxa" w:w="4320"/>
          </w:tcPr>
          <w:p>
            <w:r>
              <w:t>Evidence that the exception was reviewed, remediated, expired, or formally renewed</w:t>
            </w:r>
          </w:p>
        </w:tc>
      </w:tr>
    </w:tbl>
    <w:p>
      <w:r>
        <w:t>Approved exceptions shall be recorded in an exception register and reviewed at least monthly or before expiry, whichever occurs first. Exceptions shall be revoked where risk becomes unacceptable, compensating controls fail, the business need no longer exists, or the exception is being misused.</w:t>
      </w:r>
    </w:p>
    <w:p>
      <w:pPr>
        <w:pStyle w:val="Heading2"/>
      </w:pPr>
      <w:r>
        <w:t>Review &amp; Maintenance</w:t>
      </w:r>
    </w:p>
    <w:p>
      <w:r>
        <w:t>This Policy shall be reviewed at least annually and whenever significant changes occur that may affect acceptable use requirements, including but not limited to:</w:t>
      </w:r>
    </w:p>
    <w:p>
      <w:pPr>
        <w:pStyle w:val="ListBullet"/>
      </w:pPr>
      <w:r>
        <w:t>Changes to ISO/IEC 27001:2022 requirements or the organisation’s Statement of Applicability.</w:t>
      </w:r>
    </w:p>
    <w:p>
      <w:pPr>
        <w:pStyle w:val="ListBullet"/>
      </w:pPr>
      <w:r>
        <w:t>Introduction of new technologies, cloud services, collaboration platforms, AI tools, remote working models, or information processing facilities.</w:t>
      </w:r>
    </w:p>
    <w:p>
      <w:pPr>
        <w:pStyle w:val="ListBullet"/>
      </w:pPr>
      <w:r>
        <w:t>Significant changes to legal, regulatory, contractual, privacy, or customer requirements.</w:t>
      </w:r>
    </w:p>
    <w:p>
      <w:pPr>
        <w:pStyle w:val="ListBullet"/>
      </w:pPr>
      <w:r>
        <w:t>Material information security incidents, audit findings, control failures, or policy violations.</w:t>
      </w:r>
    </w:p>
    <w:p>
      <w:pPr>
        <w:pStyle w:val="ListBullet"/>
      </w:pPr>
      <w:r>
        <w:t>Changes to organisational structure, business processes, risk appetite, or threat landscape.</w:t>
      </w:r>
    </w:p>
    <w:p>
      <w:r>
        <w:t>The Information Security Manager shall be responsible for coordinating review and maintenance of this Policy. Updates shall be approved in accordance with the organisation’s document governance requirements and communicated to relevant users and stakeholders.</w:t>
      </w:r>
    </w:p>
    <w:p>
      <w:r>
        <w:t>Version history shall be maintained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[YYYY-MM-DD]</w:t>
            </w:r>
          </w:p>
        </w:tc>
        <w:tc>
          <w:tcPr>
            <w:tcW w:type="dxa" w:w="1728"/>
          </w:tcPr>
          <w:p>
            <w:r>
              <w:t>Initial release</w:t>
            </w:r>
          </w:p>
        </w:tc>
        <w:tc>
          <w:tcPr>
            <w:tcW w:type="dxa" w:w="1728"/>
          </w:tcPr>
          <w:p>
            <w:r>
              <w:t>[Information Security Manager]</w:t>
            </w:r>
          </w:p>
        </w:tc>
        <w:tc>
          <w:tcPr>
            <w:tcW w:type="dxa" w:w="1728"/>
          </w:tcPr>
          <w:p>
            <w:r>
              <w:t>[Approver 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