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Privacy Policy (Public-Facing) - Arabic &amp; English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[PRV-POL-001]</w:t>
            </w:r>
          </w:p>
        </w:tc>
        <w:tc>
          <w:tcPr>
            <w:tcW w:type="dxa" w:w="1440"/>
          </w:tcPr>
          <w:p>
            <w:r>
              <w:t>1.0</w:t>
            </w:r>
          </w:p>
        </w:tc>
        <w:tc>
          <w:tcPr>
            <w:tcW w:type="dxa" w:w="1440"/>
          </w:tcPr>
          <w:p>
            <w:r>
              <w:t>[Privacy Office / Data Protection Officer]</w:t>
            </w:r>
          </w:p>
        </w:tc>
        <w:tc>
          <w:tcPr>
            <w:tcW w:type="dxa" w:w="1440"/>
          </w:tcPr>
          <w:p>
            <w:r>
              <w:t>[DD Month YYYY]</w:t>
            </w:r>
          </w:p>
        </w:tc>
        <w:tc>
          <w:tcPr>
            <w:tcW w:type="dxa" w:w="1440"/>
          </w:tcPr>
          <w:p>
            <w:r>
              <w:t>Saudi Personal Data Protection Law</w:t>
            </w:r>
          </w:p>
        </w:tc>
        <w:tc>
          <w:tcPr>
            <w:tcW w:type="dxa" w:w="1440"/>
          </w:tcPr>
          <w:p>
            <w:r>
              <w:t>Public</w:t>
            </w:r>
          </w:p>
        </w:tc>
      </w:tr>
    </w:tbl>
    <w:p>
      <w:pPr>
        <w:pStyle w:val="Heading1"/>
      </w:pPr>
      <w:r>
        <w:t>Privacy Policy (Public-Facing) - Arabic &amp; English</w:t>
      </w:r>
    </w:p>
    <w:p>
      <w:pPr>
        <w:pStyle w:val="Heading1"/>
      </w:pPr>
      <w:r>
        <w:t>سياسة الخصوصية العامة - العربية والإنجليزية</w:t>
      </w:r>
    </w:p>
    <w:p>
      <w:pPr>
        <w:pStyle w:val="Heading2"/>
      </w:pPr>
      <w:r>
        <w:t>Purpose</w:t>
      </w:r>
    </w:p>
    <w:p>
      <w:r>
        <w:t>This Privacy Policy explains how [Organisation Name] collects, uses, discloses, stores, protects, transfers and disposes of Personal Data when individuals interact with our websites, applications, platforms, products, services, offices, events, customer support channels, digital communications or other business activities.</w:t>
      </w:r>
    </w:p>
    <w:p>
      <w:r>
        <w:t>This Policy is intended to provide clear, accessible information to Data Subjects about our privacy practices and their rights under the Saudi Personal Data Protection Law and its implementing requirements.</w:t>
      </w:r>
    </w:p>
    <w:p>
      <w:r>
        <w:t>For the purposes of this Policy:</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Meaning</w:t>
            </w:r>
          </w:p>
        </w:tc>
      </w:tr>
      <w:tr>
        <w:tc>
          <w:tcPr>
            <w:tcW w:type="dxa" w:w="4320"/>
          </w:tcPr>
          <w:p>
            <w:r>
              <w:t>Personal Data</w:t>
            </w:r>
          </w:p>
        </w:tc>
        <w:tc>
          <w:tcPr>
            <w:tcW w:type="dxa" w:w="4320"/>
          </w:tcPr>
          <w:p>
            <w:r>
              <w:t>Any data, regardless of its form or source, that may identify an individual directly or indirectly, including name, identification number, contact details, location data, online identifiers, images, voice recordings, financial information, employment information, health-related information and any other data linked to an identifiable person.</w:t>
            </w:r>
          </w:p>
        </w:tc>
      </w:tr>
      <w:tr>
        <w:tc>
          <w:tcPr>
            <w:tcW w:type="dxa" w:w="4320"/>
          </w:tcPr>
          <w:p>
            <w:r>
              <w:t>Sensitive Personal Data</w:t>
            </w:r>
          </w:p>
        </w:tc>
        <w:tc>
          <w:tcPr>
            <w:tcW w:type="dxa" w:w="4320"/>
          </w:tcPr>
          <w:p>
            <w:r>
              <w:t>Personal Data that requires additional protection, including data revealing racial or ethnic origin, religious, intellectual or political belief, security data, biometric data, genetic data, health data, credit data, location data, or data indicating that an individual is unknown to one or both parents.</w:t>
            </w:r>
          </w:p>
        </w:tc>
      </w:tr>
      <w:tr>
        <w:tc>
          <w:tcPr>
            <w:tcW w:type="dxa" w:w="4320"/>
          </w:tcPr>
          <w:p>
            <w:r>
              <w:t>Data Subject</w:t>
            </w:r>
          </w:p>
        </w:tc>
        <w:tc>
          <w:tcPr>
            <w:tcW w:type="dxa" w:w="4320"/>
          </w:tcPr>
          <w:p>
            <w:r>
              <w:t>The individual to whom Personal Data relates.</w:t>
            </w:r>
          </w:p>
        </w:tc>
      </w:tr>
      <w:tr>
        <w:tc>
          <w:tcPr>
            <w:tcW w:type="dxa" w:w="4320"/>
          </w:tcPr>
          <w:p>
            <w:r>
              <w:t>Processing</w:t>
            </w:r>
          </w:p>
        </w:tc>
        <w:tc>
          <w:tcPr>
            <w:tcW w:type="dxa" w:w="4320"/>
          </w:tcPr>
          <w:p>
            <w:r>
              <w:t>Any operation performed on Personal Data, including collection, recording, storage, organisation, modification, use, disclosure, transfer, publication, deletion or destruction.</w:t>
            </w:r>
          </w:p>
        </w:tc>
      </w:tr>
      <w:tr>
        <w:tc>
          <w:tcPr>
            <w:tcW w:type="dxa" w:w="4320"/>
          </w:tcPr>
          <w:p>
            <w:r>
              <w:t>Controller</w:t>
            </w:r>
          </w:p>
        </w:tc>
        <w:tc>
          <w:tcPr>
            <w:tcW w:type="dxa" w:w="4320"/>
          </w:tcPr>
          <w:p>
            <w:r>
              <w:t>The entity that determines the purpose and means of Processing Personal Data.</w:t>
            </w:r>
          </w:p>
        </w:tc>
      </w:tr>
      <w:tr>
        <w:tc>
          <w:tcPr>
            <w:tcW w:type="dxa" w:w="4320"/>
          </w:tcPr>
          <w:p>
            <w:r>
              <w:t>Processor</w:t>
            </w:r>
          </w:p>
        </w:tc>
        <w:tc>
          <w:tcPr>
            <w:tcW w:type="dxa" w:w="4320"/>
          </w:tcPr>
          <w:p>
            <w:r>
              <w:t>The entity that Processes Personal Data on behalf of the Controller.</w:t>
            </w:r>
          </w:p>
        </w:tc>
      </w:tr>
      <w:tr>
        <w:tc>
          <w:tcPr>
            <w:tcW w:type="dxa" w:w="4320"/>
          </w:tcPr>
          <w:p>
            <w:r>
              <w:t>Consent</w:t>
            </w:r>
          </w:p>
        </w:tc>
        <w:tc>
          <w:tcPr>
            <w:tcW w:type="dxa" w:w="4320"/>
          </w:tcPr>
          <w:p>
            <w:r>
              <w:t>A clear, informed indication by which the Data Subject agrees to the Processing of their Personal Data.</w:t>
            </w:r>
          </w:p>
        </w:tc>
      </w:tr>
    </w:tbl>
    <w:p>
      <w:r>
        <w:t>---</w:t>
      </w:r>
    </w:p>
    <w:p>
      <w:r>
        <w:t>تهدف سياسة الخصوصية هذه إلى توضيح كيفية قيام [اسم الجهة] بجمع البيانات الشخصية واستخدامها والإفصاح عنها وتخزينها وحمايتها ونقلها والتخلص منها عند تفاعل الأفراد مع مواقعنا الإلكترونية أو تطبيقاتنا أو منصاتنا أو منتجاتنا أو خدماتنا أو مقارنا أو فعالياتنا أو قنوات الدعم أو الاتصالات الرقمية أو أنشطة الأعمال الأخرى.</w:t>
      </w:r>
    </w:p>
    <w:p>
      <w:r>
        <w:t>تهدف هذه السياسة إلى تقديم معلومات واضحة وميسرة لأصحاب البيانات حول ممارسات الخصوصية لدينا وحقوقهم بموجب نظام حماية البيانات الشخصية في المملكة العربية السعودية ومتطلباته التنفيذية.</w:t>
      </w:r>
    </w:p>
    <w:p>
      <w:r>
        <w:t>لأغراض هذه السياسة:</w:t>
      </w:r>
    </w:p>
    <w:tbl>
      <w:tblPr>
        <w:tblStyle w:val="TableGrid"/>
        <w:tblW w:type="auto" w:w="0"/>
        <w:tblLook w:firstColumn="1" w:firstRow="1" w:lastColumn="0" w:lastRow="0" w:noHBand="0" w:noVBand="1" w:val="04A0"/>
      </w:tblPr>
      <w:tblGrid>
        <w:gridCol w:w="4320"/>
        <w:gridCol w:w="4320"/>
      </w:tblGrid>
      <w:tr>
        <w:tc>
          <w:tcPr>
            <w:tcW w:type="dxa" w:w="4320"/>
          </w:tcPr>
          <w:p>
            <w:r>
              <w:t>المصطلح</w:t>
            </w:r>
          </w:p>
        </w:tc>
        <w:tc>
          <w:tcPr>
            <w:tcW w:type="dxa" w:w="4320"/>
          </w:tcPr>
          <w:p>
            <w:r>
              <w:t>المعنى</w:t>
            </w:r>
          </w:p>
        </w:tc>
      </w:tr>
      <w:tr>
        <w:tc>
          <w:tcPr>
            <w:tcW w:type="dxa" w:w="4320"/>
          </w:tcPr>
          <w:p>
            <w:r>
              <w:t>البيانات الشخصية</w:t>
            </w:r>
          </w:p>
        </w:tc>
        <w:tc>
          <w:tcPr>
            <w:tcW w:type="dxa" w:w="4320"/>
          </w:tcPr>
          <w:p>
            <w:r>
              <w:t>أي بيانات، أياً كان شكلها أو مصدرها، من شأنها أن تؤدي إلى معرفة الفرد على وجه التحديد أو تجعل التعرف عليه ممكناً بصفة مباشرة أو غير مباشرة، مثل الاسم، رقم الهوية، بيانات التواصل، بيانات الموقع، المعرّفات الإلكترونية، الصور، التسجيلات الصوتية، البيانات المالية، بيانات العمل، البيانات الصحية، وأي بيانات أخرى مرتبطة بشخص يمكن تحديد هويته.</w:t>
            </w:r>
          </w:p>
        </w:tc>
      </w:tr>
      <w:tr>
        <w:tc>
          <w:tcPr>
            <w:tcW w:type="dxa" w:w="4320"/>
          </w:tcPr>
          <w:p>
            <w:r>
              <w:t>البيانات الشخصية الحساسة</w:t>
            </w:r>
          </w:p>
        </w:tc>
        <w:tc>
          <w:tcPr>
            <w:tcW w:type="dxa" w:w="4320"/>
          </w:tcPr>
          <w:p>
            <w:r>
              <w:t>البيانات الشخصية التي تتطلب حماية إضافية، بما في ذلك البيانات التي تكشف عن الأصل العرقي أو القبلي، أو المعتقد الديني أو الفكري أو السياسي، أو البيانات الأمنية، أو البيانات الحيوية، أو الوراثية، أو الصحية، أو الائتمانية، أو بيانات الموقع، أو البيانات التي تدل على أن أحد الوالدين أو كليهما مجهول.</w:t>
            </w:r>
          </w:p>
        </w:tc>
      </w:tr>
      <w:tr>
        <w:tc>
          <w:tcPr>
            <w:tcW w:type="dxa" w:w="4320"/>
          </w:tcPr>
          <w:p>
            <w:r>
              <w:t>صاحب البيانات</w:t>
            </w:r>
          </w:p>
        </w:tc>
        <w:tc>
          <w:tcPr>
            <w:tcW w:type="dxa" w:w="4320"/>
          </w:tcPr>
          <w:p>
            <w:r>
              <w:t>الفرد الذي تتعلق به البيانات الشخصية.</w:t>
            </w:r>
          </w:p>
        </w:tc>
      </w:tr>
      <w:tr>
        <w:tc>
          <w:tcPr>
            <w:tcW w:type="dxa" w:w="4320"/>
          </w:tcPr>
          <w:p>
            <w:r>
              <w:t>المعالجة</w:t>
            </w:r>
          </w:p>
        </w:tc>
        <w:tc>
          <w:tcPr>
            <w:tcW w:type="dxa" w:w="4320"/>
          </w:tcPr>
          <w:p>
            <w:r>
              <w:t>أي عملية تتم على البيانات الشخصية، بما في ذلك الجمع، التسجيل، التخزين، التنظيم، التعديل، الاستخدام، الإفصاح، النقل، النشر، الحذف أو الإتلاف.</w:t>
            </w:r>
          </w:p>
        </w:tc>
      </w:tr>
      <w:tr>
        <w:tc>
          <w:tcPr>
            <w:tcW w:type="dxa" w:w="4320"/>
          </w:tcPr>
          <w:p>
            <w:r>
              <w:t>جهة التحكم</w:t>
            </w:r>
          </w:p>
        </w:tc>
        <w:tc>
          <w:tcPr>
            <w:tcW w:type="dxa" w:w="4320"/>
          </w:tcPr>
          <w:p>
            <w:r>
              <w:t>الجهة التي تحدد أغراض ووسائل معالجة البيانات الشخصية.</w:t>
            </w:r>
          </w:p>
        </w:tc>
      </w:tr>
      <w:tr>
        <w:tc>
          <w:tcPr>
            <w:tcW w:type="dxa" w:w="4320"/>
          </w:tcPr>
          <w:p>
            <w:r>
              <w:t>جهة المعالجة</w:t>
            </w:r>
          </w:p>
        </w:tc>
        <w:tc>
          <w:tcPr>
            <w:tcW w:type="dxa" w:w="4320"/>
          </w:tcPr>
          <w:p>
            <w:r>
              <w:t>الجهة التي تعالج البيانات الشخصية نيابة عن جهة التحكم.</w:t>
            </w:r>
          </w:p>
        </w:tc>
      </w:tr>
      <w:tr>
        <w:tc>
          <w:tcPr>
            <w:tcW w:type="dxa" w:w="4320"/>
          </w:tcPr>
          <w:p>
            <w:r>
              <w:t>الموافقة</w:t>
            </w:r>
          </w:p>
        </w:tc>
        <w:tc>
          <w:tcPr>
            <w:tcW w:type="dxa" w:w="4320"/>
          </w:tcPr>
          <w:p>
            <w:r>
              <w:t>تعبير واضح ومستنير من صاحب البيانات يوافق بموجبه على معالجة بياناته الشخصية.</w:t>
            </w:r>
          </w:p>
        </w:tc>
      </w:tr>
    </w:tbl>
    <w:p>
      <w:pPr>
        <w:pStyle w:val="Heading2"/>
      </w:pPr>
      <w:r>
        <w:t>Scope</w:t>
      </w:r>
    </w:p>
    <w:p>
      <w:r>
        <w:t>This Policy applies to all Personal Data Processed by [Organisation Name] where we act as a Controller, including Personal Data relating to:</w:t>
      </w:r>
    </w:p>
    <w:p>
      <w:pPr>
        <w:pStyle w:val="ListBullet"/>
      </w:pPr>
      <w:r>
        <w:t>Customers, prospective customers and service users.</w:t>
      </w:r>
    </w:p>
    <w:p>
      <w:pPr>
        <w:pStyle w:val="ListBullet"/>
      </w:pPr>
      <w:r>
        <w:t>Website and application visitors.</w:t>
      </w:r>
    </w:p>
    <w:p>
      <w:pPr>
        <w:pStyle w:val="ListBullet"/>
      </w:pPr>
      <w:r>
        <w:t>Individuals who contact us through support, sales, complaints, social media or other communication channels.</w:t>
      </w:r>
    </w:p>
    <w:p>
      <w:pPr>
        <w:pStyle w:val="ListBullet"/>
      </w:pPr>
      <w:r>
        <w:t>Event participants, visitors and guests.</w:t>
      </w:r>
    </w:p>
    <w:p>
      <w:pPr>
        <w:pStyle w:val="ListBullet"/>
      </w:pPr>
      <w:r>
        <w:t>Suppliers, business partners and representatives of corporate customers.</w:t>
      </w:r>
    </w:p>
    <w:p>
      <w:pPr>
        <w:pStyle w:val="ListBullet"/>
      </w:pPr>
      <w:r>
        <w:t>Job applicants, where recruitment information is collected through public-facing channels.</w:t>
      </w:r>
    </w:p>
    <w:p>
      <w:pPr>
        <w:pStyle w:val="ListBullet"/>
      </w:pPr>
      <w:r>
        <w:t>Any other individual whose Personal Data is collected in connection with our products, services or business activities.</w:t>
      </w:r>
    </w:p>
    <w:p>
      <w:r>
        <w:t>This Policy applies to Processing performed in the Kingdom of Saudi Arabia and, where permitted, Processing involving international transfers or access from outside the Kingdom.</w:t>
      </w:r>
    </w:p>
    <w:p>
      <w:r>
        <w:t>This Policy does not replace employee privacy notices, supplier contractual privacy terms, product-specific privacy notices or consent notices that may apply to specific activities. Where a specific notice provides additional detail, it shall be read together with this Policy.</w:t>
      </w:r>
    </w:p>
    <w:p>
      <w:r>
        <w:t>---</w:t>
      </w:r>
    </w:p>
    <w:p>
      <w:r>
        <w:t>تنطبق هذه السياسة على جميع البيانات الشخصية التي تعالجها [اسم الجهة] عندما تكون جهة تحكم، بما في ذلك البيانات الشخصية المتعلقة بـ:</w:t>
      </w:r>
    </w:p>
    <w:p>
      <w:pPr>
        <w:pStyle w:val="ListBullet"/>
      </w:pPr>
      <w:r>
        <w:t>العملاء والعملاء المحتملين ومستخدمي الخدمات.</w:t>
      </w:r>
    </w:p>
    <w:p>
      <w:pPr>
        <w:pStyle w:val="ListBullet"/>
      </w:pPr>
      <w:r>
        <w:t>زوار المواقع الإلكترونية والتطبيقات.</w:t>
      </w:r>
    </w:p>
    <w:p>
      <w:pPr>
        <w:pStyle w:val="ListBullet"/>
      </w:pPr>
      <w:r>
        <w:t>الأفراد الذين يتواصلون معنا عبر قنوات الدعم أو المبيعات أو الشكاوى أو وسائل التواصل الاجتماعي أو أي قنوات تواصل أخرى.</w:t>
      </w:r>
    </w:p>
    <w:p>
      <w:pPr>
        <w:pStyle w:val="ListBullet"/>
      </w:pPr>
      <w:r>
        <w:t>المشاركين في الفعاليات والزوار والضيوف.</w:t>
      </w:r>
    </w:p>
    <w:p>
      <w:pPr>
        <w:pStyle w:val="ListBullet"/>
      </w:pPr>
      <w:r>
        <w:t>الموردين وشركاء الأعمال وممثلي العملاء من الشركات.</w:t>
      </w:r>
    </w:p>
    <w:p>
      <w:pPr>
        <w:pStyle w:val="ListBullet"/>
      </w:pPr>
      <w:r>
        <w:t>المتقدمين للوظائف، عندما يتم جمع معلومات التوظيف عبر قنوات عامة.</w:t>
      </w:r>
    </w:p>
    <w:p>
      <w:pPr>
        <w:pStyle w:val="ListBullet"/>
      </w:pPr>
      <w:r>
        <w:t>أي فرد آخر تُجمع بياناته الشخصية فيما يتعلق بمنتجاتنا أو خدماتنا أو أنشطتنا التجارية.</w:t>
      </w:r>
    </w:p>
    <w:p>
      <w:r>
        <w:t>تنطبق هذه السياسة على المعالجة التي تتم داخل المملكة العربية السعودية، وكذلك - متى كان ذلك مسموحاً - على المعالجة التي تتضمن نقل البيانات أو الوصول إليها من خارج المملكة.</w:t>
      </w:r>
    </w:p>
    <w:p>
      <w:r>
        <w:t>لا تحل هذه السياسة محل إشعارات الخصوصية الخاصة بالموظفين أو شروط الخصوصية التعاقدية للموردين أو إشعارات الخصوصية الخاصة بمنتجات محددة أو إشعارات الموافقة التي قد تنطبق على أنشطة معينة. وعندما يقدم إشعار محدد تفاصيل إضافية، فيجب قراءته مع هذه السياسة.</w:t>
      </w:r>
    </w:p>
    <w:p>
      <w:pPr>
        <w:pStyle w:val="Heading2"/>
      </w:pPr>
      <w:r>
        <w:t>Policy Statements</w:t>
      </w:r>
    </w:p>
    <w:p>
      <w:pPr>
        <w:pStyle w:val="ListBullet"/>
      </w:pPr>
      <w:r>
        <w:t>[Organisation Name] shall Process Personal Data lawfully, fairly and transparently. We shall only Process Personal Data for clear, legitimate and specific purposes and shall provide individuals with appropriate privacy information before or at the time their Personal Data is collected, unless a lawful exception applies.</w:t>
      </w:r>
    </w:p>
    <w:p>
      <w:r>
        <w:t>تلتزم [اسم الجهة] بمعالجة البيانات الشخصية بطريقة نظامية وعادلة وشفافة. ولا تتم معالجة البيانات الشخصية إلا لأغراض واضحة ومشروعة ومحددة، كما تلتزم الجهة بتزويد الأفراد بمعلومات الخصوصية المناسبة قبل أو عند جمع بياناتهم الشخصية، ما لم ينطبق استثناء نظامي.</w:t>
      </w:r>
    </w:p>
    <w:p>
      <w:pPr>
        <w:pStyle w:val="ListBullet"/>
      </w:pPr>
      <w:r>
        <w:t>[Organisation Name] shall collect only the Personal Data needed for identified purposes. We shall not collect excessive, irrelevant or unnecessary Personal Data and shall review collection points to ensure that mandatory and optional fields are clearly distinguished.</w:t>
      </w:r>
    </w:p>
    <w:p>
      <w:r>
        <w:t>تلتزم [اسم الجهة] بجمع البيانات الشخصية اللازمة فقط للأغراض المحددة. ولا يجوز جمع بيانات شخصية مفرطة أو غير ذات صلة أو غير ضرورية، ويجب مراجعة نقاط الجمع للتأكد من التمييز الواضح بين الحقول الإلزامية والاختيارية.</w:t>
      </w:r>
    </w:p>
    <w:p>
      <w:pPr>
        <w:pStyle w:val="ListBullet"/>
      </w:pPr>
      <w:r>
        <w:t>[Organisation Name] shall inform Data Subjects of the purposes of Processing. Privacy notices shall describe, in clear language, what Personal Data is collected, why it is collected, how it is used, the legal basis or permitted reason for Processing, who it may be shared with, whether it may be transferred outside the Kingdom, how long it will be retained, and how individuals may exercise their rights.</w:t>
      </w:r>
    </w:p>
    <w:p>
      <w:r>
        <w:t>تلتزم [اسم الجهة] بإبلاغ أصحاب البيانات بأغراض المعالجة. ويجب أن توضح إشعارات الخصوصية بلغة واضحة ماهية البيانات الشخصية التي يتم جمعها، وسبب جمعها، وكيفية استخدامها، والأساس أو السبب المسموح للمعالجة، والجهات التي قد تتم مشاركة البيانات معها، وما إذا كان من الممكن نقلها خارج المملكة، ومدة الاحتفاظ بها، وكيف يمكن للأفراد ممارسة حقوقهم.</w:t>
      </w:r>
    </w:p>
    <w:p>
      <w:pPr>
        <w:pStyle w:val="ListBullet"/>
      </w:pPr>
      <w:r>
        <w:t>[Organisation Name] shall obtain Consent where required. Where Consent is required, it shall be freely given, specific, informed and clear. Consent shall not be bundled with unrelated terms, and individuals shall be able to withdraw Consent through accessible methods unless Processing is permitted on another lawful basis.</w:t>
      </w:r>
    </w:p>
    <w:p>
      <w:r>
        <w:t>تلتزم [اسم الجهة] بالحصول على الموافقة عند الحاجة. وعندما تكون الموافقة مطلوبة، فيجب أن تكون صادرة بحرية، ومحددة، ومستنيرة، وواضحة. ولا يجوز دمج الموافقة مع شروط غير ذات صلة، ويجب تمكين الأفراد من سحب موافقتهم بوسائل ميسرة ما لم تكن المعالجة مسموحة بناءً على أساس نظامي آخر.</w:t>
      </w:r>
    </w:p>
    <w:p>
      <w:pPr>
        <w:pStyle w:val="ListBullet"/>
      </w:pPr>
      <w:r>
        <w:t>[Organisation Name] shall Process Sensitive Personal Data only with additional safeguards. Sensitive Personal Data shall be collected and used only where necessary, authorised and proportionate. Additional access controls, encryption, monitoring and approval requirements shall be applied according to the sensitivity and risk of the Processing.</w:t>
      </w:r>
    </w:p>
    <w:p>
      <w:r>
        <w:t>تلتزم [اسم الجهة] بمعالجة البيانات الشخصية الحساسة بضمانات إضافية. ولا يجوز جمع البيانات الشخصية الحساسة أو استخدامها إلا عند الضرورة وبما يكون مصرحاً به ومتناسباً مع الغرض. وتطبق ضوابط وصول إضافية وتشفير ومراقبة ومتطلبات موافقة وفقاً لحساسية المعالجة ومخاطرها.</w:t>
      </w:r>
    </w:p>
    <w:p>
      <w:pPr>
        <w:pStyle w:val="ListBullet"/>
      </w:pPr>
      <w:r>
        <w:t>[Organisation Name] shall use Personal Data only for the purposes communicated to the Data Subject. Personal Data shall not be used for incompatible new purposes unless the Data Subject is informed and, where required, Consent or another permitted basis is obtained.</w:t>
      </w:r>
    </w:p>
    <w:p>
      <w:r>
        <w:t>تلتزم [اسم الجهة] باستخدام البيانات الشخصية فقط للأغراض التي تم إبلاغ صاحب البيانات بها. ولا يجوز استخدام البيانات الشخصية لأغراض جديدة غير متوافقة إلا بعد إبلاغ صاحب البيانات، والحصول على الموافقة أو أي أساس مسموح آخر عند الحاجة.</w:t>
      </w:r>
    </w:p>
    <w:p>
      <w:pPr>
        <w:pStyle w:val="ListBullet"/>
      </w:pPr>
      <w:r>
        <w:t>[Organisation Name] shall maintain accurate and up-to-date Personal Data. Reasonable steps shall be taken to ensure that Personal Data is accurate, complete and updated where necessary. Data Subjects shall be provided with reasonable methods to request correction or completion of their Personal Data.</w:t>
      </w:r>
    </w:p>
    <w:p>
      <w:r>
        <w:t>تلتزم [اسم الجهة] بالحفاظ على دقة البيانات الشخصية وتحديثها. ويجب اتخاذ خطوات معقولة لضمان دقة البيانات الشخصية واكتمالها وتحديثها عند الحاجة. كما يجب توفير وسائل معقولة لأصحاب البيانات لطلب تصحيح بياناتهم الشخصية أو استكمالها.</w:t>
      </w:r>
    </w:p>
    <w:p>
      <w:pPr>
        <w:pStyle w:val="ListBullet"/>
      </w:pPr>
      <w:r>
        <w:t>[Organisation Name] shall retain Personal Data only for as long as necessary. Retention periods shall be based on the purpose of Processing, legal requirements, contractual obligations, legitimate business needs and dispute-resolution requirements. Personal Data shall be securely deleted, anonymised or destroyed when no longer needed, unless retention is legally required or permitted.</w:t>
      </w:r>
    </w:p>
    <w:p>
      <w:r>
        <w:t>تلتزم [اسم الجهة] بالاحتفاظ بالبيانات الشخصية للمدة اللازمة فقط. وتحدد مدد الاحتفاظ بناءً على غرض المعالجة، والمتطلبات النظامية، والالتزامات التعاقدية، واحتياجات العمل المشروعة، ومتطلبات تسوية النزاعات. ويجب حذف البيانات الشخصية أو إخفاء هويتها أو إتلافها بطريقة آمنة عند انتفاء الحاجة إليها، ما لم يكن الاحتفاظ بها مطلوباً أو مسموحاً به نظاماً.</w:t>
      </w:r>
    </w:p>
    <w:tbl>
      <w:tblPr>
        <w:tblStyle w:val="TableGrid"/>
        <w:tblW w:type="auto" w:w="0"/>
        <w:tblLook w:firstColumn="1" w:firstRow="1" w:lastColumn="0" w:lastRow="0" w:noHBand="0" w:noVBand="1" w:val="04A0"/>
      </w:tblPr>
      <w:tblGrid>
        <w:gridCol w:w="2880"/>
        <w:gridCol w:w="2880"/>
        <w:gridCol w:w="2880"/>
      </w:tblGrid>
      <w:tr>
        <w:tc>
          <w:tcPr>
            <w:tcW w:type="dxa" w:w="2880"/>
          </w:tcPr>
          <w:p>
            <w:r>
              <w:t>Data Category</w:t>
            </w:r>
          </w:p>
        </w:tc>
        <w:tc>
          <w:tcPr>
            <w:tcW w:type="dxa" w:w="2880"/>
          </w:tcPr>
          <w:p>
            <w:r>
              <w:t>Typical Retention Period</w:t>
            </w:r>
          </w:p>
        </w:tc>
        <w:tc>
          <w:tcPr>
            <w:tcW w:type="dxa" w:w="2880"/>
          </w:tcPr>
          <w:p>
            <w:r>
              <w:t>Disposal Method</w:t>
            </w:r>
          </w:p>
        </w:tc>
      </w:tr>
      <w:tr>
        <w:tc>
          <w:tcPr>
            <w:tcW w:type="dxa" w:w="2880"/>
          </w:tcPr>
          <w:p>
            <w:r>
              <w:t>Customer account and service records</w:t>
            </w:r>
          </w:p>
        </w:tc>
        <w:tc>
          <w:tcPr>
            <w:tcW w:type="dxa" w:w="2880"/>
          </w:tcPr>
          <w:p>
            <w:r>
              <w:t>Duration of relationship plus [X years]</w:t>
            </w:r>
          </w:p>
        </w:tc>
        <w:tc>
          <w:tcPr>
            <w:tcW w:type="dxa" w:w="2880"/>
          </w:tcPr>
          <w:p>
            <w:r>
              <w:t>Secure deletion or archival deletion</w:t>
            </w:r>
          </w:p>
        </w:tc>
      </w:tr>
      <w:tr>
        <w:tc>
          <w:tcPr>
            <w:tcW w:type="dxa" w:w="2880"/>
          </w:tcPr>
          <w:p>
            <w:r>
              <w:t>Transaction and billing records</w:t>
            </w:r>
          </w:p>
        </w:tc>
        <w:tc>
          <w:tcPr>
            <w:tcW w:type="dxa" w:w="2880"/>
          </w:tcPr>
          <w:p>
            <w:r>
              <w:t>[X years] after transaction completion</w:t>
            </w:r>
          </w:p>
        </w:tc>
        <w:tc>
          <w:tcPr>
            <w:tcW w:type="dxa" w:w="2880"/>
          </w:tcPr>
          <w:p>
            <w:r>
              <w:t>Secure deletion or controlled destruction</w:t>
            </w:r>
          </w:p>
        </w:tc>
      </w:tr>
      <w:tr>
        <w:tc>
          <w:tcPr>
            <w:tcW w:type="dxa" w:w="2880"/>
          </w:tcPr>
          <w:p>
            <w:r>
              <w:t>Customer support records</w:t>
            </w:r>
          </w:p>
        </w:tc>
        <w:tc>
          <w:tcPr>
            <w:tcW w:type="dxa" w:w="2880"/>
          </w:tcPr>
          <w:p>
            <w:r>
              <w:t>[X years] after case closure</w:t>
            </w:r>
          </w:p>
        </w:tc>
        <w:tc>
          <w:tcPr>
            <w:tcW w:type="dxa" w:w="2880"/>
          </w:tcPr>
          <w:p>
            <w:r>
              <w:t>Secure deletion</w:t>
            </w:r>
          </w:p>
        </w:tc>
      </w:tr>
      <w:tr>
        <w:tc>
          <w:tcPr>
            <w:tcW w:type="dxa" w:w="2880"/>
          </w:tcPr>
          <w:p>
            <w:r>
              <w:t>Marketing preferences and Consent records</w:t>
            </w:r>
          </w:p>
        </w:tc>
        <w:tc>
          <w:tcPr>
            <w:tcW w:type="dxa" w:w="2880"/>
          </w:tcPr>
          <w:p>
            <w:r>
              <w:t>Until withdrawal plus [X years]</w:t>
            </w:r>
          </w:p>
        </w:tc>
        <w:tc>
          <w:tcPr>
            <w:tcW w:type="dxa" w:w="2880"/>
          </w:tcPr>
          <w:p>
            <w:r>
              <w:t>Suppression list retention or secure deletion</w:t>
            </w:r>
          </w:p>
        </w:tc>
      </w:tr>
      <w:tr>
        <w:tc>
          <w:tcPr>
            <w:tcW w:type="dxa" w:w="2880"/>
          </w:tcPr>
          <w:p>
            <w:r>
              <w:t>Website logs and analytics identifiers</w:t>
            </w:r>
          </w:p>
        </w:tc>
        <w:tc>
          <w:tcPr>
            <w:tcW w:type="dxa" w:w="2880"/>
          </w:tcPr>
          <w:p>
            <w:r>
              <w:t>[X months] unless required for security investigation</w:t>
            </w:r>
          </w:p>
        </w:tc>
        <w:tc>
          <w:tcPr>
            <w:tcW w:type="dxa" w:w="2880"/>
          </w:tcPr>
          <w:p>
            <w:r>
              <w:t>Automated deletion or aggregation</w:t>
            </w:r>
          </w:p>
        </w:tc>
      </w:tr>
      <w:tr>
        <w:tc>
          <w:tcPr>
            <w:tcW w:type="dxa" w:w="2880"/>
          </w:tcPr>
          <w:p>
            <w:r>
              <w:t>Complaint and rights-request records</w:t>
            </w:r>
          </w:p>
        </w:tc>
        <w:tc>
          <w:tcPr>
            <w:tcW w:type="dxa" w:w="2880"/>
          </w:tcPr>
          <w:p>
            <w:r>
              <w:t>[X years] after closure</w:t>
            </w:r>
          </w:p>
        </w:tc>
        <w:tc>
          <w:tcPr>
            <w:tcW w:type="dxa" w:w="2880"/>
          </w:tcPr>
          <w:p>
            <w:r>
              <w:t>Secure deletion</w:t>
            </w:r>
          </w:p>
        </w:tc>
      </w:tr>
      <w:tr>
        <w:tc>
          <w:tcPr>
            <w:tcW w:type="dxa" w:w="2880"/>
          </w:tcPr>
          <w:p>
            <w:r>
              <w:t>Job applicant records</w:t>
            </w:r>
          </w:p>
        </w:tc>
        <w:tc>
          <w:tcPr>
            <w:tcW w:type="dxa" w:w="2880"/>
          </w:tcPr>
          <w:p>
            <w:r>
              <w:t>[X months/years] after recruitment decision</w:t>
            </w:r>
          </w:p>
        </w:tc>
        <w:tc>
          <w:tcPr>
            <w:tcW w:type="dxa" w:w="2880"/>
          </w:tcPr>
          <w:p>
            <w:r>
              <w:t>Secure deletion or return where applicable</w:t>
            </w:r>
          </w:p>
        </w:tc>
      </w:tr>
      <w:tr>
        <w:tc>
          <w:tcPr>
            <w:tcW w:type="dxa" w:w="2880"/>
          </w:tcPr>
          <w:p>
            <w:r>
              <w:t>CCTV or visitor logs, where applicable</w:t>
            </w:r>
          </w:p>
        </w:tc>
        <w:tc>
          <w:tcPr>
            <w:tcW w:type="dxa" w:w="2880"/>
          </w:tcPr>
          <w:p>
            <w:r>
              <w:t>[X days/months] unless required for investigation</w:t>
            </w:r>
          </w:p>
        </w:tc>
        <w:tc>
          <w:tcPr>
            <w:tcW w:type="dxa" w:w="2880"/>
          </w:tcPr>
          <w:p>
            <w:r>
              <w:t>Overwrite or secure deletion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فئة البيانات</w:t>
            </w:r>
          </w:p>
        </w:tc>
        <w:tc>
          <w:tcPr>
            <w:tcW w:type="dxa" w:w="2880"/>
          </w:tcPr>
          <w:p>
            <w:r>
              <w:t>مدة الاحتفاظ المعتادة</w:t>
            </w:r>
          </w:p>
        </w:tc>
        <w:tc>
          <w:tcPr>
            <w:tcW w:type="dxa" w:w="2880"/>
          </w:tcPr>
          <w:p>
            <w:r>
              <w:t>طريقة التخلص</w:t>
            </w:r>
          </w:p>
        </w:tc>
      </w:tr>
      <w:tr>
        <w:tc>
          <w:tcPr>
            <w:tcW w:type="dxa" w:w="2880"/>
          </w:tcPr>
          <w:p>
            <w:r>
              <w:t>سجلات حسابات العملاء والخدمات</w:t>
            </w:r>
          </w:p>
        </w:tc>
        <w:tc>
          <w:tcPr>
            <w:tcW w:type="dxa" w:w="2880"/>
          </w:tcPr>
          <w:p>
            <w:r>
              <w:t>مدة العلاقة بالإضافة إلى [X سنوات]</w:t>
            </w:r>
          </w:p>
        </w:tc>
        <w:tc>
          <w:tcPr>
            <w:tcW w:type="dxa" w:w="2880"/>
          </w:tcPr>
          <w:p>
            <w:r>
              <w:t>حذف آمن أو حذف من الأرشيف</w:t>
            </w:r>
          </w:p>
        </w:tc>
      </w:tr>
      <w:tr>
        <w:tc>
          <w:tcPr>
            <w:tcW w:type="dxa" w:w="2880"/>
          </w:tcPr>
          <w:p>
            <w:r>
              <w:t>سجلات المعاملات والفوترة</w:t>
            </w:r>
          </w:p>
        </w:tc>
        <w:tc>
          <w:tcPr>
            <w:tcW w:type="dxa" w:w="2880"/>
          </w:tcPr>
          <w:p>
            <w:r>
              <w:t>[X سنوات] بعد إتمام المعاملة</w:t>
            </w:r>
          </w:p>
        </w:tc>
        <w:tc>
          <w:tcPr>
            <w:tcW w:type="dxa" w:w="2880"/>
          </w:tcPr>
          <w:p>
            <w:r>
              <w:t>حذف آمن أو إتلاف مضبوط</w:t>
            </w:r>
          </w:p>
        </w:tc>
      </w:tr>
      <w:tr>
        <w:tc>
          <w:tcPr>
            <w:tcW w:type="dxa" w:w="2880"/>
          </w:tcPr>
          <w:p>
            <w:r>
              <w:t>سجلات دعم العملاء</w:t>
            </w:r>
          </w:p>
        </w:tc>
        <w:tc>
          <w:tcPr>
            <w:tcW w:type="dxa" w:w="2880"/>
          </w:tcPr>
          <w:p>
            <w:r>
              <w:t>[X سنوات] بعد إغلاق الحالة</w:t>
            </w:r>
          </w:p>
        </w:tc>
        <w:tc>
          <w:tcPr>
            <w:tcW w:type="dxa" w:w="2880"/>
          </w:tcPr>
          <w:p>
            <w:r>
              <w:t>حذف آمن</w:t>
            </w:r>
          </w:p>
        </w:tc>
      </w:tr>
      <w:tr>
        <w:tc>
          <w:tcPr>
            <w:tcW w:type="dxa" w:w="2880"/>
          </w:tcPr>
          <w:p>
            <w:r>
              <w:t>تفضيلات التسويق وسجلات الموافقة</w:t>
            </w:r>
          </w:p>
        </w:tc>
        <w:tc>
          <w:tcPr>
            <w:tcW w:type="dxa" w:w="2880"/>
          </w:tcPr>
          <w:p>
            <w:r>
              <w:t>حتى سحب الموافقة بالإضافة إلى [X سنوات]</w:t>
            </w:r>
          </w:p>
        </w:tc>
        <w:tc>
          <w:tcPr>
            <w:tcW w:type="dxa" w:w="2880"/>
          </w:tcPr>
          <w:p>
            <w:r>
              <w:t>الاحتفاظ بقائمة المنع أو الحذف الآمن</w:t>
            </w:r>
          </w:p>
        </w:tc>
      </w:tr>
      <w:tr>
        <w:tc>
          <w:tcPr>
            <w:tcW w:type="dxa" w:w="2880"/>
          </w:tcPr>
          <w:p>
            <w:r>
              <w:t>سجلات المواقع الإلكترونية ومعرّفات التحليلات</w:t>
            </w:r>
          </w:p>
        </w:tc>
        <w:tc>
          <w:tcPr>
            <w:tcW w:type="dxa" w:w="2880"/>
          </w:tcPr>
          <w:p>
            <w:r>
              <w:t>[X أشهر] ما لم تكن مطلوبة لتحقيق أمني</w:t>
            </w:r>
          </w:p>
        </w:tc>
        <w:tc>
          <w:tcPr>
            <w:tcW w:type="dxa" w:w="2880"/>
          </w:tcPr>
          <w:p>
            <w:r>
              <w:t>حذف آلي أو تجميع دون تحديد الهوية</w:t>
            </w:r>
          </w:p>
        </w:tc>
      </w:tr>
      <w:tr>
        <w:tc>
          <w:tcPr>
            <w:tcW w:type="dxa" w:w="2880"/>
          </w:tcPr>
          <w:p>
            <w:r>
              <w:t>سجلات الشكاوى وطلبات الحقوق</w:t>
            </w:r>
          </w:p>
        </w:tc>
        <w:tc>
          <w:tcPr>
            <w:tcW w:type="dxa" w:w="2880"/>
          </w:tcPr>
          <w:p>
            <w:r>
              <w:t>[X سنوات] بعد الإغلاق</w:t>
            </w:r>
          </w:p>
        </w:tc>
        <w:tc>
          <w:tcPr>
            <w:tcW w:type="dxa" w:w="2880"/>
          </w:tcPr>
          <w:p>
            <w:r>
              <w:t>حذف آمن</w:t>
            </w:r>
          </w:p>
        </w:tc>
      </w:tr>
      <w:tr>
        <w:tc>
          <w:tcPr>
            <w:tcW w:type="dxa" w:w="2880"/>
          </w:tcPr>
          <w:p>
            <w:r>
              <w:t>سجلات المتقدمين للوظائف</w:t>
            </w:r>
          </w:p>
        </w:tc>
        <w:tc>
          <w:tcPr>
            <w:tcW w:type="dxa" w:w="2880"/>
          </w:tcPr>
          <w:p>
            <w:r>
              <w:t>[X أشهر/سنوات] بعد قرار التوظيف</w:t>
            </w:r>
          </w:p>
        </w:tc>
        <w:tc>
          <w:tcPr>
            <w:tcW w:type="dxa" w:w="2880"/>
          </w:tcPr>
          <w:p>
            <w:r>
              <w:t>حذف آمن أو إعادة السجلات عند الاقتضاء</w:t>
            </w:r>
          </w:p>
        </w:tc>
      </w:tr>
      <w:tr>
        <w:tc>
          <w:tcPr>
            <w:tcW w:type="dxa" w:w="2880"/>
          </w:tcPr>
          <w:p>
            <w:r>
              <w:t>كاميرات المراقبة أو سجلات الزوار، إن وجدت</w:t>
            </w:r>
          </w:p>
        </w:tc>
        <w:tc>
          <w:tcPr>
            <w:tcW w:type="dxa" w:w="2880"/>
          </w:tcPr>
          <w:p>
            <w:r>
              <w:t>[X أيام/أشهر] ما لم تكن مطلوبة للتحقيق</w:t>
            </w:r>
          </w:p>
        </w:tc>
        <w:tc>
          <w:tcPr>
            <w:tcW w:type="dxa" w:w="2880"/>
          </w:tcPr>
          <w:p>
            <w:r>
              <w:t>الكتابة فوقها أو حذفها بشكل آمن</w:t>
            </w:r>
          </w:p>
        </w:tc>
      </w:tr>
    </w:tbl>
    <w:p>
      <w:pPr>
        <w:pStyle w:val="ListBullet"/>
      </w:pPr>
      <w:r>
        <w:t>[Organisation Name] shall protect Personal Data using appropriate security measures. Security measures shall include access control, authentication, encryption where appropriate, secure configuration, network protection, monitoring, vulnerability management, employee awareness, secure disposal and incident response.</w:t>
      </w:r>
    </w:p>
    <w:p>
      <w:r>
        <w:t>تلتزم [اسم الجهة] بحماية البيانات الشخصية باستخدام تدابير أمنية مناسبة. وتشمل التدابير الأمنية ضوابط الوصول، والتحقق من الهوية، والتشفير عند الاقتضاء، والتهيئة الآمنة، وحماية الشبكات، والمراقبة، وإدارة الثغرات، وتوعية الموظفين، والتخلص الآمن، والاستجابة للحوادث.</w:t>
      </w:r>
    </w:p>
    <w:p>
      <w:pPr>
        <w:pStyle w:val="ListBullet"/>
      </w:pPr>
      <w:r>
        <w:t>[Organisation Name] shall restrict access to Personal Data on a need-to-know basis. Personnel, contractors and service providers shall access Personal Data only where required for authorised duties. Access shall be reviewed periodically and removed promptly when no longer required.</w:t>
      </w:r>
    </w:p>
    <w:p>
      <w:r>
        <w:t>تلتزم [اسم الجهة] بتقييد الوصول إلى البيانات الشخصية على أساس الحاجة إلى المعرفة. ولا يجوز للموظفين أو المتعاقدين أو مقدمي الخدمات الوصول إلى البيانات الشخصية إلا عند الحاجة لأداء مهام مصرح بها. ويجب مراجعة صلاحيات الوصول دورياً وإزالتها فور انتفاء الحاجة إليها.</w:t>
      </w:r>
    </w:p>
    <w:p>
      <w:pPr>
        <w:pStyle w:val="ListBullet"/>
      </w:pPr>
      <w:r>
        <w:t>[Organisation Name] shall manage Processors and third parties responsibly. We shall share Personal Data with Processors, service providers and business partners only where necessary and subject to appropriate contractual, confidentiality, security and privacy obligations.</w:t>
      </w:r>
    </w:p>
    <w:p>
      <w:r>
        <w:t>تلتزم [اسم الجهة] بإدارة جهات المعالجة والأطراف الثالثة بمسؤولية. ولا تتم مشاركة البيانات الشخصية مع جهات المعالجة أو مقدمي الخدمات أو شركاء الأعمال إلا عند الضرورة وبموجب التزامات تعاقدية مناسبة تتعلق بالسرية والأمن والخصوصية.</w:t>
      </w:r>
    </w:p>
    <w:p>
      <w:pPr>
        <w:pStyle w:val="ListBullet"/>
      </w:pPr>
      <w:r>
        <w:t>[Organisation Name] shall not sell Personal Data. We shall not sell, rent or trade Personal Data to third parties. Any disclosure shall be limited to permitted purposes such as service delivery, legal compliance, protection of rights, transaction support, authorised business operations or other purposes communicated to the Data Subject.</w:t>
      </w:r>
    </w:p>
    <w:p>
      <w:r>
        <w:t>تلتزم [اسم الجهة] بعدم بيع البيانات الشخصية. ولا يجوز بيع البيانات الشخصية أو تأجيرها أو المتاجرة بها مع أطراف ثالثة. ويقتصر أي إفصاح على الأغراض المسموح بها مثل تقديم الخدمات، أو الامتثال النظامي، أو حماية الحقوق، أو دعم المعاملات، أو العمليات التجارية المصرح بها، أو أي أغراض أخرى يتم إبلاغ صاحب البيانات بها.</w:t>
      </w:r>
    </w:p>
    <w:p>
      <w:pPr>
        <w:pStyle w:val="ListBullet"/>
      </w:pPr>
      <w:r>
        <w:t>[Organisation Name] shall control international transfers of Personal Data. Personal Data shall not be transferred, stored or accessed outside the Kingdom of Saudi Arabia unless the transfer is permitted, necessary for a legitimate purpose, subject to appropriate safeguards, and approved through [Organisation Name]’s internal privacy governance process.</w:t>
      </w:r>
    </w:p>
    <w:p>
      <w:r>
        <w:t>تلتزم [اسم الجهة] بضبط نقل البيانات الشخصية خارج المملكة. ولا يجوز نقل البيانات الشخصية أو تخزينها أو الوصول إليها من خارج المملكة العربية السعودية إلا إذا كان النقل مسموحاً، ولازماً لغرض مشروع، وخاضعاً لضمانات مناسبة، ومعتمداً من خلال عملية حوكمة الخصوصية الداخلية لدى [اسم الجهة].</w:t>
      </w:r>
    </w:p>
    <w:p>
      <w:pPr>
        <w:pStyle w:val="ListBullet"/>
      </w:pPr>
      <w:r>
        <w:t>[Organisation Name] shall support Data Subject rights. Individuals shall be provided with accessible methods to request information about Processing, access to their Personal Data, correction or completion of Personal Data, deletion where applicable, withdrawal of Consent where Processing is based on Consent, and any other rights available under applicable privacy requirements.</w:t>
      </w:r>
    </w:p>
    <w:p>
      <w:r>
        <w:t>تلتزم [اسم الجهة] بدعم حقوق أصحاب البيانات. ويجب توفير وسائل ميسرة للأفراد لطلب معلومات عن المعالجة، والوصول إلى بياناتهم الشخصية، وتصحيح البيانات الشخصية أو استكمالها، وحذفها عند الاقتضاء، وسحب الموافقة عندما تكون المعالجة قائمة على الموافقة، وأي حقوق أخرى متاحة بموجب متطلبات الخصوصية المعمول بها.</w:t>
      </w:r>
    </w:p>
    <w:p>
      <w:pPr>
        <w:pStyle w:val="ListBullet"/>
      </w:pPr>
      <w:r>
        <w:t>[Organisation Name] shall respond to Data Subject requests within defined timelines. Requests shall be verified, logged, assessed and answered without undue delay. Where additional time is needed due to complexity or volume, the Data Subject shall be informed where required.</w:t>
      </w:r>
    </w:p>
    <w:p>
      <w:r>
        <w:t>تلتزم [اسم الجهة] بالرد على طلبات أصحاب البيانات ضمن مدد زمنية محددة. ويجب التحقق من الطلبات وتسجيلها وتقييمها والرد عليها دون تأخير غير مبرر. وعند الحاجة إلى وقت إضافي بسبب تعقيد الطلب أو كثرة الطلبات، فيتم إبلاغ صاحب البيانات عند الاقتضاء.</w:t>
      </w:r>
    </w:p>
    <w:tbl>
      <w:tblPr>
        <w:tblStyle w:val="TableGrid"/>
        <w:tblW w:type="auto" w:w="0"/>
        <w:tblLook w:firstColumn="1" w:firstRow="1" w:lastColumn="0" w:lastRow="0" w:noHBand="0" w:noVBand="1" w:val="04A0"/>
      </w:tblPr>
      <w:tblGrid>
        <w:gridCol w:w="2880"/>
        <w:gridCol w:w="2880"/>
        <w:gridCol w:w="2880"/>
      </w:tblGrid>
      <w:tr>
        <w:tc>
          <w:tcPr>
            <w:tcW w:type="dxa" w:w="2880"/>
          </w:tcPr>
          <w:p>
            <w:r>
              <w:t>Request Type</w:t>
            </w:r>
          </w:p>
        </w:tc>
        <w:tc>
          <w:tcPr>
            <w:tcW w:type="dxa" w:w="2880"/>
          </w:tcPr>
          <w:p>
            <w:r>
              <w:t>Standard Response Target</w:t>
            </w:r>
          </w:p>
        </w:tc>
        <w:tc>
          <w:tcPr>
            <w:tcW w:type="dxa" w:w="2880"/>
          </w:tcPr>
          <w:p>
            <w:r>
              <w:t>Notes</w:t>
            </w:r>
          </w:p>
        </w:tc>
      </w:tr>
      <w:tr>
        <w:tc>
          <w:tcPr>
            <w:tcW w:type="dxa" w:w="2880"/>
          </w:tcPr>
          <w:p>
            <w:r>
              <w:t>Confirmation of Processing</w:t>
            </w:r>
          </w:p>
        </w:tc>
        <w:tc>
          <w:tcPr>
            <w:tcW w:type="dxa" w:w="2880"/>
          </w:tcPr>
          <w:p>
            <w:r>
              <w:t>Within [30 days]</w:t>
            </w:r>
          </w:p>
        </w:tc>
        <w:tc>
          <w:tcPr>
            <w:tcW w:type="dxa" w:w="2880"/>
          </w:tcPr>
          <w:p>
            <w:r>
              <w:t>Confirms whether Personal Data is Processed and provides relevant privacy information</w:t>
            </w:r>
          </w:p>
        </w:tc>
      </w:tr>
      <w:tr>
        <w:tc>
          <w:tcPr>
            <w:tcW w:type="dxa" w:w="2880"/>
          </w:tcPr>
          <w:p>
            <w:r>
              <w:t>Access to Personal Data</w:t>
            </w:r>
          </w:p>
        </w:tc>
        <w:tc>
          <w:tcPr>
            <w:tcW w:type="dxa" w:w="2880"/>
          </w:tcPr>
          <w:p>
            <w:r>
              <w:t>Within [30 days]</w:t>
            </w:r>
          </w:p>
        </w:tc>
        <w:tc>
          <w:tcPr>
            <w:tcW w:type="dxa" w:w="2880"/>
          </w:tcPr>
          <w:p>
            <w:r>
              <w:t>Subject to identity verification and applicable restrictions</w:t>
            </w:r>
          </w:p>
        </w:tc>
      </w:tr>
      <w:tr>
        <w:tc>
          <w:tcPr>
            <w:tcW w:type="dxa" w:w="2880"/>
          </w:tcPr>
          <w:p>
            <w:r>
              <w:t>Correction or completion</w:t>
            </w:r>
          </w:p>
        </w:tc>
        <w:tc>
          <w:tcPr>
            <w:tcW w:type="dxa" w:w="2880"/>
          </w:tcPr>
          <w:p>
            <w:r>
              <w:t>Within [30 days]</w:t>
            </w:r>
          </w:p>
        </w:tc>
        <w:tc>
          <w:tcPr>
            <w:tcW w:type="dxa" w:w="2880"/>
          </w:tcPr>
          <w:p>
            <w:r>
              <w:t>Data may be corrected, updated or annotated where appropriate</w:t>
            </w:r>
          </w:p>
        </w:tc>
      </w:tr>
      <w:tr>
        <w:tc>
          <w:tcPr>
            <w:tcW w:type="dxa" w:w="2880"/>
          </w:tcPr>
          <w:p>
            <w:r>
              <w:t>Deletion</w:t>
            </w:r>
          </w:p>
        </w:tc>
        <w:tc>
          <w:tcPr>
            <w:tcW w:type="dxa" w:w="2880"/>
          </w:tcPr>
          <w:p>
            <w:r>
              <w:t>Within [30 days]</w:t>
            </w:r>
          </w:p>
        </w:tc>
        <w:tc>
          <w:tcPr>
            <w:tcW w:type="dxa" w:w="2880"/>
          </w:tcPr>
          <w:p>
            <w:r>
              <w:t>Subject to legal, contractual, security or dispute-related retention needs</w:t>
            </w:r>
          </w:p>
        </w:tc>
      </w:tr>
      <w:tr>
        <w:tc>
          <w:tcPr>
            <w:tcW w:type="dxa" w:w="2880"/>
          </w:tcPr>
          <w:p>
            <w:r>
              <w:t>Consent withdrawal</w:t>
            </w:r>
          </w:p>
        </w:tc>
        <w:tc>
          <w:tcPr>
            <w:tcW w:type="dxa" w:w="2880"/>
          </w:tcPr>
          <w:p>
            <w:r>
              <w:t>As soon as practicable, normally within [10 business days]</w:t>
            </w:r>
          </w:p>
        </w:tc>
        <w:tc>
          <w:tcPr>
            <w:tcW w:type="dxa" w:w="2880"/>
          </w:tcPr>
          <w:p>
            <w:r>
              <w:t>Does not affect Processing already lawfully performed before withdrawal</w:t>
            </w:r>
          </w:p>
        </w:tc>
      </w:tr>
      <w:tr>
        <w:tc>
          <w:tcPr>
            <w:tcW w:type="dxa" w:w="2880"/>
          </w:tcPr>
          <w:p>
            <w:r>
              <w:t>Objection or complaint</w:t>
            </w:r>
          </w:p>
        </w:tc>
        <w:tc>
          <w:tcPr>
            <w:tcW w:type="dxa" w:w="2880"/>
          </w:tcPr>
          <w:p>
            <w:r>
              <w:t>Within [30 days]</w:t>
            </w:r>
          </w:p>
        </w:tc>
        <w:tc>
          <w:tcPr>
            <w:tcW w:type="dxa" w:w="2880"/>
          </w:tcPr>
          <w:p>
            <w:r>
              <w:t>May be escalated for investigation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نوع الطلب</w:t>
            </w:r>
          </w:p>
        </w:tc>
        <w:tc>
          <w:tcPr>
            <w:tcW w:type="dxa" w:w="2880"/>
          </w:tcPr>
          <w:p>
            <w:r>
              <w:t>هدف الاستجابة المعتاد</w:t>
            </w:r>
          </w:p>
        </w:tc>
        <w:tc>
          <w:tcPr>
            <w:tcW w:type="dxa" w:w="2880"/>
          </w:tcPr>
          <w:p>
            <w:r>
              <w:t>ملاحظات</w:t>
            </w:r>
          </w:p>
        </w:tc>
      </w:tr>
      <w:tr>
        <w:tc>
          <w:tcPr>
            <w:tcW w:type="dxa" w:w="2880"/>
          </w:tcPr>
          <w:p>
            <w:r>
              <w:t>تأكيد وجود معالجة</w:t>
            </w:r>
          </w:p>
        </w:tc>
        <w:tc>
          <w:tcPr>
            <w:tcW w:type="dxa" w:w="2880"/>
          </w:tcPr>
          <w:p>
            <w:r>
              <w:t>خلال [30 يوماً]</w:t>
            </w:r>
          </w:p>
        </w:tc>
        <w:tc>
          <w:tcPr>
            <w:tcW w:type="dxa" w:w="2880"/>
          </w:tcPr>
          <w:p>
            <w:r>
              <w:t>تأكيد ما إذا كانت البيانات الشخصية تتم معالجتها وتقديم معلومات الخصوصية ذات الصلة</w:t>
            </w:r>
          </w:p>
        </w:tc>
      </w:tr>
      <w:tr>
        <w:tc>
          <w:tcPr>
            <w:tcW w:type="dxa" w:w="2880"/>
          </w:tcPr>
          <w:p>
            <w:r>
              <w:t>الوصول إلى البيانات الشخصية</w:t>
            </w:r>
          </w:p>
        </w:tc>
        <w:tc>
          <w:tcPr>
            <w:tcW w:type="dxa" w:w="2880"/>
          </w:tcPr>
          <w:p>
            <w:r>
              <w:t>خلال [30 يوماً]</w:t>
            </w:r>
          </w:p>
        </w:tc>
        <w:tc>
          <w:tcPr>
            <w:tcW w:type="dxa" w:w="2880"/>
          </w:tcPr>
          <w:p>
            <w:r>
              <w:t>يخضع للتحقق من الهوية والقيود المطبقة</w:t>
            </w:r>
          </w:p>
        </w:tc>
      </w:tr>
      <w:tr>
        <w:tc>
          <w:tcPr>
            <w:tcW w:type="dxa" w:w="2880"/>
          </w:tcPr>
          <w:p>
            <w:r>
              <w:t>التصحيح أو الاستكمال</w:t>
            </w:r>
          </w:p>
        </w:tc>
        <w:tc>
          <w:tcPr>
            <w:tcW w:type="dxa" w:w="2880"/>
          </w:tcPr>
          <w:p>
            <w:r>
              <w:t>خلال [30 يوماً]</w:t>
            </w:r>
          </w:p>
        </w:tc>
        <w:tc>
          <w:tcPr>
            <w:tcW w:type="dxa" w:w="2880"/>
          </w:tcPr>
          <w:p>
            <w:r>
              <w:t>يمكن تصحيح البيانات أو تحديثها أو إضافة ملاحظة مناسبة عليها</w:t>
            </w:r>
          </w:p>
        </w:tc>
      </w:tr>
      <w:tr>
        <w:tc>
          <w:tcPr>
            <w:tcW w:type="dxa" w:w="2880"/>
          </w:tcPr>
          <w:p>
            <w:r>
              <w:t>الحذف</w:t>
            </w:r>
          </w:p>
        </w:tc>
        <w:tc>
          <w:tcPr>
            <w:tcW w:type="dxa" w:w="2880"/>
          </w:tcPr>
          <w:p>
            <w:r>
              <w:t>خلال [30 يوماً]</w:t>
            </w:r>
          </w:p>
        </w:tc>
        <w:tc>
          <w:tcPr>
            <w:tcW w:type="dxa" w:w="2880"/>
          </w:tcPr>
          <w:p>
            <w:r>
              <w:t>يخضع لاحتياجات الاحتفاظ النظامية أو التعاقدية أو الأمنية أو المتعلقة بالنزاعات</w:t>
            </w:r>
          </w:p>
        </w:tc>
      </w:tr>
      <w:tr>
        <w:tc>
          <w:tcPr>
            <w:tcW w:type="dxa" w:w="2880"/>
          </w:tcPr>
          <w:p>
            <w:r>
              <w:t>سحب الموافقة</w:t>
            </w:r>
          </w:p>
        </w:tc>
        <w:tc>
          <w:tcPr>
            <w:tcW w:type="dxa" w:w="2880"/>
          </w:tcPr>
          <w:p>
            <w:r>
              <w:t>في أقرب وقت ممكن، عادة خلال [10 أيام عمل]</w:t>
            </w:r>
          </w:p>
        </w:tc>
        <w:tc>
          <w:tcPr>
            <w:tcW w:type="dxa" w:w="2880"/>
          </w:tcPr>
          <w:p>
            <w:r>
              <w:t>لا يؤثر على المعالجة التي تمت بشكل مشروع قبل السحب</w:t>
            </w:r>
          </w:p>
        </w:tc>
      </w:tr>
      <w:tr>
        <w:tc>
          <w:tcPr>
            <w:tcW w:type="dxa" w:w="2880"/>
          </w:tcPr>
          <w:p>
            <w:r>
              <w:t>الاعتراض أو الشكوى</w:t>
            </w:r>
          </w:p>
        </w:tc>
        <w:tc>
          <w:tcPr>
            <w:tcW w:type="dxa" w:w="2880"/>
          </w:tcPr>
          <w:p>
            <w:r>
              <w:t>خلال [30 يوماً]</w:t>
            </w:r>
          </w:p>
        </w:tc>
        <w:tc>
          <w:tcPr>
            <w:tcW w:type="dxa" w:w="2880"/>
          </w:tcPr>
          <w:p>
            <w:r>
              <w:t>قد تتم إحالتها للتحقيق</w:t>
            </w:r>
          </w:p>
        </w:tc>
      </w:tr>
    </w:tbl>
    <w:p>
      <w:pPr>
        <w:pStyle w:val="ListBullet"/>
      </w:pPr>
      <w:r>
        <w:t>[Organisation Name] shall verify the identity of requestors before fulfilling privacy requests. We may request information necessary to confirm identity and authority, especially where the request involves access, correction, deletion or disclosure of Personal Data.</w:t>
      </w:r>
    </w:p>
    <w:p>
      <w:r>
        <w:t>تلتزم [اسم الجهة] بالتحقق من هوية مقدمي الطلبات قبل تنفيذ طلبات الخصوصية. وقد نطلب معلومات لازمة لتأكيد الهوية والصلاحية، خاصة عندما يتعلق الطلب بالوصول إلى البيانات الشخصية أو تصحيحها أو حذفها أو الإفصاح عنها.</w:t>
      </w:r>
    </w:p>
    <w:p>
      <w:pPr>
        <w:pStyle w:val="ListBullet"/>
      </w:pPr>
      <w:r>
        <w:t>[Organisation Name] shall provide clear channels for privacy enquiries and requests. Data Subjects may contact us through the channels listed below.</w:t>
      </w:r>
    </w:p>
    <w:p>
      <w:r>
        <w:t>تلتزم [اسم الجهة] بتوفير قنوات واضحة للاستفسارات وطلبات الخصوصية. ويمكن لأصحاب البيانات التواصل معنا عبر القنوات الموضحة أدناه.</w:t>
      </w:r>
    </w:p>
    <w:tbl>
      <w:tblPr>
        <w:tblStyle w:val="TableGrid"/>
        <w:tblW w:type="auto" w:w="0"/>
        <w:tblLook w:firstColumn="1" w:firstRow="1" w:lastColumn="0" w:lastRow="0" w:noHBand="0" w:noVBand="1" w:val="04A0"/>
      </w:tblPr>
      <w:tblGrid>
        <w:gridCol w:w="4320"/>
        <w:gridCol w:w="4320"/>
      </w:tblGrid>
      <w:tr>
        <w:tc>
          <w:tcPr>
            <w:tcW w:type="dxa" w:w="4320"/>
          </w:tcPr>
          <w:p>
            <w:r>
              <w:t>Channel</w:t>
            </w:r>
          </w:p>
        </w:tc>
        <w:tc>
          <w:tcPr>
            <w:tcW w:type="dxa" w:w="4320"/>
          </w:tcPr>
          <w:p>
            <w:r>
              <w:t>Contact Details</w:t>
            </w:r>
          </w:p>
        </w:tc>
      </w:tr>
      <w:tr>
        <w:tc>
          <w:tcPr>
            <w:tcW w:type="dxa" w:w="4320"/>
          </w:tcPr>
          <w:p>
            <w:r>
              <w:t>Privacy email</w:t>
            </w:r>
          </w:p>
        </w:tc>
        <w:tc>
          <w:tcPr>
            <w:tcW w:type="dxa" w:w="4320"/>
          </w:tcPr>
          <w:p>
            <w:r>
              <w:t>[privacy@[organisation-domain].com]</w:t>
            </w:r>
          </w:p>
        </w:tc>
      </w:tr>
      <w:tr>
        <w:tc>
          <w:tcPr>
            <w:tcW w:type="dxa" w:w="4320"/>
          </w:tcPr>
          <w:p>
            <w:r>
              <w:t>Postal address</w:t>
            </w:r>
          </w:p>
        </w:tc>
        <w:tc>
          <w:tcPr>
            <w:tcW w:type="dxa" w:w="4320"/>
          </w:tcPr>
          <w:p>
            <w:r>
              <w:t>[Registered Address, City, Kingdom of Saudi Arabia]</w:t>
            </w:r>
          </w:p>
        </w:tc>
      </w:tr>
      <w:tr>
        <w:tc>
          <w:tcPr>
            <w:tcW w:type="dxa" w:w="4320"/>
          </w:tcPr>
          <w:p>
            <w:r>
              <w:t>Telephone</w:t>
            </w:r>
          </w:p>
        </w:tc>
        <w:tc>
          <w:tcPr>
            <w:tcW w:type="dxa" w:w="4320"/>
          </w:tcPr>
          <w:p>
            <w:r>
              <w:t>[Telephone Number]</w:t>
            </w:r>
          </w:p>
        </w:tc>
      </w:tr>
      <w:tr>
        <w:tc>
          <w:tcPr>
            <w:tcW w:type="dxa" w:w="4320"/>
          </w:tcPr>
          <w:p>
            <w:r>
              <w:t>Online request form</w:t>
            </w:r>
          </w:p>
        </w:tc>
        <w:tc>
          <w:tcPr>
            <w:tcW w:type="dxa" w:w="4320"/>
          </w:tcPr>
          <w:p>
            <w:r>
              <w:t>[URL]</w:t>
            </w:r>
          </w:p>
        </w:tc>
      </w:tr>
      <w:tr>
        <w:tc>
          <w:tcPr>
            <w:tcW w:type="dxa" w:w="4320"/>
          </w:tcPr>
          <w:p>
            <w:r>
              <w:t>Data Protection Officer / Privacy Lead</w:t>
            </w:r>
          </w:p>
        </w:tc>
        <w:tc>
          <w:tcPr>
            <w:tcW w:type="dxa" w:w="4320"/>
          </w:tcPr>
          <w:p>
            <w:r>
              <w:t>[Name or Role Title]</w:t>
            </w:r>
          </w:p>
        </w:tc>
      </w:tr>
    </w:tbl>
    <w:tbl>
      <w:tblPr>
        <w:tblStyle w:val="TableGrid"/>
        <w:tblW w:type="auto" w:w="0"/>
        <w:tblLook w:firstColumn="1" w:firstRow="1" w:lastColumn="0" w:lastRow="0" w:noHBand="0" w:noVBand="1" w:val="04A0"/>
      </w:tblPr>
      <w:tblGrid>
        <w:gridCol w:w="4320"/>
        <w:gridCol w:w="4320"/>
      </w:tblGrid>
      <w:tr>
        <w:tc>
          <w:tcPr>
            <w:tcW w:type="dxa" w:w="4320"/>
          </w:tcPr>
          <w:p>
            <w:r>
              <w:t>القناة</w:t>
            </w:r>
          </w:p>
        </w:tc>
        <w:tc>
          <w:tcPr>
            <w:tcW w:type="dxa" w:w="4320"/>
          </w:tcPr>
          <w:p>
            <w:r>
              <w:t>بيانات التواصل</w:t>
            </w:r>
          </w:p>
        </w:tc>
      </w:tr>
      <w:tr>
        <w:tc>
          <w:tcPr>
            <w:tcW w:type="dxa" w:w="4320"/>
          </w:tcPr>
          <w:p>
            <w:r>
              <w:t>البريد الإلكتروني للخصوصية</w:t>
            </w:r>
          </w:p>
        </w:tc>
        <w:tc>
          <w:tcPr>
            <w:tcW w:type="dxa" w:w="4320"/>
          </w:tcPr>
          <w:p>
            <w:r>
              <w:t>[privacy@[organisation-domain].com]</w:t>
            </w:r>
          </w:p>
        </w:tc>
      </w:tr>
      <w:tr>
        <w:tc>
          <w:tcPr>
            <w:tcW w:type="dxa" w:w="4320"/>
          </w:tcPr>
          <w:p>
            <w:r>
              <w:t>العنوان البريدي</w:t>
            </w:r>
          </w:p>
        </w:tc>
        <w:tc>
          <w:tcPr>
            <w:tcW w:type="dxa" w:w="4320"/>
          </w:tcPr>
          <w:p>
            <w:r>
              <w:t>[العنوان المسجل، المدينة، المملكة العربية السعودية]</w:t>
            </w:r>
          </w:p>
        </w:tc>
      </w:tr>
      <w:tr>
        <w:tc>
          <w:tcPr>
            <w:tcW w:type="dxa" w:w="4320"/>
          </w:tcPr>
          <w:p>
            <w:r>
              <w:t>الهاتف</w:t>
            </w:r>
          </w:p>
        </w:tc>
        <w:tc>
          <w:tcPr>
            <w:tcW w:type="dxa" w:w="4320"/>
          </w:tcPr>
          <w:p>
            <w:r>
              <w:t>[رقم الهاتف]</w:t>
            </w:r>
          </w:p>
        </w:tc>
      </w:tr>
      <w:tr>
        <w:tc>
          <w:tcPr>
            <w:tcW w:type="dxa" w:w="4320"/>
          </w:tcPr>
          <w:p>
            <w:r>
              <w:t>نموذج الطلب الإلكتروني</w:t>
            </w:r>
          </w:p>
        </w:tc>
        <w:tc>
          <w:tcPr>
            <w:tcW w:type="dxa" w:w="4320"/>
          </w:tcPr>
          <w:p>
            <w:r>
              <w:t>[الرابط]</w:t>
            </w:r>
          </w:p>
        </w:tc>
      </w:tr>
      <w:tr>
        <w:tc>
          <w:tcPr>
            <w:tcW w:type="dxa" w:w="4320"/>
          </w:tcPr>
          <w:p>
            <w:r>
              <w:t>مسؤول حماية البيانات / مسؤول الخصوصية</w:t>
            </w:r>
          </w:p>
        </w:tc>
        <w:tc>
          <w:tcPr>
            <w:tcW w:type="dxa" w:w="4320"/>
          </w:tcPr>
          <w:p>
            <w:r>
              <w:t>[الاسم أو المسمى الوظيفي]</w:t>
            </w:r>
          </w:p>
        </w:tc>
      </w:tr>
    </w:tbl>
    <w:p>
      <w:pPr>
        <w:pStyle w:val="ListBullet"/>
      </w:pPr>
      <w:r>
        <w:t>[Organisation Name] shall handle Personal Data breaches promptly and responsibly. Suspected or confirmed breaches involving Personal Data shall be assessed, contained, investigated, documented and escalated. Where notification is required, affected Data Subjects and competent authorities shall be notified in accordance with applicable requirements.</w:t>
      </w:r>
    </w:p>
    <w:p>
      <w:r>
        <w:t>تلتزم [اسم الجهة] بالتعامل مع حوادث اختراق البيانات الشخصية بسرعة ومسؤولية. ويجب تقييم الحوادث المشتبه بها أو المؤكدة التي تشمل بيانات شخصية واحتواؤها والتحقيق فيها وتوثيقها وتصعيدها. وعندما يكون الإبلاغ مطلوباً، يتم إخطار أصحاب البيانات المتأثرين والجهات المختصة وفقاً للمتطلبات المعمول بها.</w:t>
      </w:r>
    </w:p>
    <w:p>
      <w:pPr>
        <w:pStyle w:val="ListBullet"/>
      </w:pPr>
      <w:r>
        <w:t>[Organisation Name] shall use cookies and similar technologies transparently. Where our websites or applications use cookies, pixels, software development kits, device identifiers or similar technologies, we shall provide relevant information about their purpose and, where required, provide appropriate preference or Consent mechanisms.</w:t>
      </w:r>
    </w:p>
    <w:p>
      <w:r>
        <w:t>تلتزم [اسم الجهة] باستخدام ملفات تعريف الارتباط والتقنيات المشابهة بشفافية. وعندما تستخدم مواقعنا أو تطبيقاتنا ملفات تعريف الارتباط أو وحدات البكسل أو أدوات تطوير البرمجيات أو معرّفات الأجهزة أو التقنيات المشابهة، فإننا نوضح الغرض منها، ونوفر عند الحاجة آليات مناسبة لإدارة التفضيلات أو الحصول على الموافقة.</w:t>
      </w:r>
    </w:p>
    <w:p>
      <w:pPr>
        <w:pStyle w:val="ListBullet"/>
      </w:pPr>
      <w:r>
        <w:t>[Organisation Name] shall ensure that direct marketing respects privacy choices. Marketing communications shall be sent only where permitted. Individuals shall be provided with a clear way to opt out or withdraw Consent from marketing messages, and marketing suppression preferences shall be honoured.</w:t>
      </w:r>
    </w:p>
    <w:p>
      <w:r>
        <w:t>تلتزم [اسم الجهة] بضمان احترام الاتصالات التسويقية المباشرة لاختيارات الخصوصية. ولا ترسل الاتصالات التسويقية إلا عندما يكون ذلك مسموحاً. ويجب توفير وسيلة واضحة للأفراد لإلغاء الاشتراك أو سحب الموافقة على الرسائل التسويقية، والالتزام بتفضيلات منع التسويق.</w:t>
      </w:r>
    </w:p>
    <w:p>
      <w:pPr>
        <w:pStyle w:val="ListBullet"/>
      </w:pPr>
      <w:r>
        <w:t>[Organisation Name] shall protect children’s and minors’ Personal Data with additional care. Where services may involve children or minors, we shall apply appropriate age-related safeguards, collect only necessary information, provide clear notices suitable for the audience, and obtain guardian involvement where required.</w:t>
      </w:r>
    </w:p>
    <w:p>
      <w:r>
        <w:t>تلتزم [اسم الجهة] بحماية بيانات الأطفال والقُصّر الشخصية بعناية إضافية. وعندما قد تشمل الخدمات أطفالاً أو قُصّراً، نطبق ضمانات مناسبة للعمر، ونجمع المعلومات الضرورية فقط، ونقدم إشعارات واضحة ومناسبة للجمهور، ونحصل على مشاركة الولي أو الوصي عند الحاجة.</w:t>
      </w:r>
    </w:p>
    <w:p>
      <w:pPr>
        <w:pStyle w:val="ListBullet"/>
      </w:pPr>
      <w:r>
        <w:t>[Organisation Name] shall apply privacy by design and default. New products, services, systems, campaigns, integrations and data-sharing arrangements shall consider privacy requirements from the planning stage and shall apply default settings that limit unnecessary Personal Data Processing.</w:t>
      </w:r>
    </w:p>
    <w:p>
      <w:r>
        <w:t>تلتزم [اسم الجهة] بتطبيق الخصوصية حسب التصميم وبشكل افتراضي. ويجب مراعاة متطلبات الخصوصية منذ مرحلة التخطيط عند إطلاق منتجات أو خدمات أو أنظمة أو حملات أو تكاملات أو ترتيبات مشاركة بيانات جديدة، كما يجب تطبيق إعدادات افتراضية تحد من المعالجة غير الضرورية للبيانات الشخصية.</w:t>
      </w:r>
    </w:p>
    <w:p>
      <w:pPr>
        <w:pStyle w:val="ListBullet"/>
      </w:pPr>
      <w:r>
        <w:t>[Organisation Name] shall assess privacy risks for higher-risk Processing. Privacy risk assessments shall be completed for Processing that may involve Sensitive Personal Data, large-scale Processing, new technologies, profiling, automated decision-making, systematic monitoring, international transfers or significant impact on individuals.</w:t>
      </w:r>
    </w:p>
    <w:p>
      <w:r>
        <w:t>تلتزم [اسم الجهة] بتقييم مخاطر الخصوصية للمعالجة ذات المخاطر الأعلى. ويجب إجراء تقييمات لمخاطر الخصوصية عند المعالجة التي قد تشمل بيانات شخصية حساسة، أو معالجة واسعة النطاق، أو تقنيات جديدة، أو تصنيف الأفراد، أو اتخاذ قرارات آلية، أو مراقبة منهجية، أو نقل دولي، أو تأثيراً كبيراً على الأفراد.</w:t>
      </w:r>
    </w:p>
    <w:p>
      <w:pPr>
        <w:pStyle w:val="ListBullet"/>
      </w:pPr>
      <w:r>
        <w:t>[Organisation Name] shall document privacy decisions and Processing activities. Records shall be maintained to demonstrate what Personal Data is Processed, for what purposes, by which systems and parties, where it is stored, how long it is retained, and what safeguards apply.</w:t>
      </w:r>
    </w:p>
    <w:p>
      <w:r>
        <w:t>تلتزم [اسم الجهة] بتوثيق قرارات الخصوصية وأنشطة المعالجة. ويجب الاحتفاظ بسجلات توضح البيانات الشخصية التي تتم معالجتها، وأغراض المعالجة، والأنظمة والجهات المشاركة، ومواقع التخزين، ومدد الاحتفاظ، والضمانات المطبقة.</w:t>
      </w:r>
    </w:p>
    <w:p>
      <w:pPr>
        <w:pStyle w:val="ListBullet"/>
      </w:pPr>
      <w:r>
        <w:t>[Organisation Name] shall train personnel who handle Personal Data. Employees and contractors with access to Personal Data shall receive appropriate privacy and security awareness, including confidentiality obligations, lawful handling, incident reporting and Data Subject rights.</w:t>
      </w:r>
    </w:p>
    <w:p>
      <w:r>
        <w:t>تلتزم [اسم الجهة] بتدريب الموظفين الذين يتعاملون مع البيانات الشخصية. ويجب أن يتلقى الموظفون والمتعاقدون الذين يمكنهم الوصول إلى البيانات الشخصية توعية مناسبة بالخصوصية والأمن، بما في ذلك التزامات السرية، والتعامل النظامي مع البيانات، والإبلاغ عن الحوادث، وحقوق أصحاب البيانات.</w:t>
      </w:r>
    </w:p>
    <w:p>
      <w:pPr>
        <w:pStyle w:val="ListBullet"/>
      </w:pPr>
      <w:r>
        <w:t>[Organisation Name] shall maintain confidentiality of Personal Data. Personnel and third parties shall not disclose Personal Data except where authorised and necessary for legitimate business, service, legal or security purposes.</w:t>
      </w:r>
    </w:p>
    <w:p>
      <w:r>
        <w:t>تلتزم [اسم الجهة] بالحفاظ على سرية البيانات الشخصية. ولا يجوز للموظفين أو الأطراف الثالثة الإفصاح عن البيانات الشخصية إلا عند وجود تصريح بذلك وعندما يكون الإفصاح ضرورياً لأغراض عمل أو خدمة أو أغراض نظامية أو أمنية مشروعة.</w:t>
      </w:r>
    </w:p>
    <w:p>
      <w:pPr>
        <w:pStyle w:val="ListBullet"/>
      </w:pPr>
      <w:r>
        <w:t>[Organisation Name] shall provide this Policy in Arabic and English. The Arabic version shall be made available to individuals in the Kingdom of Saudi Arabia. Where there is a difference in interpretation, [select: the Arabic version shall prevail / both versions shall be interpreted consistently, and the Arabic version shall prevail where required].</w:t>
      </w:r>
    </w:p>
    <w:p>
      <w:r>
        <w:t>تلتزم [اسم الجهة] بتوفير هذه السياسة باللغتين العربية والإنجليزية. ويجب إتاحة النسخة العربية للأفراد في المملكة العربية السعودية. وفي حال وجود اختلاف في التفسير، [اختر: تكون النسخة العربية هي المعتمدة / يتم تفسير النسختين بشكل متسق، وتسود النسخة العربية عند الاقتضاء].</w:t>
      </w:r>
    </w:p>
    <w:p>
      <w:pPr>
        <w:pStyle w:val="ListBullet"/>
      </w:pPr>
      <w:r>
        <w:t>[Organisation Name] shall make this Policy readily available. This Policy shall be published on our website and, where relevant, made available through applications, customer portals, service locations, forms and other appropriate channels.</w:t>
      </w:r>
    </w:p>
    <w:p>
      <w:r>
        <w:t>تلتزم [اسم الجهة] بإتاحة هذه السياسة بسهولة. ويجب نشر هذه السياسة على موقعنا الإلكتروني، وعند الاقتضاء، إتاحتها عبر التطبيقات وبوابات العملاء ومواقع تقديم الخدمة والنماذج والقنوات المناسبة الأخرى.</w:t>
      </w:r>
    </w:p>
    <w:p>
      <w:pPr>
        <w:pStyle w:val="ListBullet"/>
      </w:pPr>
      <w:r>
        <w:t>[Organisation Name] shall notify individuals of material changes to this Policy. Where changes materially affect how Personal Data is Processed, we shall take reasonable steps to inform Data Subjects through appropriate channels before or at the time the changes take effect.</w:t>
      </w:r>
    </w:p>
    <w:p>
      <w:r>
        <w:t>تلتزم [اسم الجهة] بإخطار الأفراد بالتغييرات الجوهرية على هذه السياسة. وعندما تؤثر التغييرات بشكل جوهري على كيفية معالجة البيانات الشخصية، نتخذ خطوات معقولة لإبلاغ أصحاب البيانات عبر القنوات المناسبة قبل أو عند سريان التغييرات.</w:t>
      </w:r>
    </w:p>
    <w:p>
      <w:pPr>
        <w:pStyle w:val="ListBullet"/>
      </w:pPr>
      <w:r>
        <w:t>[Organisation Name] shall respond to complaints and concerns in good faith. Privacy complaints shall be acknowledged, investigated and resolved fairly. Individuals may also contact the competent authority where they believe their Personal Data has been handled in a manner inconsistent with applicable privacy requirements.</w:t>
      </w:r>
    </w:p>
    <w:p>
      <w:r>
        <w:t>تلتزم [اسم الجهة] بالتعامل مع الشكاوى والمخاوف بحسن نية. ويجب الإقرار بشكاوى الخصوصية والتحقيق فيها وحلها بشكل عادل. كما يمكن للأفراد التواصل مع الجهة المختصة إذا اعتقدوا أن بياناتهم الشخصية عولجت بطريقة لا تتوافق مع متطلبات الخصوصية المعمول بها.</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 Executive Management</w:t>
            </w:r>
          </w:p>
        </w:tc>
        <w:tc>
          <w:tcPr>
            <w:tcW w:type="dxa" w:w="4320"/>
          </w:tcPr>
          <w:p>
            <w:r>
              <w:t>Approves the organisation’s commitment to privacy, ensures adequate resources are available, and supports accountability for lawful and ethical Personal Data Processing.</w:t>
            </w:r>
          </w:p>
        </w:tc>
      </w:tr>
      <w:tr>
        <w:tc>
          <w:tcPr>
            <w:tcW w:type="dxa" w:w="4320"/>
          </w:tcPr>
          <w:p>
            <w:r>
              <w:t>Privacy Office / Data Protection Officer</w:t>
            </w:r>
          </w:p>
        </w:tc>
        <w:tc>
          <w:tcPr>
            <w:tcW w:type="dxa" w:w="4320"/>
          </w:tcPr>
          <w:p>
            <w:r>
              <w:t>Owns this Policy, advises on privacy requirements, manages Data Subject requests, supports privacy risk assessments, oversees privacy notices, monitors privacy compliance and coordinates with competent authorities where required.</w:t>
            </w:r>
          </w:p>
        </w:tc>
      </w:tr>
      <w:tr>
        <w:tc>
          <w:tcPr>
            <w:tcW w:type="dxa" w:w="4320"/>
          </w:tcPr>
          <w:p>
            <w:r>
              <w:t>Legal Department</w:t>
            </w:r>
          </w:p>
        </w:tc>
        <w:tc>
          <w:tcPr>
            <w:tcW w:type="dxa" w:w="4320"/>
          </w:tcPr>
          <w:p>
            <w:r>
              <w:t>Advises on legal grounds for Processing, contracts, disclosures, retention obligations, complaints, regulatory communications and cross-border transfer requirements.</w:t>
            </w:r>
          </w:p>
        </w:tc>
      </w:tr>
      <w:tr>
        <w:tc>
          <w:tcPr>
            <w:tcW w:type="dxa" w:w="4320"/>
          </w:tcPr>
          <w:p>
            <w:r>
              <w:t>Information Security</w:t>
            </w:r>
          </w:p>
        </w:tc>
        <w:tc>
          <w:tcPr>
            <w:tcW w:type="dxa" w:w="4320"/>
          </w:tcPr>
          <w:p>
            <w:r>
              <w:t>Implements and monitors technical and organisational security controls to protect Personal Data, supports breach response, and advises on security risks in systems and third-party arrangements.</w:t>
            </w:r>
          </w:p>
        </w:tc>
      </w:tr>
      <w:tr>
        <w:tc>
          <w:tcPr>
            <w:tcW w:type="dxa" w:w="4320"/>
          </w:tcPr>
          <w:p>
            <w:r>
              <w:t>Business Process Owners</w:t>
            </w:r>
          </w:p>
        </w:tc>
        <w:tc>
          <w:tcPr>
            <w:tcW w:type="dxa" w:w="4320"/>
          </w:tcPr>
          <w:p>
            <w:r>
              <w:t>Ensure Personal Data in their processes is collected, used, shared, retained and disposed of in accordance with this Policy and approved privacy notices.</w:t>
            </w:r>
          </w:p>
        </w:tc>
      </w:tr>
      <w:tr>
        <w:tc>
          <w:tcPr>
            <w:tcW w:type="dxa" w:w="4320"/>
          </w:tcPr>
          <w:p>
            <w:r>
              <w:t>Marketing and Communications</w:t>
            </w:r>
          </w:p>
        </w:tc>
        <w:tc>
          <w:tcPr>
            <w:tcW w:type="dxa" w:w="4320"/>
          </w:tcPr>
          <w:p>
            <w:r>
              <w:t>Ensures marketing activities use appropriate Consent or permitted grounds, maintain opt-out mechanisms, honour communication preferences and use approved messaging.</w:t>
            </w:r>
          </w:p>
        </w:tc>
      </w:tr>
      <w:tr>
        <w:tc>
          <w:tcPr>
            <w:tcW w:type="dxa" w:w="4320"/>
          </w:tcPr>
          <w:p>
            <w:r>
              <w:t>Customer Support / Service Teams</w:t>
            </w:r>
          </w:p>
        </w:tc>
        <w:tc>
          <w:tcPr>
            <w:tcW w:type="dxa" w:w="4320"/>
          </w:tcPr>
          <w:p>
            <w:r>
              <w:t>Direct Data Subject requests and complaints to the appropriate privacy channel, protect customer information during interactions and follow identity-verification requirements.</w:t>
            </w:r>
          </w:p>
        </w:tc>
      </w:tr>
      <w:tr>
        <w:tc>
          <w:tcPr>
            <w:tcW w:type="dxa" w:w="4320"/>
          </w:tcPr>
          <w:p>
            <w:r>
              <w:t>Procurement / Vendor Management</w:t>
            </w:r>
          </w:p>
        </w:tc>
        <w:tc>
          <w:tcPr>
            <w:tcW w:type="dxa" w:w="4320"/>
          </w:tcPr>
          <w:p>
            <w:r>
              <w:t>Ensures third parties that Process Personal Data are assessed, approved and contractually bound to privacy, confidentiality and security requirements.</w:t>
            </w:r>
          </w:p>
        </w:tc>
      </w:tr>
      <w:tr>
        <w:tc>
          <w:tcPr>
            <w:tcW w:type="dxa" w:w="4320"/>
          </w:tcPr>
          <w:p>
            <w:r>
              <w:t>Human Resources</w:t>
            </w:r>
          </w:p>
        </w:tc>
        <w:tc>
          <w:tcPr>
            <w:tcW w:type="dxa" w:w="4320"/>
          </w:tcPr>
          <w:p>
            <w:r>
              <w:t>Applies this Policy to public-facing recruitment activities and supports privacy awareness for employees and contractors.</w:t>
            </w:r>
          </w:p>
        </w:tc>
      </w:tr>
      <w:tr>
        <w:tc>
          <w:tcPr>
            <w:tcW w:type="dxa" w:w="4320"/>
          </w:tcPr>
          <w:p>
            <w:r>
              <w:t>Employees and Contractors</w:t>
            </w:r>
          </w:p>
        </w:tc>
        <w:tc>
          <w:tcPr>
            <w:tcW w:type="dxa" w:w="4320"/>
          </w:tcPr>
          <w:p>
            <w:r>
              <w:t>Handle Personal Data only as authorised, protect confidentiality, complete required training, report suspected incidents and comply with this Policy.</w:t>
            </w:r>
          </w:p>
        </w:tc>
      </w:tr>
      <w:tr>
        <w:tc>
          <w:tcPr>
            <w:tcW w:type="dxa" w:w="4320"/>
          </w:tcPr>
          <w:p>
            <w:r>
              <w:t>Processors and Service Providers</w:t>
            </w:r>
          </w:p>
        </w:tc>
        <w:tc>
          <w:tcPr>
            <w:tcW w:type="dxa" w:w="4320"/>
          </w:tcPr>
          <w:p>
            <w:r>
              <w:t>Process Personal Data only under documented instructions, protect Personal Data, support Data Subject rights and breach response, and comply with contractual obligations.</w:t>
            </w:r>
          </w:p>
        </w:tc>
      </w:tr>
    </w:tbl>
    <w:tbl>
      <w:tblPr>
        <w:tblStyle w:val="TableGrid"/>
        <w:tblW w:type="auto" w:w="0"/>
        <w:tblLook w:firstColumn="1" w:firstRow="1" w:lastColumn="0" w:lastRow="0" w:noHBand="0" w:noVBand="1" w:val="04A0"/>
      </w:tblPr>
      <w:tblGrid>
        <w:gridCol w:w="4320"/>
        <w:gridCol w:w="4320"/>
      </w:tblGrid>
      <w:tr>
        <w:tc>
          <w:tcPr>
            <w:tcW w:type="dxa" w:w="4320"/>
          </w:tcPr>
          <w:p>
            <w:r>
              <w:t>الدور</w:t>
            </w:r>
          </w:p>
        </w:tc>
        <w:tc>
          <w:tcPr>
            <w:tcW w:type="dxa" w:w="4320"/>
          </w:tcPr>
          <w:p>
            <w:r>
              <w:t>المسؤوليات</w:t>
            </w:r>
          </w:p>
        </w:tc>
      </w:tr>
      <w:tr>
        <w:tc>
          <w:tcPr>
            <w:tcW w:type="dxa" w:w="4320"/>
          </w:tcPr>
          <w:p>
            <w:r>
              <w:t>مجلس الإدارة / الإدارة التنفيذية</w:t>
            </w:r>
          </w:p>
        </w:tc>
        <w:tc>
          <w:tcPr>
            <w:tcW w:type="dxa" w:w="4320"/>
          </w:tcPr>
          <w:p>
            <w:r>
              <w:t>اعتماد التزام الجهة بالخصوصية، وضمان توفر الموارد الكافية، ودعم المساءلة عن المعالجة النظامية والأخلاقية للبيانات الشخصية.</w:t>
            </w:r>
          </w:p>
        </w:tc>
      </w:tr>
      <w:tr>
        <w:tc>
          <w:tcPr>
            <w:tcW w:type="dxa" w:w="4320"/>
          </w:tcPr>
          <w:p>
            <w:r>
              <w:t>مكتب الخصوصية / مسؤول حماية البيانات</w:t>
            </w:r>
          </w:p>
        </w:tc>
        <w:tc>
          <w:tcPr>
            <w:tcW w:type="dxa" w:w="4320"/>
          </w:tcPr>
          <w:p>
            <w:r>
              <w:t>امتلاك هذه السياسة، وتقديم المشورة بشأن متطلبات الخصوصية، وإدارة طلبات أصحاب البيانات، ودعم تقييمات مخاطر الخصوصية، والإشراف على إشعارات الخصوصية، ومراقبة الامتثال، والتنسيق مع الجهات المختصة عند الحاجة.</w:t>
            </w:r>
          </w:p>
        </w:tc>
      </w:tr>
      <w:tr>
        <w:tc>
          <w:tcPr>
            <w:tcW w:type="dxa" w:w="4320"/>
          </w:tcPr>
          <w:p>
            <w:r>
              <w:t>الإدارة القانونية</w:t>
            </w:r>
          </w:p>
        </w:tc>
        <w:tc>
          <w:tcPr>
            <w:tcW w:type="dxa" w:w="4320"/>
          </w:tcPr>
          <w:p>
            <w:r>
              <w:t>تقديم المشورة بشأن أسس المعالجة، والعقود، والإفصاحات، والتزامات الاحتفاظ، والشكاوى، والتواصل التنظيمي، ومتطلبات نقل البيانات خارج المملكة.</w:t>
            </w:r>
          </w:p>
        </w:tc>
      </w:tr>
      <w:tr>
        <w:tc>
          <w:tcPr>
            <w:tcW w:type="dxa" w:w="4320"/>
          </w:tcPr>
          <w:p>
            <w:r>
              <w:t>أمن المعلومات</w:t>
            </w:r>
          </w:p>
        </w:tc>
        <w:tc>
          <w:tcPr>
            <w:tcW w:type="dxa" w:w="4320"/>
          </w:tcPr>
          <w:p>
            <w:r>
              <w:t>تنفيذ ومراقبة الضوابط التقنية والتنظيمية لحماية البيانات الشخصية، ودعم الاستجابة للحوادث، وتقديم المشورة بشأن المخاطر الأمنية في الأنظمة وترتيبات الأطراف الثالثة.</w:t>
            </w:r>
          </w:p>
        </w:tc>
      </w:tr>
      <w:tr>
        <w:tc>
          <w:tcPr>
            <w:tcW w:type="dxa" w:w="4320"/>
          </w:tcPr>
          <w:p>
            <w:r>
              <w:t>مالكو العمليات التجارية</w:t>
            </w:r>
          </w:p>
        </w:tc>
        <w:tc>
          <w:tcPr>
            <w:tcW w:type="dxa" w:w="4320"/>
          </w:tcPr>
          <w:p>
            <w:r>
              <w:t>ضمان جمع البيانات الشخصية واستخدامها ومشاركتها والاحتفاظ بها والتخلص منها ضمن عملياتهم وفقاً لهذه السياسة وإشعارات الخصوصية المعتمدة.</w:t>
            </w:r>
          </w:p>
        </w:tc>
      </w:tr>
      <w:tr>
        <w:tc>
          <w:tcPr>
            <w:tcW w:type="dxa" w:w="4320"/>
          </w:tcPr>
          <w:p>
            <w:r>
              <w:t>التسويق والاتصال</w:t>
            </w:r>
          </w:p>
        </w:tc>
        <w:tc>
          <w:tcPr>
            <w:tcW w:type="dxa" w:w="4320"/>
          </w:tcPr>
          <w:p>
            <w:r>
              <w:t>ضمان تنفيذ الأنشطة التسويقية بناءً على موافقة مناسبة أو أساس مسموح، والحفاظ على آليات إلغاء الاشتراك، واحترام تفضيلات التواصل، واستخدام الرسائل المعتمدة.</w:t>
            </w:r>
          </w:p>
        </w:tc>
      </w:tr>
      <w:tr>
        <w:tc>
          <w:tcPr>
            <w:tcW w:type="dxa" w:w="4320"/>
          </w:tcPr>
          <w:p>
            <w:r>
              <w:t>فرق خدمة العملاء / الدعم</w:t>
            </w:r>
          </w:p>
        </w:tc>
        <w:tc>
          <w:tcPr>
            <w:tcW w:type="dxa" w:w="4320"/>
          </w:tcPr>
          <w:p>
            <w:r>
              <w:t>توجيه طلبات وشكاوى أصحاب البيانات إلى قناة الخصوصية المناسبة، وحماية معلومات العملاء أثناء التفاعل، واتباع متطلبات التحقق من الهوية.</w:t>
            </w:r>
          </w:p>
        </w:tc>
      </w:tr>
      <w:tr>
        <w:tc>
          <w:tcPr>
            <w:tcW w:type="dxa" w:w="4320"/>
          </w:tcPr>
          <w:p>
            <w:r>
              <w:t>المشتريات / إدارة الموردين</w:t>
            </w:r>
          </w:p>
        </w:tc>
        <w:tc>
          <w:tcPr>
            <w:tcW w:type="dxa" w:w="4320"/>
          </w:tcPr>
          <w:p>
            <w:r>
              <w:t>ضمان تقييم واعتماد الأطراف الثالثة التي تعالج البيانات الشخصية وإلزامها تعاقدياً بمتطلبات الخصوصية والسرية والأمن.</w:t>
            </w:r>
          </w:p>
        </w:tc>
      </w:tr>
      <w:tr>
        <w:tc>
          <w:tcPr>
            <w:tcW w:type="dxa" w:w="4320"/>
          </w:tcPr>
          <w:p>
            <w:r>
              <w:t>الموارد البشرية</w:t>
            </w:r>
          </w:p>
        </w:tc>
        <w:tc>
          <w:tcPr>
            <w:tcW w:type="dxa" w:w="4320"/>
          </w:tcPr>
          <w:p>
            <w:r>
              <w:t>تطبيق هذه السياسة على أنشطة التوظيف العامة ودعم التوعية بالخصوصية للموظفين والمتعاقدين.</w:t>
            </w:r>
          </w:p>
        </w:tc>
      </w:tr>
      <w:tr>
        <w:tc>
          <w:tcPr>
            <w:tcW w:type="dxa" w:w="4320"/>
          </w:tcPr>
          <w:p>
            <w:r>
              <w:t>الموظفون والمتعاقدون</w:t>
            </w:r>
          </w:p>
        </w:tc>
        <w:tc>
          <w:tcPr>
            <w:tcW w:type="dxa" w:w="4320"/>
          </w:tcPr>
          <w:p>
            <w:r>
              <w:t>التعامل مع البيانات الشخصية فقط عند التصريح، وحماية السرية، واستكمال التدريب المطلوب، والإبلاغ عن الحوادث المشتبه بها، والالتزام بهذه السياسة.</w:t>
            </w:r>
          </w:p>
        </w:tc>
      </w:tr>
      <w:tr>
        <w:tc>
          <w:tcPr>
            <w:tcW w:type="dxa" w:w="4320"/>
          </w:tcPr>
          <w:p>
            <w:r>
              <w:t>جهات المعالجة ومقدمو الخدمات</w:t>
            </w:r>
          </w:p>
        </w:tc>
        <w:tc>
          <w:tcPr>
            <w:tcW w:type="dxa" w:w="4320"/>
          </w:tcPr>
          <w:p>
            <w:r>
              <w:t>معالجة البيانات الشخصية فقط وفقاً للتعليمات الموثقة، وحماية البيانات الشخصية، ودعم حقوق أصحاب البيانات والاستجابة للحوادث، والالتزام بالمتطلبات التعاقدية.</w:t>
            </w:r>
          </w:p>
        </w:tc>
      </w:tr>
    </w:tbl>
    <w:p>
      <w:pPr>
        <w:pStyle w:val="Heading2"/>
      </w:pPr>
      <w:r>
        <w:t>Compliance, Monitoring &amp; Enforcement</w:t>
      </w:r>
    </w:p>
    <w:p>
      <w:r>
        <w:t>[Organisation Name] shall maintain a privacy governance programme to support compliance with this Policy and applicable privacy requirements. The programme shall include documented Processing records, privacy notices, Consent records where applicable, Data Subject request logs, third-party assessments, retention schedules, privacy risk assessments, training records and incident records.</w:t>
      </w:r>
    </w:p>
    <w:p>
      <w:r>
        <w:t>Monitoring activities shall include, as appropriate:</w:t>
      </w:r>
    </w:p>
    <w:p>
      <w:pPr>
        <w:pStyle w:val="ListBullet"/>
      </w:pPr>
      <w:r>
        <w:t>Periodic review of public privacy notices and collection forms.</w:t>
      </w:r>
    </w:p>
    <w:p>
      <w:pPr>
        <w:pStyle w:val="ListBullet"/>
      </w:pPr>
      <w:r>
        <w:t>Testing of Data Subject request handling.</w:t>
      </w:r>
    </w:p>
    <w:p>
      <w:pPr>
        <w:pStyle w:val="ListBullet"/>
      </w:pPr>
      <w:r>
        <w:t>Review of Consent and marketing preference mechanisms.</w:t>
      </w:r>
    </w:p>
    <w:p>
      <w:pPr>
        <w:pStyle w:val="ListBullet"/>
      </w:pPr>
      <w:r>
        <w:t>Review of third-party contracts and Processing arrangements.</w:t>
      </w:r>
    </w:p>
    <w:p>
      <w:pPr>
        <w:pStyle w:val="ListBullet"/>
      </w:pPr>
      <w:r>
        <w:t>Review of international transfer approvals and safeguards.</w:t>
      </w:r>
    </w:p>
    <w:p>
      <w:pPr>
        <w:pStyle w:val="ListBullet"/>
      </w:pPr>
      <w:r>
        <w:t>Monitoring of access to systems containing Personal Data.</w:t>
      </w:r>
    </w:p>
    <w:p>
      <w:pPr>
        <w:pStyle w:val="ListBullet"/>
      </w:pPr>
      <w:r>
        <w:t>Review of retention and disposal activities.</w:t>
      </w:r>
    </w:p>
    <w:p>
      <w:pPr>
        <w:pStyle w:val="ListBullet"/>
      </w:pPr>
      <w:r>
        <w:t>Assessment of privacy incidents, complaints and trends.</w:t>
      </w:r>
    </w:p>
    <w:p>
      <w:pPr>
        <w:pStyle w:val="ListBullet"/>
      </w:pPr>
      <w:r>
        <w:t>Periodic reporting to executive management.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Compliance Activity</w:t>
            </w:r>
          </w:p>
        </w:tc>
        <w:tc>
          <w:tcPr>
            <w:tcW w:type="dxa" w:w="2160"/>
          </w:tcPr>
          <w:p>
            <w:r>
              <w:t>Frequency</w:t>
            </w:r>
          </w:p>
        </w:tc>
        <w:tc>
          <w:tcPr>
            <w:tcW w:type="dxa" w:w="2160"/>
          </w:tcPr>
          <w:p>
            <w:r>
              <w:t>Owner</w:t>
            </w:r>
          </w:p>
        </w:tc>
        <w:tc>
          <w:tcPr>
            <w:tcW w:type="dxa" w:w="2160"/>
          </w:tcPr>
          <w:p>
            <w:r>
              <w:t>Evidence</w:t>
            </w:r>
          </w:p>
        </w:tc>
      </w:tr>
      <w:tr>
        <w:tc>
          <w:tcPr>
            <w:tcW w:type="dxa" w:w="2160"/>
          </w:tcPr>
          <w:p>
            <w:r>
              <w:t>Privacy Policy review</w:t>
            </w:r>
          </w:p>
        </w:tc>
        <w:tc>
          <w:tcPr>
            <w:tcW w:type="dxa" w:w="2160"/>
          </w:tcPr>
          <w:p>
            <w:r>
              <w:t>At least annually</w:t>
            </w:r>
          </w:p>
        </w:tc>
        <w:tc>
          <w:tcPr>
            <w:tcW w:type="dxa" w:w="2160"/>
          </w:tcPr>
          <w:p>
            <w:r>
              <w:t>Privacy Office</w:t>
            </w:r>
          </w:p>
        </w:tc>
        <w:tc>
          <w:tcPr>
            <w:tcW w:type="dxa" w:w="2160"/>
          </w:tcPr>
          <w:p>
            <w:r>
              <w:t>Approved policy version and change log</w:t>
            </w:r>
          </w:p>
        </w:tc>
      </w:tr>
      <w:tr>
        <w:tc>
          <w:tcPr>
            <w:tcW w:type="dxa" w:w="2160"/>
          </w:tcPr>
          <w:p>
            <w:r>
              <w:t>Privacy notice review</w:t>
            </w:r>
          </w:p>
        </w:tc>
        <w:tc>
          <w:tcPr>
            <w:tcW w:type="dxa" w:w="2160"/>
          </w:tcPr>
          <w:p>
            <w:r>
              <w:t>At least annually and upon material process change</w:t>
            </w:r>
          </w:p>
        </w:tc>
        <w:tc>
          <w:tcPr>
            <w:tcW w:type="dxa" w:w="2160"/>
          </w:tcPr>
          <w:p>
            <w:r>
              <w:t>Privacy Office / Business Owner</w:t>
            </w:r>
          </w:p>
        </w:tc>
        <w:tc>
          <w:tcPr>
            <w:tcW w:type="dxa" w:w="2160"/>
          </w:tcPr>
          <w:p>
            <w:r>
              <w:t>Published notice and approval record</w:t>
            </w:r>
          </w:p>
        </w:tc>
      </w:tr>
      <w:tr>
        <w:tc>
          <w:tcPr>
            <w:tcW w:type="dxa" w:w="2160"/>
          </w:tcPr>
          <w:p>
            <w:r>
              <w:t>Data Subject request quality review</w:t>
            </w:r>
          </w:p>
        </w:tc>
        <w:tc>
          <w:tcPr>
            <w:tcW w:type="dxa" w:w="2160"/>
          </w:tcPr>
          <w:p>
            <w:r>
              <w:t>Quarterly</w:t>
            </w:r>
          </w:p>
        </w:tc>
        <w:tc>
          <w:tcPr>
            <w:tcW w:type="dxa" w:w="2160"/>
          </w:tcPr>
          <w:p>
            <w:r>
              <w:t>Privacy Office</w:t>
            </w:r>
          </w:p>
        </w:tc>
        <w:tc>
          <w:tcPr>
            <w:tcW w:type="dxa" w:w="2160"/>
          </w:tcPr>
          <w:p>
            <w:r>
              <w:t>Request log and sample review results</w:t>
            </w:r>
          </w:p>
        </w:tc>
      </w:tr>
      <w:tr>
        <w:tc>
          <w:tcPr>
            <w:tcW w:type="dxa" w:w="2160"/>
          </w:tcPr>
          <w:p>
            <w:r>
              <w:t>Third-party privacy review</w:t>
            </w:r>
          </w:p>
        </w:tc>
        <w:tc>
          <w:tcPr>
            <w:tcW w:type="dxa" w:w="2160"/>
          </w:tcPr>
          <w:p>
            <w:r>
              <w:t>Before onboarding and periodically thereafter</w:t>
            </w:r>
          </w:p>
        </w:tc>
        <w:tc>
          <w:tcPr>
            <w:tcW w:type="dxa" w:w="2160"/>
          </w:tcPr>
          <w:p>
            <w:r>
              <w:t>Procurement / Privacy Office</w:t>
            </w:r>
          </w:p>
        </w:tc>
        <w:tc>
          <w:tcPr>
            <w:tcW w:type="dxa" w:w="2160"/>
          </w:tcPr>
          <w:p>
            <w:r>
              <w:t>Due diligence and contract records</w:t>
            </w:r>
          </w:p>
        </w:tc>
      </w:tr>
      <w:tr>
        <w:tc>
          <w:tcPr>
            <w:tcW w:type="dxa" w:w="2160"/>
          </w:tcPr>
          <w:p>
            <w:r>
              <w:t>Consent mechanism review</w:t>
            </w:r>
          </w:p>
        </w:tc>
        <w:tc>
          <w:tcPr>
            <w:tcW w:type="dxa" w:w="2160"/>
          </w:tcPr>
          <w:p>
            <w:r>
              <w:t>Semi-annually</w:t>
            </w:r>
          </w:p>
        </w:tc>
        <w:tc>
          <w:tcPr>
            <w:tcW w:type="dxa" w:w="2160"/>
          </w:tcPr>
          <w:p>
            <w:r>
              <w:t>Marketing / Privacy Office</w:t>
            </w:r>
          </w:p>
        </w:tc>
        <w:tc>
          <w:tcPr>
            <w:tcW w:type="dxa" w:w="2160"/>
          </w:tcPr>
          <w:p>
            <w:r>
              <w:t>Consent logs and preference testing</w:t>
            </w:r>
          </w:p>
        </w:tc>
      </w:tr>
      <w:tr>
        <w:tc>
          <w:tcPr>
            <w:tcW w:type="dxa" w:w="2160"/>
          </w:tcPr>
          <w:p>
            <w:r>
              <w:t>Retention compliance review</w:t>
            </w:r>
          </w:p>
        </w:tc>
        <w:tc>
          <w:tcPr>
            <w:tcW w:type="dxa" w:w="2160"/>
          </w:tcPr>
          <w:p>
            <w:r>
              <w:t>Annually</w:t>
            </w:r>
          </w:p>
        </w:tc>
        <w:tc>
          <w:tcPr>
            <w:tcW w:type="dxa" w:w="2160"/>
          </w:tcPr>
          <w:p>
            <w:r>
              <w:t>Records Owner / Privacy Office</w:t>
            </w:r>
          </w:p>
        </w:tc>
        <w:tc>
          <w:tcPr>
            <w:tcW w:type="dxa" w:w="2160"/>
          </w:tcPr>
          <w:p>
            <w:r>
              <w:t>Disposal records and exceptions log</w:t>
            </w:r>
          </w:p>
        </w:tc>
      </w:tr>
      <w:tr>
        <w:tc>
          <w:tcPr>
            <w:tcW w:type="dxa" w:w="2160"/>
          </w:tcPr>
          <w:p>
            <w:r>
              <w:t>Privacy training completion review</w:t>
            </w:r>
          </w:p>
        </w:tc>
        <w:tc>
          <w:tcPr>
            <w:tcW w:type="dxa" w:w="2160"/>
          </w:tcPr>
          <w:p>
            <w:r>
              <w:t>Annually</w:t>
            </w:r>
          </w:p>
        </w:tc>
        <w:tc>
          <w:tcPr>
            <w:tcW w:type="dxa" w:w="2160"/>
          </w:tcPr>
          <w:p>
            <w:r>
              <w:t>Human Resources / Privacy Office</w:t>
            </w:r>
          </w:p>
        </w:tc>
        <w:tc>
          <w:tcPr>
            <w:tcW w:type="dxa" w:w="2160"/>
          </w:tcPr>
          <w:p>
            <w:r>
              <w:t>Training completion report</w:t>
            </w:r>
          </w:p>
        </w:tc>
      </w:tr>
      <w:tr>
        <w:tc>
          <w:tcPr>
            <w:tcW w:type="dxa" w:w="2160"/>
          </w:tcPr>
          <w:p>
            <w:r>
              <w:t>Personal Data breach exercise</w:t>
            </w:r>
          </w:p>
        </w:tc>
        <w:tc>
          <w:tcPr>
            <w:tcW w:type="dxa" w:w="2160"/>
          </w:tcPr>
          <w:p>
            <w:r>
              <w:t>At least annually</w:t>
            </w:r>
          </w:p>
        </w:tc>
        <w:tc>
          <w:tcPr>
            <w:tcW w:type="dxa" w:w="2160"/>
          </w:tcPr>
          <w:p>
            <w:r>
              <w:t>Information Security / Privacy Office</w:t>
            </w:r>
          </w:p>
        </w:tc>
        <w:tc>
          <w:tcPr>
            <w:tcW w:type="dxa" w:w="2160"/>
          </w:tcPr>
          <w:p>
            <w:r>
              <w:t>Exercise report and improvement actions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نشاط الامتثال</w:t>
            </w:r>
          </w:p>
        </w:tc>
        <w:tc>
          <w:tcPr>
            <w:tcW w:type="dxa" w:w="2160"/>
          </w:tcPr>
          <w:p>
            <w:r>
              <w:t>التكرار</w:t>
            </w:r>
          </w:p>
        </w:tc>
        <w:tc>
          <w:tcPr>
            <w:tcW w:type="dxa" w:w="2160"/>
          </w:tcPr>
          <w:p>
            <w:r>
              <w:t>المالك</w:t>
            </w:r>
          </w:p>
        </w:tc>
        <w:tc>
          <w:tcPr>
            <w:tcW w:type="dxa" w:w="2160"/>
          </w:tcPr>
          <w:p>
            <w:r>
              <w:t>الدليل</w:t>
            </w:r>
          </w:p>
        </w:tc>
      </w:tr>
      <w:tr>
        <w:tc>
          <w:tcPr>
            <w:tcW w:type="dxa" w:w="2160"/>
          </w:tcPr>
          <w:p>
            <w:r>
              <w:t>مراجعة سياسة الخصوصية</w:t>
            </w:r>
          </w:p>
        </w:tc>
        <w:tc>
          <w:tcPr>
            <w:tcW w:type="dxa" w:w="2160"/>
          </w:tcPr>
          <w:p>
            <w:r>
              <w:t>سنوياً على الأقل</w:t>
            </w:r>
          </w:p>
        </w:tc>
        <w:tc>
          <w:tcPr>
            <w:tcW w:type="dxa" w:w="2160"/>
          </w:tcPr>
          <w:p>
            <w:r>
              <w:t>مكتب الخصوصية</w:t>
            </w:r>
          </w:p>
        </w:tc>
        <w:tc>
          <w:tcPr>
            <w:tcW w:type="dxa" w:w="2160"/>
          </w:tcPr>
          <w:p>
            <w:r>
              <w:t>نسخة السياسة المعتمدة وسجل التغييرات</w:t>
            </w:r>
          </w:p>
        </w:tc>
      </w:tr>
      <w:tr>
        <w:tc>
          <w:tcPr>
            <w:tcW w:type="dxa" w:w="2160"/>
          </w:tcPr>
          <w:p>
            <w:r>
              <w:t>مراجعة إشعارات الخصوصية</w:t>
            </w:r>
          </w:p>
        </w:tc>
        <w:tc>
          <w:tcPr>
            <w:tcW w:type="dxa" w:w="2160"/>
          </w:tcPr>
          <w:p>
            <w:r>
              <w:t>سنوياً على الأقل وعند حدوث تغيير جوهري في العملية</w:t>
            </w:r>
          </w:p>
        </w:tc>
        <w:tc>
          <w:tcPr>
            <w:tcW w:type="dxa" w:w="2160"/>
          </w:tcPr>
          <w:p>
            <w:r>
              <w:t>مكتب الخصوصية / مالك العملية</w:t>
            </w:r>
          </w:p>
        </w:tc>
        <w:tc>
          <w:tcPr>
            <w:tcW w:type="dxa" w:w="2160"/>
          </w:tcPr>
          <w:p>
            <w:r>
              <w:t>الإشعار المنشور وسجل الاعتماد</w:t>
            </w:r>
          </w:p>
        </w:tc>
      </w:tr>
      <w:tr>
        <w:tc>
          <w:tcPr>
            <w:tcW w:type="dxa" w:w="2160"/>
          </w:tcPr>
          <w:p>
            <w:r>
              <w:t>مراجعة جودة التعامل مع طلبات أصحاب البيانات</w:t>
            </w:r>
          </w:p>
        </w:tc>
        <w:tc>
          <w:tcPr>
            <w:tcW w:type="dxa" w:w="2160"/>
          </w:tcPr>
          <w:p>
            <w:r>
              <w:t>ربع سنوي</w:t>
            </w:r>
          </w:p>
        </w:tc>
        <w:tc>
          <w:tcPr>
            <w:tcW w:type="dxa" w:w="2160"/>
          </w:tcPr>
          <w:p>
            <w:r>
              <w:t>مكتب الخصوصية</w:t>
            </w:r>
          </w:p>
        </w:tc>
        <w:tc>
          <w:tcPr>
            <w:tcW w:type="dxa" w:w="2160"/>
          </w:tcPr>
          <w:p>
            <w:r>
              <w:t>سجل الطلبات ونتائج مراجعة العينات</w:t>
            </w:r>
          </w:p>
        </w:tc>
      </w:tr>
      <w:tr>
        <w:tc>
          <w:tcPr>
            <w:tcW w:type="dxa" w:w="2160"/>
          </w:tcPr>
          <w:p>
            <w:r>
              <w:t>مراجعة خصوصية الأطراف الثالثة</w:t>
            </w:r>
          </w:p>
        </w:tc>
        <w:tc>
          <w:tcPr>
            <w:tcW w:type="dxa" w:w="2160"/>
          </w:tcPr>
          <w:p>
            <w:r>
              <w:t>قبل التعاقد وبشكل دوري بعد ذلك</w:t>
            </w:r>
          </w:p>
        </w:tc>
        <w:tc>
          <w:tcPr>
            <w:tcW w:type="dxa" w:w="2160"/>
          </w:tcPr>
          <w:p>
            <w:r>
              <w:t>المشتريات / مكتب الخصوصية</w:t>
            </w:r>
          </w:p>
        </w:tc>
        <w:tc>
          <w:tcPr>
            <w:tcW w:type="dxa" w:w="2160"/>
          </w:tcPr>
          <w:p>
            <w:r>
              <w:t>سجلات العناية الواجبة والعقود</w:t>
            </w:r>
          </w:p>
        </w:tc>
      </w:tr>
      <w:tr>
        <w:tc>
          <w:tcPr>
            <w:tcW w:type="dxa" w:w="2160"/>
          </w:tcPr>
          <w:p>
            <w:r>
              <w:t>مراجعة آليات الموافقة</w:t>
            </w:r>
          </w:p>
        </w:tc>
        <w:tc>
          <w:tcPr>
            <w:tcW w:type="dxa" w:w="2160"/>
          </w:tcPr>
          <w:p>
            <w:r>
              <w:t>نصف سنوي</w:t>
            </w:r>
          </w:p>
        </w:tc>
        <w:tc>
          <w:tcPr>
            <w:tcW w:type="dxa" w:w="2160"/>
          </w:tcPr>
          <w:p>
            <w:r>
              <w:t>التسويق / مكتب الخصوصية</w:t>
            </w:r>
          </w:p>
        </w:tc>
        <w:tc>
          <w:tcPr>
            <w:tcW w:type="dxa" w:w="2160"/>
          </w:tcPr>
          <w:p>
            <w:r>
              <w:t>سجلات الموافقة واختبار التفضيلات</w:t>
            </w:r>
          </w:p>
        </w:tc>
      </w:tr>
      <w:tr>
        <w:tc>
          <w:tcPr>
            <w:tcW w:type="dxa" w:w="2160"/>
          </w:tcPr>
          <w:p>
            <w:r>
              <w:t>مراجعة الامتثال للاحتفاظ</w:t>
            </w:r>
          </w:p>
        </w:tc>
        <w:tc>
          <w:tcPr>
            <w:tcW w:type="dxa" w:w="2160"/>
          </w:tcPr>
          <w:p>
            <w:r>
              <w:t>سنوي</w:t>
            </w:r>
          </w:p>
        </w:tc>
        <w:tc>
          <w:tcPr>
            <w:tcW w:type="dxa" w:w="2160"/>
          </w:tcPr>
          <w:p>
            <w:r>
              <w:t>مالك السجلات / مكتب الخصوصية</w:t>
            </w:r>
          </w:p>
        </w:tc>
        <w:tc>
          <w:tcPr>
            <w:tcW w:type="dxa" w:w="2160"/>
          </w:tcPr>
          <w:p>
            <w:r>
              <w:t>سجلات التخلص وسجل الاستثناءات</w:t>
            </w:r>
          </w:p>
        </w:tc>
      </w:tr>
      <w:tr>
        <w:tc>
          <w:tcPr>
            <w:tcW w:type="dxa" w:w="2160"/>
          </w:tcPr>
          <w:p>
            <w:r>
              <w:t>مراجعة إكمال تدريب الخصوصية</w:t>
            </w:r>
          </w:p>
        </w:tc>
        <w:tc>
          <w:tcPr>
            <w:tcW w:type="dxa" w:w="2160"/>
          </w:tcPr>
          <w:p>
            <w:r>
              <w:t>سنوي</w:t>
            </w:r>
          </w:p>
        </w:tc>
        <w:tc>
          <w:tcPr>
            <w:tcW w:type="dxa" w:w="2160"/>
          </w:tcPr>
          <w:p>
            <w:r>
              <w:t>الموارد البشرية / مكتب الخصوصية</w:t>
            </w:r>
          </w:p>
        </w:tc>
        <w:tc>
          <w:tcPr>
            <w:tcW w:type="dxa" w:w="2160"/>
          </w:tcPr>
          <w:p>
            <w:r>
              <w:t>تقرير إكمال التدريب</w:t>
            </w:r>
          </w:p>
        </w:tc>
      </w:tr>
      <w:tr>
        <w:tc>
          <w:tcPr>
            <w:tcW w:type="dxa" w:w="2160"/>
          </w:tcPr>
          <w:p>
            <w:r>
              <w:t>تمرين التعامل مع اختراق البيانات الشخصية</w:t>
            </w:r>
          </w:p>
        </w:tc>
        <w:tc>
          <w:tcPr>
            <w:tcW w:type="dxa" w:w="2160"/>
          </w:tcPr>
          <w:p>
            <w:r>
              <w:t>سنوياً على الأقل</w:t>
            </w:r>
          </w:p>
        </w:tc>
        <w:tc>
          <w:tcPr>
            <w:tcW w:type="dxa" w:w="2160"/>
          </w:tcPr>
          <w:p>
            <w:r>
              <w:t>أمن المعلومات / مكتب الخصوصية</w:t>
            </w:r>
          </w:p>
        </w:tc>
        <w:tc>
          <w:tcPr>
            <w:tcW w:type="dxa" w:w="2160"/>
          </w:tcPr>
          <w:p>
            <w:r>
              <w:t>تقرير التمرين وإجراءات التحسين</w:t>
            </w:r>
          </w:p>
        </w:tc>
      </w:tr>
    </w:tbl>
    <w:p>
      <w:r>
        <w:t>Violations of this Policy may result in corrective action, including access restriction, retraining, disciplinary action, contractual remedies, suspension of Processing, vendor termination, incident escalation or notification to competent authorities where required.</w:t>
      </w:r>
    </w:p>
    <w:p>
      <w:r>
        <w:t>Any employee, contractor or third party who becomes aware of a suspected privacy breach, unauthorised disclosure, inappropriate use of Personal Data or non-compliance with this Policy shall report it immediately through [incident reporting channel] or to [Privacy Office / Information Security].</w:t>
      </w:r>
    </w:p>
    <w:p>
      <w:r>
        <w:t>---</w:t>
      </w:r>
    </w:p>
    <w:p>
      <w:r>
        <w:t>تلتزم [اسم الجهة] بالمحافظة على برنامج لحوكمة الخصوصية لدعم الامتثال لهذه السياسة ومتطلبات الخصوصية المعمول بها. ويشمل البرنامج سجلات موثقة لأنشطة المعالجة، وإشعارات الخصوصية، وسجلات الموافقة عند الاقتضاء، وسجلات طلبات أصحاب البيانات، وتقييمات الأطراف الثالثة، وجداول الاحتفاظ، وتقييمات مخاطر الخصوصية، وسجلات التدريب، وسجلات الحوادث.</w:t>
      </w:r>
    </w:p>
    <w:p>
      <w:r>
        <w:t>تشمل أنشطة المراقبة، بحسب الاقتضاء:</w:t>
      </w:r>
    </w:p>
    <w:p>
      <w:pPr>
        <w:pStyle w:val="ListBullet"/>
      </w:pPr>
      <w:r>
        <w:t>المراجعة الدورية لإشعارات الخصوصية العامة ونماذج جمع البيانات.</w:t>
      </w:r>
    </w:p>
    <w:p>
      <w:pPr>
        <w:pStyle w:val="ListBullet"/>
      </w:pPr>
      <w:r>
        <w:t>اختبار إجراءات التعامل مع طلبات أصحاب البيانات.</w:t>
      </w:r>
    </w:p>
    <w:p>
      <w:pPr>
        <w:pStyle w:val="ListBullet"/>
      </w:pPr>
      <w:r>
        <w:t>مراجعة آليات الموافقة وتفضيلات التسويق.</w:t>
      </w:r>
    </w:p>
    <w:p>
      <w:pPr>
        <w:pStyle w:val="ListBullet"/>
      </w:pPr>
      <w:r>
        <w:t>مراجعة عقود الأطراف الثالثة وترتيبات المعالجة.</w:t>
      </w:r>
    </w:p>
    <w:p>
      <w:pPr>
        <w:pStyle w:val="ListBullet"/>
      </w:pPr>
      <w:r>
        <w:t>مراجعة اعتمادات وضمانات نقل البيانات خارج المملكة.</w:t>
      </w:r>
    </w:p>
    <w:p>
      <w:pPr>
        <w:pStyle w:val="ListBullet"/>
      </w:pPr>
      <w:r>
        <w:t>مراقبة الوصول إلى الأنظمة التي تحتوي على بيانات شخصية.</w:t>
      </w:r>
    </w:p>
    <w:p>
      <w:pPr>
        <w:pStyle w:val="ListBullet"/>
      </w:pPr>
      <w:r>
        <w:t>مراجعة أنشطة الاحتفاظ والتخلص.</w:t>
      </w:r>
    </w:p>
    <w:p>
      <w:pPr>
        <w:pStyle w:val="ListBullet"/>
      </w:pPr>
      <w:r>
        <w:t>تقييم حوادث الخصوصية والشكاوى والاتجاهات.</w:t>
      </w:r>
    </w:p>
    <w:p>
      <w:pPr>
        <w:pStyle w:val="ListBullet"/>
      </w:pPr>
      <w:r>
        <w:t>تقديم تقارير دورية للإدارة التنفيذية.</w:t>
      </w:r>
    </w:p>
    <w:p>
      <w:r>
        <w:t>قد يؤدي انتهاك هذه السياسة إلى اتخاذ إجراءات تصحيحية، بما في ذلك تقييد الوصول، أو إعادة التدريب، أو الإجراءات التأديبية، أو تطبيق الجزاءات التعاقدية، أو تعليق المعالجة، أو إنهاء علاقة المورد، أو تصعيد الحادث، أو إخطار الجهات المختصة عند الحاجة.</w:t>
      </w:r>
    </w:p>
    <w:p>
      <w:r>
        <w:t>يجب على أي موظف أو متعاقد أو طرف ثالث يصبح على علم بحادث خصوصية مشتبه به، أو إفصاح غير مصرح به، أو استخدام غير مناسب للبيانات الشخصية، أو عدم امتثال لهذه السياسة، الإبلاغ عنه فوراً عبر [قناة الإبلاغ عن الحوادث] أو إلى [مكتب الخصوصية / أمن المعلومات].</w:t>
      </w:r>
    </w:p>
    <w:p>
      <w:pPr>
        <w:pStyle w:val="Heading2"/>
      </w:pPr>
      <w:r>
        <w:t>Exceptions</w:t>
      </w:r>
    </w:p>
    <w:p>
      <w:r>
        <w:t>Exceptions to this Policy shall be limited, documented, risk-assessed and approved before implementation, unless urgent action is necessary to protect individuals, systems, legal interests or public safety.</w:t>
      </w:r>
    </w:p>
    <w:p>
      <w:r>
        <w:t>An exception request shall include:</w:t>
      </w:r>
    </w:p>
    <w:p>
      <w:pPr>
        <w:pStyle w:val="ListBullet"/>
      </w:pPr>
      <w:r>
        <w:t>The specific Policy requirement for which an exception is requested.</w:t>
      </w:r>
    </w:p>
    <w:p>
      <w:pPr>
        <w:pStyle w:val="ListBullet"/>
      </w:pPr>
      <w:r>
        <w:t>The business, legal, technical or operational justification.</w:t>
      </w:r>
    </w:p>
    <w:p>
      <w:pPr>
        <w:pStyle w:val="ListBullet"/>
      </w:pPr>
      <w:r>
        <w:t>The categories of Personal Data affected.</w:t>
      </w:r>
    </w:p>
    <w:p>
      <w:pPr>
        <w:pStyle w:val="ListBullet"/>
      </w:pPr>
      <w:r>
        <w:t>The number and type of Data Subjects affected.</w:t>
      </w:r>
    </w:p>
    <w:p>
      <w:pPr>
        <w:pStyle w:val="ListBullet"/>
      </w:pPr>
      <w:r>
        <w:t>The Processing purpose and duration.</w:t>
      </w:r>
    </w:p>
    <w:p>
      <w:pPr>
        <w:pStyle w:val="ListBullet"/>
      </w:pPr>
      <w:r>
        <w:t>The risks to Data Subjects and to [Organisation Name].</w:t>
      </w:r>
    </w:p>
    <w:p>
      <w:pPr>
        <w:pStyle w:val="ListBullet"/>
      </w:pPr>
      <w:r>
        <w:t>Compensating controls and safeguards.</w:t>
      </w:r>
    </w:p>
    <w:p>
      <w:pPr>
        <w:pStyle w:val="ListBullet"/>
      </w:pPr>
      <w:r>
        <w:t>The proposed expiry date.</w:t>
      </w:r>
    </w:p>
    <w:p>
      <w:pPr>
        <w:pStyle w:val="ListBullet"/>
      </w:pPr>
      <w:r>
        <w:t>Approvals from the relevant Business Owner, Privacy Office, Information Security and Legal Department where applicable.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Exception Type</w:t>
            </w:r>
          </w:p>
        </w:tc>
        <w:tc>
          <w:tcPr>
            <w:tcW w:type="dxa" w:w="2160"/>
          </w:tcPr>
          <w:p>
            <w:r>
              <w:t>Approval Required</w:t>
            </w:r>
          </w:p>
        </w:tc>
        <w:tc>
          <w:tcPr>
            <w:tcW w:type="dxa" w:w="2160"/>
          </w:tcPr>
          <w:p>
            <w:r>
              <w:t>Maximum Initial Duration</w:t>
            </w:r>
          </w:p>
        </w:tc>
        <w:tc>
          <w:tcPr>
            <w:tcW w:type="dxa" w:w="2160"/>
          </w:tcPr>
          <w:p>
            <w:r>
              <w:t>Minimum Safeguards</w:t>
            </w:r>
          </w:p>
        </w:tc>
      </w:tr>
      <w:tr>
        <w:tc>
          <w:tcPr>
            <w:tcW w:type="dxa" w:w="2160"/>
          </w:tcPr>
          <w:p>
            <w:r>
              <w:t>Temporary operational exception</w:t>
            </w:r>
          </w:p>
        </w:tc>
        <w:tc>
          <w:tcPr>
            <w:tcW w:type="dxa" w:w="2160"/>
          </w:tcPr>
          <w:p>
            <w:r>
              <w:t>Business Owner and Privacy Office</w:t>
            </w:r>
          </w:p>
        </w:tc>
        <w:tc>
          <w:tcPr>
            <w:tcW w:type="dxa" w:w="2160"/>
          </w:tcPr>
          <w:p>
            <w:r>
              <w:t>[90 days]</w:t>
            </w:r>
          </w:p>
        </w:tc>
        <w:tc>
          <w:tcPr>
            <w:tcW w:type="dxa" w:w="2160"/>
          </w:tcPr>
          <w:p>
            <w:r>
              <w:t>Documented risk acceptance and compensating controls</w:t>
            </w:r>
          </w:p>
        </w:tc>
      </w:tr>
      <w:tr>
        <w:tc>
          <w:tcPr>
            <w:tcW w:type="dxa" w:w="2160"/>
          </w:tcPr>
          <w:p>
            <w:r>
              <w:t>Security-related exception</w:t>
            </w:r>
          </w:p>
        </w:tc>
        <w:tc>
          <w:tcPr>
            <w:tcW w:type="dxa" w:w="2160"/>
          </w:tcPr>
          <w:p>
            <w:r>
              <w:t>Information Security and Privacy Office</w:t>
            </w:r>
          </w:p>
        </w:tc>
        <w:tc>
          <w:tcPr>
            <w:tcW w:type="dxa" w:w="2160"/>
          </w:tcPr>
          <w:p>
            <w:r>
              <w:t>[90 days]</w:t>
            </w:r>
          </w:p>
        </w:tc>
        <w:tc>
          <w:tcPr>
            <w:tcW w:type="dxa" w:w="2160"/>
          </w:tcPr>
          <w:p>
            <w:r>
              <w:t>Security risk assessment and monitoring</w:t>
            </w:r>
          </w:p>
        </w:tc>
      </w:tr>
      <w:tr>
        <w:tc>
          <w:tcPr>
            <w:tcW w:type="dxa" w:w="2160"/>
          </w:tcPr>
          <w:p>
            <w:r>
              <w:t>Third-party Processing exception</w:t>
            </w:r>
          </w:p>
        </w:tc>
        <w:tc>
          <w:tcPr>
            <w:tcW w:type="dxa" w:w="2160"/>
          </w:tcPr>
          <w:p>
            <w:r>
              <w:t>Procurement, Privacy Office and Legal</w:t>
            </w:r>
          </w:p>
        </w:tc>
        <w:tc>
          <w:tcPr>
            <w:tcW w:type="dxa" w:w="2160"/>
          </w:tcPr>
          <w:p>
            <w:r>
              <w:t>[180 days]</w:t>
            </w:r>
          </w:p>
        </w:tc>
        <w:tc>
          <w:tcPr>
            <w:tcW w:type="dxa" w:w="2160"/>
          </w:tcPr>
          <w:p>
            <w:r>
              <w:t>Contractual controls and documented remediation plan</w:t>
            </w:r>
          </w:p>
        </w:tc>
      </w:tr>
      <w:tr>
        <w:tc>
          <w:tcPr>
            <w:tcW w:type="dxa" w:w="2160"/>
          </w:tcPr>
          <w:p>
            <w:r>
              <w:t>International transfer exception</w:t>
            </w:r>
          </w:p>
        </w:tc>
        <w:tc>
          <w:tcPr>
            <w:tcW w:type="dxa" w:w="2160"/>
          </w:tcPr>
          <w:p>
            <w:r>
              <w:t>Privacy Office, Legal and Executive Sponsor</w:t>
            </w:r>
          </w:p>
        </w:tc>
        <w:tc>
          <w:tcPr>
            <w:tcW w:type="dxa" w:w="2160"/>
          </w:tcPr>
          <w:p>
            <w:r>
              <w:t>[180 days]</w:t>
            </w:r>
          </w:p>
        </w:tc>
        <w:tc>
          <w:tcPr>
            <w:tcW w:type="dxa" w:w="2160"/>
          </w:tcPr>
          <w:p>
            <w:r>
              <w:t>Transfer assessment, safeguards and approval record</w:t>
            </w:r>
          </w:p>
        </w:tc>
      </w:tr>
      <w:tr>
        <w:tc>
          <w:tcPr>
            <w:tcW w:type="dxa" w:w="2160"/>
          </w:tcPr>
          <w:p>
            <w:r>
              <w:t>Retention exception</w:t>
            </w:r>
          </w:p>
        </w:tc>
        <w:tc>
          <w:tcPr>
            <w:tcW w:type="dxa" w:w="2160"/>
          </w:tcPr>
          <w:p>
            <w:r>
              <w:t>Records Owner, Privacy Office and Legal</w:t>
            </w:r>
          </w:p>
        </w:tc>
        <w:tc>
          <w:tcPr>
            <w:tcW w:type="dxa" w:w="2160"/>
          </w:tcPr>
          <w:p>
            <w:r>
              <w:t>[1 year]</w:t>
            </w:r>
          </w:p>
        </w:tc>
        <w:tc>
          <w:tcPr>
            <w:tcW w:type="dxa" w:w="2160"/>
          </w:tcPr>
          <w:p>
            <w:r>
              <w:t>Legal basis, restricted access and review date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نوع الاستثناء</w:t>
            </w:r>
          </w:p>
        </w:tc>
        <w:tc>
          <w:tcPr>
            <w:tcW w:type="dxa" w:w="2160"/>
          </w:tcPr>
          <w:p>
            <w:r>
              <w:t>الاعتماد المطلوب</w:t>
            </w:r>
          </w:p>
        </w:tc>
        <w:tc>
          <w:tcPr>
            <w:tcW w:type="dxa" w:w="2160"/>
          </w:tcPr>
          <w:p>
            <w:r>
              <w:t>الحد الأقصى للمدة الأولية</w:t>
            </w:r>
          </w:p>
        </w:tc>
        <w:tc>
          <w:tcPr>
            <w:tcW w:type="dxa" w:w="2160"/>
          </w:tcPr>
          <w:p>
            <w:r>
              <w:t>الحد الأدنى من الضمانات</w:t>
            </w:r>
          </w:p>
        </w:tc>
      </w:tr>
      <w:tr>
        <w:tc>
          <w:tcPr>
            <w:tcW w:type="dxa" w:w="2160"/>
          </w:tcPr>
          <w:p>
            <w:r>
              <w:t>استثناء تشغيلي مؤقت</w:t>
            </w:r>
          </w:p>
        </w:tc>
        <w:tc>
          <w:tcPr>
            <w:tcW w:type="dxa" w:w="2160"/>
          </w:tcPr>
          <w:p>
            <w:r>
              <w:t>مالك العملية ومكتب الخصوصية</w:t>
            </w:r>
          </w:p>
        </w:tc>
        <w:tc>
          <w:tcPr>
            <w:tcW w:type="dxa" w:w="2160"/>
          </w:tcPr>
          <w:p>
            <w:r>
              <w:t>[90 يوماً]</w:t>
            </w:r>
          </w:p>
        </w:tc>
        <w:tc>
          <w:tcPr>
            <w:tcW w:type="dxa" w:w="2160"/>
          </w:tcPr>
          <w:p>
            <w:r>
              <w:t>قبول موثق للمخاطر وضوابط تعويضية</w:t>
            </w:r>
          </w:p>
        </w:tc>
      </w:tr>
      <w:tr>
        <w:tc>
          <w:tcPr>
            <w:tcW w:type="dxa" w:w="2160"/>
          </w:tcPr>
          <w:p>
            <w:r>
              <w:t>استثناء متعلق بالأمن</w:t>
            </w:r>
          </w:p>
        </w:tc>
        <w:tc>
          <w:tcPr>
            <w:tcW w:type="dxa" w:w="2160"/>
          </w:tcPr>
          <w:p>
            <w:r>
              <w:t>أمن المعلومات ومكتب الخصوصية</w:t>
            </w:r>
          </w:p>
        </w:tc>
        <w:tc>
          <w:tcPr>
            <w:tcW w:type="dxa" w:w="2160"/>
          </w:tcPr>
          <w:p>
            <w:r>
              <w:t>[90 يوماً]</w:t>
            </w:r>
          </w:p>
        </w:tc>
        <w:tc>
          <w:tcPr>
            <w:tcW w:type="dxa" w:w="2160"/>
          </w:tcPr>
          <w:p>
            <w:r>
              <w:t>تقييم مخاطر أمني ومراقبة</w:t>
            </w:r>
          </w:p>
        </w:tc>
      </w:tr>
      <w:tr>
        <w:tc>
          <w:tcPr>
            <w:tcW w:type="dxa" w:w="2160"/>
          </w:tcPr>
          <w:p>
            <w:r>
              <w:t>استثناء لمعالجة طرف ثالث</w:t>
            </w:r>
          </w:p>
        </w:tc>
        <w:tc>
          <w:tcPr>
            <w:tcW w:type="dxa" w:w="2160"/>
          </w:tcPr>
          <w:p>
            <w:r>
              <w:t>المشتريات ومكتب الخصوصية والإدارة القانونية</w:t>
            </w:r>
          </w:p>
        </w:tc>
        <w:tc>
          <w:tcPr>
            <w:tcW w:type="dxa" w:w="2160"/>
          </w:tcPr>
          <w:p>
            <w:r>
              <w:t>[180 يوماً]</w:t>
            </w:r>
          </w:p>
        </w:tc>
        <w:tc>
          <w:tcPr>
            <w:tcW w:type="dxa" w:w="2160"/>
          </w:tcPr>
          <w:p>
            <w:r>
              <w:t>ضوابط تعاقدية وخطة معالجة موثقة</w:t>
            </w:r>
          </w:p>
        </w:tc>
      </w:tr>
      <w:tr>
        <w:tc>
          <w:tcPr>
            <w:tcW w:type="dxa" w:w="2160"/>
          </w:tcPr>
          <w:p>
            <w:r>
              <w:t>استثناء لنقل البيانات خارج المملكة</w:t>
            </w:r>
          </w:p>
        </w:tc>
        <w:tc>
          <w:tcPr>
            <w:tcW w:type="dxa" w:w="2160"/>
          </w:tcPr>
          <w:p>
            <w:r>
              <w:t>مكتب الخصوصية والإدارة القانونية والراعي التنفيذي</w:t>
            </w:r>
          </w:p>
        </w:tc>
        <w:tc>
          <w:tcPr>
            <w:tcW w:type="dxa" w:w="2160"/>
          </w:tcPr>
          <w:p>
            <w:r>
              <w:t>[180 يوماً]</w:t>
            </w:r>
          </w:p>
        </w:tc>
        <w:tc>
          <w:tcPr>
            <w:tcW w:type="dxa" w:w="2160"/>
          </w:tcPr>
          <w:p>
            <w:r>
              <w:t>تقييم النقل والضمانات وسجل الاعتماد</w:t>
            </w:r>
          </w:p>
        </w:tc>
      </w:tr>
      <w:tr>
        <w:tc>
          <w:tcPr>
            <w:tcW w:type="dxa" w:w="2160"/>
          </w:tcPr>
          <w:p>
            <w:r>
              <w:t>استثناء للاحتفاظ</w:t>
            </w:r>
          </w:p>
        </w:tc>
        <w:tc>
          <w:tcPr>
            <w:tcW w:type="dxa" w:w="2160"/>
          </w:tcPr>
          <w:p>
            <w:r>
              <w:t>مالك السجلات ومكتب الخصوصية والإدارة القانونية</w:t>
            </w:r>
          </w:p>
        </w:tc>
        <w:tc>
          <w:tcPr>
            <w:tcW w:type="dxa" w:w="2160"/>
          </w:tcPr>
          <w:p>
            <w:r>
              <w:t>[سنة واحدة]</w:t>
            </w:r>
          </w:p>
        </w:tc>
        <w:tc>
          <w:tcPr>
            <w:tcW w:type="dxa" w:w="2160"/>
          </w:tcPr>
          <w:p>
            <w:r>
              <w:t>أساس نظامي ووصول مقيد وتاريخ مراجعة</w:t>
            </w:r>
          </w:p>
        </w:tc>
      </w:tr>
    </w:tbl>
    <w:p>
      <w:r>
        <w:t>Exceptions shall not be used to bypass privacy rights, avoid required notifications, process Personal Data for undisclosed purposes, collect unnecessary Sensitive Personal Data, or transfer Personal Data outside approved safeguards. Expired exceptions shall be closed, renewed through formal approval, or remediated.</w:t>
      </w:r>
    </w:p>
    <w:p>
      <w:r>
        <w:t>---</w:t>
      </w:r>
    </w:p>
    <w:p>
      <w:r>
        <w:t>يجب أن تكون الاستثناءات من هذه السياسة محدودة وموثقة وخاضعة لتقييم المخاطر ومعتمدة قبل التنفيذ، ما لم يكن الإجراء العاجل ضرورياً لحماية الأفراد أو الأنظمة أو المصالح القانونية أو السلامة العامة.</w:t>
      </w:r>
    </w:p>
    <w:p>
      <w:r>
        <w:t>يجب أن يتضمن طلب الاستثناء:</w:t>
      </w:r>
    </w:p>
    <w:p>
      <w:pPr>
        <w:pStyle w:val="ListBullet"/>
      </w:pPr>
      <w:r>
        <w:t>المتطلب المحدد من السياسة المطلوب الاستثناء منه.</w:t>
      </w:r>
    </w:p>
    <w:p>
      <w:pPr>
        <w:pStyle w:val="ListBullet"/>
      </w:pPr>
      <w:r>
        <w:t>المبرر التجاري أو النظامي أو التقني أو التشغيلي.</w:t>
      </w:r>
    </w:p>
    <w:p>
      <w:pPr>
        <w:pStyle w:val="ListBullet"/>
      </w:pPr>
      <w:r>
        <w:t>فئات البيانات الشخصية المتأثرة.</w:t>
      </w:r>
    </w:p>
    <w:p>
      <w:pPr>
        <w:pStyle w:val="ListBullet"/>
      </w:pPr>
      <w:r>
        <w:t>عدد ونوع أصحاب البيانات المتأثرين.</w:t>
      </w:r>
    </w:p>
    <w:p>
      <w:pPr>
        <w:pStyle w:val="ListBullet"/>
      </w:pPr>
      <w:r>
        <w:t>غرض المعالجة ومدتها.</w:t>
      </w:r>
    </w:p>
    <w:p>
      <w:pPr>
        <w:pStyle w:val="ListBullet"/>
      </w:pPr>
      <w:r>
        <w:t>المخاطر على أصحاب البيانات وعلى [اسم الجهة].</w:t>
      </w:r>
    </w:p>
    <w:p>
      <w:pPr>
        <w:pStyle w:val="ListBullet"/>
      </w:pPr>
      <w:r>
        <w:t>الضوابط والضمانات التعويضية.</w:t>
      </w:r>
    </w:p>
    <w:p>
      <w:pPr>
        <w:pStyle w:val="ListBullet"/>
      </w:pPr>
      <w:r>
        <w:t>تاريخ انتهاء الاستثناء المقترح.</w:t>
      </w:r>
    </w:p>
    <w:p>
      <w:pPr>
        <w:pStyle w:val="ListBullet"/>
      </w:pPr>
      <w:r>
        <w:t>موافقات مالك العملية المعني، ومكتب الخصوصية، وأمن المعلومات، والإدارة القانونية عند الاقتضاء.</w:t>
      </w:r>
    </w:p>
    <w:p>
      <w:r>
        <w:t>لا يجوز استخدام الاستثناءات لتجاوز حقوق الخصوصية، أو تجنب الإخطارات المطلوبة، أو معالجة البيانات الشخصية لأغراض غير معلنة، أو جمع بيانات شخصية حساسة غير ضرورية، أو نقل البيانات الشخصية خارج الضمانات المعتمدة. ويجب إغلاق الاستثناءات المنتهية أو تجديدها من خلال اعتماد رسمي أو معالجتها.</w:t>
      </w:r>
    </w:p>
    <w:p>
      <w:pPr>
        <w:pStyle w:val="Heading2"/>
      </w:pPr>
      <w:r>
        <w:t>Review &amp; Maintenance</w:t>
      </w:r>
    </w:p>
    <w:p>
      <w:r>
        <w:t>This Policy shall be reviewed at least annually and whenever there is a material change to:</w:t>
      </w:r>
    </w:p>
    <w:p>
      <w:pPr>
        <w:pStyle w:val="ListBullet"/>
      </w:pPr>
      <w:r>
        <w:t>Applicable privacy or data protection requirements.</w:t>
      </w:r>
    </w:p>
    <w:p>
      <w:pPr>
        <w:pStyle w:val="ListBullet"/>
      </w:pPr>
      <w:r>
        <w:t>[Organisation Name]’s products, services, systems or business model.</w:t>
      </w:r>
    </w:p>
    <w:p>
      <w:pPr>
        <w:pStyle w:val="ListBullet"/>
      </w:pPr>
      <w:r>
        <w:t>Personal Data Processing purposes, categories or volumes.</w:t>
      </w:r>
    </w:p>
    <w:p>
      <w:pPr>
        <w:pStyle w:val="ListBullet"/>
      </w:pPr>
      <w:r>
        <w:t>Data-sharing arrangements, Processors or business partners.</w:t>
      </w:r>
    </w:p>
    <w:p>
      <w:pPr>
        <w:pStyle w:val="ListBullet"/>
      </w:pPr>
      <w:r>
        <w:t>International transfer arrangements.</w:t>
      </w:r>
    </w:p>
    <w:p>
      <w:pPr>
        <w:pStyle w:val="ListBullet"/>
      </w:pPr>
      <w:r>
        <w:t>Security risks, incidents or privacy complaints.</w:t>
      </w:r>
    </w:p>
    <w:p>
      <w:pPr>
        <w:pStyle w:val="ListBullet"/>
      </w:pPr>
      <w:r>
        <w:t>Regulatory guidance or enforcement expectations.</w:t>
      </w:r>
    </w:p>
    <w:p>
      <w:pPr>
        <w:pStyle w:val="ListBullet"/>
      </w:pPr>
      <w:r>
        <w:t>Organisational structure, ownership or accountability.</w:t>
      </w:r>
    </w:p>
    <w:p>
      <w:r>
        <w:t>The Privacy Office shall coordinate the review with Legal, Information Security, relevant Business Owners and other stakeholders. Updates shall be approved by [Approving Authority] and published through appropriate channels.</w:t>
      </w:r>
    </w:p>
    <w:p>
      <w:r>
        <w:t>Version history shall be maintained as follows: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Summary of Changes</w:t>
            </w:r>
          </w:p>
        </w:tc>
        <w:tc>
          <w:tcPr>
            <w:tcW w:type="dxa" w:w="2160"/>
          </w:tcPr>
          <w:p>
            <w:r>
              <w:t>Approved By</w:t>
            </w:r>
          </w:p>
        </w:tc>
      </w:tr>
      <w:tr>
        <w:tc>
          <w:tcPr>
            <w:tcW w:type="dxa" w:w="2160"/>
          </w:tcPr>
          <w:p>
            <w:r>
              <w:t>1.0</w:t>
            </w:r>
          </w:p>
        </w:tc>
        <w:tc>
          <w:tcPr>
            <w:tcW w:type="dxa" w:w="2160"/>
          </w:tcPr>
          <w:p>
            <w:r>
              <w:t>[DD Month YYYY]</w:t>
            </w:r>
          </w:p>
        </w:tc>
        <w:tc>
          <w:tcPr>
            <w:tcW w:type="dxa" w:w="2160"/>
          </w:tcPr>
          <w:p>
            <w:r>
              <w:t>Initial approved version</w:t>
            </w:r>
          </w:p>
        </w:tc>
        <w:tc>
          <w:tcPr>
            <w:tcW w:type="dxa" w:w="2160"/>
          </w:tcPr>
          <w:p>
            <w:r>
              <w:t>[Approver Name / Committee]</w:t>
            </w:r>
          </w:p>
        </w:tc>
      </w:tr>
    </w:tbl>
    <w:p>
      <w:r>
        <w:t>For questions about this Policy or how [Organisation Name] handles Personal Data, contact:</w:t>
      </w:r>
    </w:p>
    <w:tbl>
      <w:tblPr>
        <w:tblStyle w:val="TableGrid"/>
        <w:tblW w:type="auto" w:w="0"/>
        <w:tblLook w:firstColumn="1" w:firstRow="1" w:lastColumn="0" w:lastRow="0" w:noHBand="0" w:noVBand="1" w:val="04A0"/>
      </w:tblPr>
      <w:tblGrid>
        <w:gridCol w:w="4320"/>
        <w:gridCol w:w="4320"/>
      </w:tblGrid>
      <w:tr>
        <w:tc>
          <w:tcPr>
            <w:tcW w:type="dxa" w:w="4320"/>
          </w:tcPr>
          <w:p>
            <w:r>
              <w:t>Contact Purpose</w:t>
            </w:r>
          </w:p>
        </w:tc>
        <w:tc>
          <w:tcPr>
            <w:tcW w:type="dxa" w:w="4320"/>
          </w:tcPr>
          <w:p>
            <w:r>
              <w:t>Contact Details</w:t>
            </w:r>
          </w:p>
        </w:tc>
      </w:tr>
      <w:tr>
        <w:tc>
          <w:tcPr>
            <w:tcW w:type="dxa" w:w="4320"/>
          </w:tcPr>
          <w:p>
            <w:r>
              <w:t>Privacy enquiries and Data Subject requests</w:t>
            </w:r>
          </w:p>
        </w:tc>
        <w:tc>
          <w:tcPr>
            <w:tcW w:type="dxa" w:w="4320"/>
          </w:tcPr>
          <w:p>
            <w:r>
              <w:t>[privacy@[organisation-domain].com]</w:t>
            </w:r>
          </w:p>
        </w:tc>
      </w:tr>
      <w:tr>
        <w:tc>
          <w:tcPr>
            <w:tcW w:type="dxa" w:w="4320"/>
          </w:tcPr>
          <w:p>
            <w:r>
              <w:t>Complaints</w:t>
            </w:r>
          </w:p>
        </w:tc>
        <w:tc>
          <w:tcPr>
            <w:tcW w:type="dxa" w:w="4320"/>
          </w:tcPr>
          <w:p>
            <w:r>
              <w:t>[complaints@[organisation-domain].com]</w:t>
            </w:r>
          </w:p>
        </w:tc>
      </w:tr>
      <w:tr>
        <w:tc>
          <w:tcPr>
            <w:tcW w:type="dxa" w:w="4320"/>
          </w:tcPr>
          <w:p>
            <w:r>
              <w:t>Postal correspondence</w:t>
            </w:r>
          </w:p>
        </w:tc>
        <w:tc>
          <w:tcPr>
            <w:tcW w:type="dxa" w:w="4320"/>
          </w:tcPr>
          <w:p>
            <w:r>
              <w:t>[Registered Address, City, Kingdom of Saudi Arabia]</w:t>
            </w:r>
          </w:p>
        </w:tc>
      </w:tr>
      <w:tr>
        <w:tc>
          <w:tcPr>
            <w:tcW w:type="dxa" w:w="4320"/>
          </w:tcPr>
          <w:p>
            <w:r>
              <w:t>Telephone</w:t>
            </w:r>
          </w:p>
        </w:tc>
        <w:tc>
          <w:tcPr>
            <w:tcW w:type="dxa" w:w="4320"/>
          </w:tcPr>
          <w:p>
            <w:r>
              <w:t>[Telephone Number]</w:t>
            </w:r>
          </w:p>
        </w:tc>
      </w:tr>
    </w:tbl>
    <w:p>
      <w:r>
        <w:t>---</w:t>
      </w:r>
    </w:p>
    <w:p>
      <w:r>
        <w:t>تتم مراجعة هذه السياسة سنوياً على الأقل، وكلما حدث تغيير جوهري في:</w:t>
      </w:r>
    </w:p>
    <w:p>
      <w:pPr>
        <w:pStyle w:val="ListBullet"/>
      </w:pPr>
      <w:r>
        <w:t>متطلبات الخصوصية أو حماية البيانات المعمول بها.</w:t>
      </w:r>
    </w:p>
    <w:p>
      <w:pPr>
        <w:pStyle w:val="ListBullet"/>
      </w:pPr>
      <w:r>
        <w:t>منتجات [اسم الجهة] أو خدماتها أو أنظمتها أو نموذج أعمالها.</w:t>
      </w:r>
    </w:p>
    <w:p>
      <w:pPr>
        <w:pStyle w:val="ListBullet"/>
      </w:pPr>
      <w:r>
        <w:t>أغراض معالجة البيانات الشخصية أو فئاتها أو أحجامها.</w:t>
      </w:r>
    </w:p>
    <w:p>
      <w:pPr>
        <w:pStyle w:val="ListBullet"/>
      </w:pPr>
      <w:r>
        <w:t>ترتيبات مشاركة البيانات أو جهات المعالجة أو شركاء الأعمال.</w:t>
      </w:r>
    </w:p>
    <w:p>
      <w:pPr>
        <w:pStyle w:val="ListBullet"/>
      </w:pPr>
      <w:r>
        <w:t>ترتيبات نقل البيانات خارج المملكة.</w:t>
      </w:r>
    </w:p>
    <w:p>
      <w:pPr>
        <w:pStyle w:val="ListBullet"/>
      </w:pPr>
      <w:r>
        <w:t>المخاطر الأمنية أو الحوادث أو شكاوى الخصوصية.</w:t>
      </w:r>
    </w:p>
    <w:p>
      <w:pPr>
        <w:pStyle w:val="ListBullet"/>
      </w:pPr>
      <w:r>
        <w:t>التوجيهات أو التوقعات التنظيمية.</w:t>
      </w:r>
    </w:p>
    <w:p>
      <w:pPr>
        <w:pStyle w:val="ListBullet"/>
      </w:pPr>
      <w:r>
        <w:t>الهيكل التنظيمي أو الملكية أو المساءلة.</w:t>
      </w:r>
    </w:p>
    <w:p>
      <w:r>
        <w:t>يتولى مكتب الخصوصية تنسيق المراجعة مع الإدارة القانونية وأمن المعلومات ومالكي العمليات المعنيين وأصحاب المصلحة الآخرين. وتعتمد التحديثات من قبل [جهة الاعتماد] وتنشر عبر القنوات المناسبة.</w:t>
      </w:r>
    </w:p>
    <w:p>
      <w:r>
        <w:t>يتم الاحتفاظ بسجل الإصدارات كما يلي:</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الإصدار</w:t>
            </w:r>
          </w:p>
        </w:tc>
        <w:tc>
          <w:tcPr>
            <w:tcW w:type="dxa" w:w="2160"/>
          </w:tcPr>
          <w:p>
            <w:r>
              <w:t>التاريخ</w:t>
            </w:r>
          </w:p>
        </w:tc>
        <w:tc>
          <w:tcPr>
            <w:tcW w:type="dxa" w:w="2160"/>
          </w:tcPr>
          <w:p>
            <w:r>
              <w:t>ملخص التغييرات</w:t>
            </w:r>
          </w:p>
        </w:tc>
        <w:tc>
          <w:tcPr>
            <w:tcW w:type="dxa" w:w="2160"/>
          </w:tcPr>
          <w:p>
            <w:r>
              <w:t>المعتمد</w:t>
            </w:r>
          </w:p>
        </w:tc>
      </w:tr>
      <w:tr>
        <w:tc>
          <w:tcPr>
            <w:tcW w:type="dxa" w:w="2160"/>
          </w:tcPr>
          <w:p>
            <w:r>
              <w:t>1.0</w:t>
            </w:r>
          </w:p>
        </w:tc>
        <w:tc>
          <w:tcPr>
            <w:tcW w:type="dxa" w:w="2160"/>
          </w:tcPr>
          <w:p>
            <w:r>
              <w:t>[يوم شهر سنة]</w:t>
            </w:r>
          </w:p>
        </w:tc>
        <w:tc>
          <w:tcPr>
            <w:tcW w:type="dxa" w:w="2160"/>
          </w:tcPr>
          <w:p>
            <w:r>
              <w:t>النسخة الأولية المعتمدة</w:t>
            </w:r>
          </w:p>
        </w:tc>
        <w:tc>
          <w:tcPr>
            <w:tcW w:type="dxa" w:w="2160"/>
          </w:tcPr>
          <w:p>
            <w:r>
              <w:t>[اسم المعتمد / اللجنة]</w:t>
            </w:r>
          </w:p>
        </w:tc>
      </w:tr>
    </w:tbl>
    <w:p>
      <w:r>
        <w:t>للاستفسارات حول هذه السياسة أو كيفية تعامل [اسم الجهة] مع البيانات الشخصية، يمكن التواصل عبر:</w:t>
      </w:r>
    </w:p>
    <w:tbl>
      <w:tblPr>
        <w:tblStyle w:val="TableGrid"/>
        <w:tblW w:type="auto" w:w="0"/>
        <w:tblLook w:firstColumn="1" w:firstRow="1" w:lastColumn="0" w:lastRow="0" w:noHBand="0" w:noVBand="1" w:val="04A0"/>
      </w:tblPr>
      <w:tblGrid>
        <w:gridCol w:w="4320"/>
        <w:gridCol w:w="4320"/>
      </w:tblGrid>
      <w:tr>
        <w:tc>
          <w:tcPr>
            <w:tcW w:type="dxa" w:w="4320"/>
          </w:tcPr>
          <w:p>
            <w:r>
              <w:t>غرض التواصل</w:t>
            </w:r>
          </w:p>
        </w:tc>
        <w:tc>
          <w:tcPr>
            <w:tcW w:type="dxa" w:w="4320"/>
          </w:tcPr>
          <w:p>
            <w:r>
              <w:t>بيانات التواصل</w:t>
            </w:r>
          </w:p>
        </w:tc>
      </w:tr>
      <w:tr>
        <w:tc>
          <w:tcPr>
            <w:tcW w:type="dxa" w:w="4320"/>
          </w:tcPr>
          <w:p>
            <w:r>
              <w:t>استفسارات الخصوصية وطلبات أصحاب البيانات</w:t>
            </w:r>
          </w:p>
        </w:tc>
        <w:tc>
          <w:tcPr>
            <w:tcW w:type="dxa" w:w="4320"/>
          </w:tcPr>
          <w:p>
            <w:r>
              <w:t>[privacy@[organisation-domain].com]</w:t>
            </w:r>
          </w:p>
        </w:tc>
      </w:tr>
      <w:tr>
        <w:tc>
          <w:tcPr>
            <w:tcW w:type="dxa" w:w="4320"/>
          </w:tcPr>
          <w:p>
            <w:r>
              <w:t>الشكاوى</w:t>
            </w:r>
          </w:p>
        </w:tc>
        <w:tc>
          <w:tcPr>
            <w:tcW w:type="dxa" w:w="4320"/>
          </w:tcPr>
          <w:p>
            <w:r>
              <w:t>[complaints@[organisation-domain].com]</w:t>
            </w:r>
          </w:p>
        </w:tc>
      </w:tr>
      <w:tr>
        <w:tc>
          <w:tcPr>
            <w:tcW w:type="dxa" w:w="4320"/>
          </w:tcPr>
          <w:p>
            <w:r>
              <w:t>المراسلات البريدية</w:t>
            </w:r>
          </w:p>
        </w:tc>
        <w:tc>
          <w:tcPr>
            <w:tcW w:type="dxa" w:w="4320"/>
          </w:tcPr>
          <w:p>
            <w:r>
              <w:t>[العنوان المسجل، المدينة، المملكة العربية السعودية]</w:t>
            </w:r>
          </w:p>
        </w:tc>
      </w:tr>
      <w:tr>
        <w:tc>
          <w:tcPr>
            <w:tcW w:type="dxa" w:w="4320"/>
          </w:tcPr>
          <w:p>
            <w:r>
              <w:t>الهاتف</w:t>
            </w:r>
          </w:p>
        </w:tc>
        <w:tc>
          <w:tcPr>
            <w:tcW w:type="dxa" w:w="4320"/>
          </w:tcPr>
          <w:p>
            <w:r>
              <w:t>[رقم الهاتف]</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