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&amp; Supplier Management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[POL-VM-001]</w:t>
            </w:r>
          </w:p>
        </w:tc>
        <w:tc>
          <w:tcPr>
            <w:tcW w:type="dxa" w:w="1440"/>
          </w:tcPr>
          <w:p>
            <w:r>
              <w:t>1.0</w:t>
            </w:r>
          </w:p>
        </w:tc>
        <w:tc>
          <w:tcPr>
            <w:tcW w:type="dxa" w:w="1440"/>
          </w:tcPr>
          <w:p>
            <w:r>
              <w:t>[Head of Procurement / Vendor Management Owner]</w:t>
            </w:r>
          </w:p>
        </w:tc>
        <w:tc>
          <w:tcPr>
            <w:tcW w:type="dxa" w:w="1440"/>
          </w:tcPr>
          <w:p>
            <w:r>
              <w:t>[Effective Date]</w:t>
            </w:r>
          </w:p>
        </w:tc>
        <w:tc>
          <w:tcPr>
            <w:tcW w:type="dxa" w:w="1440"/>
          </w:tcPr>
          <w:p>
            <w:r>
              <w:t>COBIT 2019</w:t>
            </w:r>
          </w:p>
        </w:tc>
        <w:tc>
          <w:tcPr>
            <w:tcW w:type="dxa" w:w="1440"/>
          </w:tcPr>
          <w:p>
            <w:r>
              <w:t>Internal</w:t>
            </w:r>
          </w:p>
        </w:tc>
      </w:tr>
    </w:tbl>
    <w:p>
      <w:pPr>
        <w:pStyle w:val="Heading2"/>
      </w:pPr>
      <w:r>
        <w:t>Purpose</w:t>
      </w:r>
    </w:p>
    <w:p>
      <w:r>
        <w:t>The purpose of this Vendor &amp; Supplier Management Policy is to establish mandatory requirements for selecting, contracting, onboarding, monitoring, managing and exiting vendors and suppliers that provide goods, services, technology, data processing, outsourced operations, professional services or other business capabilities to [Organisation Name].</w:t>
      </w:r>
    </w:p>
    <w:p>
      <w:r>
        <w:t>This policy supports consistent, risk-based supplier governance by ensuring that:</w:t>
      </w:r>
    </w:p>
    <w:p>
      <w:pPr>
        <w:pStyle w:val="ListBullet"/>
      </w:pPr>
      <w:r>
        <w:t>Suppliers are selected using objective business, financial, security, privacy, legal, operational and performance criteria.</w:t>
      </w:r>
    </w:p>
    <w:p>
      <w:pPr>
        <w:pStyle w:val="ListBullet"/>
      </w:pPr>
      <w:r>
        <w:t>Supplier relationships are governed by appropriate contracts, service expectations and accountability mechanisms.</w:t>
      </w:r>
    </w:p>
    <w:p>
      <w:pPr>
        <w:pStyle w:val="ListBullet"/>
      </w:pPr>
      <w:r>
        <w:t>Supplier risks are identified, assessed, accepted, treated and monitored throughout the supplier lifecycle.</w:t>
      </w:r>
    </w:p>
    <w:p>
      <w:pPr>
        <w:pStyle w:val="ListBullet"/>
      </w:pPr>
      <w:r>
        <w:t>Supplier performance is measured against agreed obligations and business outcomes.</w:t>
      </w:r>
    </w:p>
    <w:p>
      <w:pPr>
        <w:pStyle w:val="ListBullet"/>
      </w:pPr>
      <w:r>
        <w:t>Access to organisational information, systems, facilities and customers is controlled and removed when no longer required.</w:t>
      </w:r>
    </w:p>
    <w:p>
      <w:pPr>
        <w:pStyle w:val="ListBullet"/>
      </w:pPr>
      <w:r>
        <w:t>Outsourced or third-party activities remain aligned with organisational objectives, risk appetite and compliance obligations.</w:t>
      </w:r>
    </w:p>
    <w:p>
      <w:pPr>
        <w:pStyle w:val="Heading2"/>
      </w:pPr>
      <w:r>
        <w:t>Scope</w:t>
      </w:r>
    </w:p>
    <w:p>
      <w:r>
        <w:t>This policy applies to all employees, contractors, business units and functions of [Organisation Name] that request, select, approve, engage, manage, renew or terminate vendors and suppliers.</w:t>
      </w:r>
    </w:p>
    <w:p>
      <w:r>
        <w:t>This policy applies to all third parties that provide products or services to [Organisation Name], including but not limited to:</w:t>
      </w:r>
    </w:p>
    <w:p>
      <w:pPr>
        <w:pStyle w:val="ListBullet"/>
      </w:pPr>
      <w:r>
        <w:t>Cloud service providers and managed service providers.</w:t>
      </w:r>
    </w:p>
    <w:p>
      <w:pPr>
        <w:pStyle w:val="ListBullet"/>
      </w:pPr>
      <w:r>
        <w:t>Software, hardware, platform and infrastructure vendors.</w:t>
      </w:r>
    </w:p>
    <w:p>
      <w:pPr>
        <w:pStyle w:val="ListBullet"/>
      </w:pPr>
      <w:r>
        <w:t>Consultants, contractors, advisers and professional service firms.</w:t>
      </w:r>
    </w:p>
    <w:p>
      <w:pPr>
        <w:pStyle w:val="ListBullet"/>
      </w:pPr>
      <w:r>
        <w:t>Outsourced business process providers.</w:t>
      </w:r>
    </w:p>
    <w:p>
      <w:pPr>
        <w:pStyle w:val="ListBullet"/>
      </w:pPr>
      <w:r>
        <w:t>Data processors, data handlers and analytics providers.</w:t>
      </w:r>
    </w:p>
    <w:p>
      <w:pPr>
        <w:pStyle w:val="ListBullet"/>
      </w:pPr>
      <w:r>
        <w:t>Facilities, logistics and physical security suppliers.</w:t>
      </w:r>
    </w:p>
    <w:p>
      <w:pPr>
        <w:pStyle w:val="ListBullet"/>
      </w:pPr>
      <w:r>
        <w:t>Telecommunications and network service providers.</w:t>
      </w:r>
    </w:p>
    <w:p>
      <w:pPr>
        <w:pStyle w:val="ListBullet"/>
      </w:pPr>
      <w:r>
        <w:t>Resellers, distributors and support providers.</w:t>
      </w:r>
    </w:p>
    <w:p>
      <w:pPr>
        <w:pStyle w:val="ListBullet"/>
      </w:pPr>
      <w:r>
        <w:t>Subcontractors engaged by approved suppliers where they support delivery to [Organisation Name].</w:t>
      </w:r>
    </w:p>
    <w:p>
      <w:r>
        <w:t>This policy applies across the full supplier lifecycle:</w:t>
      </w:r>
    </w:p>
    <w:p>
      <w:pPr>
        <w:pStyle w:val="ListBullet"/>
      </w:pPr>
      <w:r>
        <w:t>Business need identification.</w:t>
      </w:r>
    </w:p>
    <w:p>
      <w:pPr>
        <w:pStyle w:val="ListBullet"/>
      </w:pPr>
      <w:r>
        <w:t>Supplier sourcing and due diligence.</w:t>
      </w:r>
    </w:p>
    <w:p>
      <w:pPr>
        <w:pStyle w:val="ListBullet"/>
      </w:pPr>
      <w:r>
        <w:t>Supplier selection and approval.</w:t>
      </w:r>
    </w:p>
    <w:p>
      <w:pPr>
        <w:pStyle w:val="ListBullet"/>
      </w:pPr>
      <w:r>
        <w:t>Contract negotiation and execution.</w:t>
      </w:r>
    </w:p>
    <w:p>
      <w:pPr>
        <w:pStyle w:val="ListBullet"/>
      </w:pPr>
      <w:r>
        <w:t>Supplier onboarding.</w:t>
      </w:r>
    </w:p>
    <w:p>
      <w:pPr>
        <w:pStyle w:val="ListBullet"/>
      </w:pPr>
      <w:r>
        <w:t>Ongoing performance, risk and compliance monitoring.</w:t>
      </w:r>
    </w:p>
    <w:p>
      <w:pPr>
        <w:pStyle w:val="ListBullet"/>
      </w:pPr>
      <w:r>
        <w:t>Contract renewal, change or expansion.</w:t>
      </w:r>
    </w:p>
    <w:p>
      <w:pPr>
        <w:pStyle w:val="ListBullet"/>
      </w:pPr>
      <w:r>
        <w:t>Suspension, termination and exit.</w:t>
      </w:r>
    </w:p>
    <w:p>
      <w:r>
        <w:t>This policy applies to new supplier engagements, renewals, material contract amendments, service expansions, supplier substitutions and supplier access changes.</w:t>
      </w:r>
    </w:p>
    <w:p>
      <w:r>
        <w:t>The following are out of scope unless they involve supplier access to organisational systems, confidential information, regulated data, critical operations or customer-facing services:</w:t>
      </w:r>
    </w:p>
    <w:p>
      <w:pPr>
        <w:pStyle w:val="ListBullet"/>
      </w:pPr>
      <w:r>
        <w:t>One-time low-value purchases of standard goods with no ongoing service obligation.</w:t>
      </w:r>
    </w:p>
    <w:p>
      <w:pPr>
        <w:pStyle w:val="ListBullet"/>
      </w:pPr>
      <w:r>
        <w:t>Publicly available subscription content with no exchange of confidential or personal information.</w:t>
      </w:r>
    </w:p>
    <w:p>
      <w:pPr>
        <w:pStyle w:val="ListBullet"/>
      </w:pPr>
      <w:r>
        <w:t>Employee expense reimbursements for incidental purchases.</w:t>
      </w:r>
    </w:p>
    <w:p>
      <w:r>
        <w:t>Where uncertainty exists regarding applicability, the Vendor Management Owner shall determine whether this policy applies.</w:t>
      </w:r>
    </w:p>
    <w:p>
      <w:pPr>
        <w:pStyle w:val="Heading2"/>
      </w:pPr>
      <w:r>
        <w:t>Policy Statements</w:t>
      </w:r>
    </w:p>
    <w:p>
      <w:pPr>
        <w:pStyle w:val="ListBullet"/>
      </w:pPr>
      <w:r>
        <w:t>Supplier governance and ownership</w:t>
      </w:r>
    </w:p>
    <w:p>
      <w:pPr>
        <w:pStyle w:val="ListBullet"/>
      </w:pPr>
      <w:r>
        <w:t>The organisation shall maintain a formal vendor and supplier management capability responsible for governing supplier lifecycle activities.</w:t>
      </w:r>
    </w:p>
    <w:p>
      <w:pPr>
        <w:pStyle w:val="ListBullet"/>
      </w:pPr>
      <w:r>
        <w:t>Each supplier relationship shall have an assigned Business Owner who is accountable for business justification, service performance, relationship oversight and ongoing need.</w:t>
      </w:r>
    </w:p>
    <w:p>
      <w:pPr>
        <w:pStyle w:val="ListBullet"/>
      </w:pPr>
      <w:r>
        <w:t>Each supplier that provides technology, data processing, operational support, outsourced services or access to organisational assets shall be recorded in the approved supplier register.</w:t>
      </w:r>
    </w:p>
    <w:p>
      <w:pPr>
        <w:pStyle w:val="ListBullet"/>
      </w:pPr>
      <w:r>
        <w:t>Supplier records shall be complete, accurate and maintained throughout the supplier lifecycle.</w:t>
      </w:r>
    </w:p>
    <w:p>
      <w:pPr>
        <w:pStyle w:val="ListBullet"/>
      </w:pPr>
      <w:r>
        <w:t>Supplier management activities shall be proportionate to the supplier’s risk, criticality, data access, service dependency and business impact.</w:t>
      </w:r>
    </w:p>
    <w:p>
      <w:pPr>
        <w:pStyle w:val="ListBullet"/>
      </w:pPr>
      <w:r>
        <w:t>Supplier classification and risk tiering</w:t>
      </w:r>
    </w:p>
    <w:p>
      <w:pPr>
        <w:pStyle w:val="ListBullet"/>
      </w:pPr>
      <w:r>
        <w:t>Suppliers shall be classified before contract award and reviewed periodically thereafter.</w:t>
      </w:r>
    </w:p>
    <w:p>
      <w:pPr>
        <w:pStyle w:val="ListBullet"/>
      </w:pPr>
      <w:r>
        <w:t>Supplier classification shall consider, at a minimum:</w:t>
      </w:r>
    </w:p>
    <w:p>
      <w:pPr>
        <w:pStyle w:val="ListBullet"/>
      </w:pPr>
      <w:r>
        <w:t>Criticality to business operations.</w:t>
      </w:r>
    </w:p>
    <w:p>
      <w:pPr>
        <w:pStyle w:val="ListBullet"/>
      </w:pPr>
      <w:r>
        <w:t>Access to organisational systems, networks, facilities or data.</w:t>
      </w:r>
    </w:p>
    <w:p>
      <w:pPr>
        <w:pStyle w:val="ListBullet"/>
      </w:pPr>
      <w:r>
        <w:t>Access to personal, confidential, regulated or commercially sensitive information.</w:t>
      </w:r>
    </w:p>
    <w:p>
      <w:pPr>
        <w:pStyle w:val="ListBullet"/>
      </w:pPr>
      <w:r>
        <w:t>Financial, operational, legal, regulatory and reputational impact of failure.</w:t>
      </w:r>
    </w:p>
    <w:p>
      <w:pPr>
        <w:pStyle w:val="ListBullet"/>
      </w:pPr>
      <w:r>
        <w:t>Subcontracting arrangements and geographic service delivery locations.</w:t>
      </w:r>
    </w:p>
    <w:p>
      <w:pPr>
        <w:pStyle w:val="ListBullet"/>
      </w:pPr>
      <w:r>
        <w:t>Dependency on cloud, managed services or outsourced operations.</w:t>
      </w:r>
    </w:p>
    <w:p>
      <w:pPr>
        <w:pStyle w:val="ListBullet"/>
      </w:pPr>
      <w:r>
        <w:t>Ability to meet resilience, continuity and recovery expectations.</w:t>
      </w:r>
    </w:p>
    <w:p>
      <w:pPr>
        <w:pStyle w:val="ListBullet"/>
      </w:pPr>
      <w:r>
        <w:t>Suppliers shall be assigned a risk tier using the organisation’s approved supplier risk model.</w:t>
      </w:r>
    </w:p>
    <w:p>
      <w:pPr>
        <w:pStyle w:val="ListBullet"/>
      </w:pPr>
      <w:r>
        <w:t>Higher-risk suppliers shall be subject to enhanced due diligence, additional contractual safeguards and more frequent monitoring.</w:t>
      </w:r>
    </w:p>
    <w:p>
      <w:pPr>
        <w:pStyle w:val="ListBullet"/>
      </w:pPr>
      <w:r>
        <w:t>The supplier risk tier shall be approved by the Business Owner and the relevant risk, security, privacy, legal or procurement stakeholders before contract execution.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Supplier Tier</w:t>
            </w:r>
          </w:p>
        </w:tc>
        <w:tc>
          <w:tcPr>
            <w:tcW w:type="dxa" w:w="2160"/>
          </w:tcPr>
          <w:p>
            <w:r>
              <w:t>Typical Characteristics</w:t>
            </w:r>
          </w:p>
        </w:tc>
        <w:tc>
          <w:tcPr>
            <w:tcW w:type="dxa" w:w="2160"/>
          </w:tcPr>
          <w:p>
            <w:r>
              <w:t>Minimum Management Requirements</w:t>
            </w:r>
          </w:p>
        </w:tc>
        <w:tc>
          <w:tcPr>
            <w:tcW w:type="dxa" w:w="2160"/>
          </w:tcPr>
          <w:p>
            <w:r>
              <w:t>Minimum Review Frequency</w:t>
            </w:r>
          </w:p>
        </w:tc>
      </w:tr>
      <w:tr>
        <w:tc>
          <w:tcPr>
            <w:tcW w:type="dxa" w:w="2160"/>
          </w:tcPr>
          <w:p>
            <w:r>
              <w:t>Critical</w:t>
            </w:r>
          </w:p>
        </w:tc>
        <w:tc>
          <w:tcPr>
            <w:tcW w:type="dxa" w:w="2160"/>
          </w:tcPr>
          <w:p>
            <w:r>
              <w:t>Directly supports essential operations, major customer services, regulated processes or core technology; failure may cause severe business disruption</w:t>
            </w:r>
          </w:p>
        </w:tc>
        <w:tc>
          <w:tcPr>
            <w:tcW w:type="dxa" w:w="2160"/>
          </w:tcPr>
          <w:p>
            <w:r>
              <w:t>Executive awareness, enhanced due diligence, formal service measures, continuity requirements, security and privacy review, exit plan</w:t>
            </w:r>
          </w:p>
        </w:tc>
        <w:tc>
          <w:tcPr>
            <w:tcW w:type="dxa" w:w="2160"/>
          </w:tcPr>
          <w:p>
            <w:r>
              <w:t>Quarterly</w:t>
            </w:r>
          </w:p>
        </w:tc>
      </w:tr>
      <w:tr>
        <w:tc>
          <w:tcPr>
            <w:tcW w:type="dxa" w:w="2160"/>
          </w:tcPr>
          <w:p>
            <w:r>
              <w:t>High</w:t>
            </w:r>
          </w:p>
        </w:tc>
        <w:tc>
          <w:tcPr>
            <w:tcW w:type="dxa" w:w="2160"/>
          </w:tcPr>
          <w:p>
            <w:r>
              <w:t>Handles sensitive data, has privileged access, provides important operational or technology services, or has significant financial impact</w:t>
            </w:r>
          </w:p>
        </w:tc>
        <w:tc>
          <w:tcPr>
            <w:tcW w:type="dxa" w:w="2160"/>
          </w:tcPr>
          <w:p>
            <w:r>
              <w:t>Risk assessment, security review, contractual controls, performance reporting, issue tracking</w:t>
            </w:r>
          </w:p>
        </w:tc>
        <w:tc>
          <w:tcPr>
            <w:tcW w:type="dxa" w:w="2160"/>
          </w:tcPr>
          <w:p>
            <w:r>
              <w:t>Semi-annually</w:t>
            </w:r>
          </w:p>
        </w:tc>
      </w:tr>
      <w:tr>
        <w:tc>
          <w:tcPr>
            <w:tcW w:type="dxa" w:w="2160"/>
          </w:tcPr>
          <w:p>
            <w:r>
              <w:t>Medium</w:t>
            </w:r>
          </w:p>
        </w:tc>
        <w:tc>
          <w:tcPr>
            <w:tcW w:type="dxa" w:w="2160"/>
          </w:tcPr>
          <w:p>
            <w:r>
              <w:t>Provides recurring services with limited access or moderate operational impact</w:t>
            </w:r>
          </w:p>
        </w:tc>
        <w:tc>
          <w:tcPr>
            <w:tcW w:type="dxa" w:w="2160"/>
          </w:tcPr>
          <w:p>
            <w:r>
              <w:t>Standard due diligence, contract review, performance monitoring</w:t>
            </w:r>
          </w:p>
        </w:tc>
        <w:tc>
          <w:tcPr>
            <w:tcW w:type="dxa" w:w="2160"/>
          </w:tcPr>
          <w:p>
            <w:r>
              <w:t>Annually</w:t>
            </w:r>
          </w:p>
        </w:tc>
      </w:tr>
      <w:tr>
        <w:tc>
          <w:tcPr>
            <w:tcW w:type="dxa" w:w="2160"/>
          </w:tcPr>
          <w:p>
            <w:r>
              <w:t>Low</w:t>
            </w:r>
          </w:p>
        </w:tc>
        <w:tc>
          <w:tcPr>
            <w:tcW w:type="dxa" w:w="2160"/>
          </w:tcPr>
          <w:p>
            <w:r>
              <w:t>Provides low-risk goods or services with no sensitive access and minimal operational impact</w:t>
            </w:r>
          </w:p>
        </w:tc>
        <w:tc>
          <w:tcPr>
            <w:tcW w:type="dxa" w:w="2160"/>
          </w:tcPr>
          <w:p>
            <w:r>
              <w:t>Basic supplier validation and purchase approval</w:t>
            </w:r>
          </w:p>
        </w:tc>
        <w:tc>
          <w:tcPr>
            <w:tcW w:type="dxa" w:w="2160"/>
          </w:tcPr>
          <w:p>
            <w:r>
              <w:t>At renewal or every two years</w:t>
            </w:r>
          </w:p>
        </w:tc>
      </w:tr>
    </w:tbl>
    <w:p>
      <w:pPr>
        <w:pStyle w:val="ListBullet"/>
      </w:pPr>
      <w:r>
        <w:t>Business need and sourcing</w:t>
      </w:r>
    </w:p>
    <w:p>
      <w:pPr>
        <w:pStyle w:val="ListBullet"/>
      </w:pPr>
      <w:r>
        <w:t>Supplier engagement shall be initiated only where there is a documented business need, approved budget and identified Business Owner.</w:t>
      </w:r>
    </w:p>
    <w:p>
      <w:pPr>
        <w:pStyle w:val="ListBullet"/>
      </w:pPr>
      <w:r>
        <w:t>Procurement activity shall follow approved sourcing, competitive evaluation and delegated authority requirements.</w:t>
      </w:r>
    </w:p>
    <w:p>
      <w:pPr>
        <w:pStyle w:val="ListBullet"/>
      </w:pPr>
      <w:r>
        <w:t>Supplier selection shall be based on documented and objective criteria, including capability, value, risk, quality, security, compliance, service maturity, financial stability and alignment with business requirements.</w:t>
      </w:r>
    </w:p>
    <w:p>
      <w:pPr>
        <w:pStyle w:val="ListBullet"/>
      </w:pPr>
      <w:r>
        <w:t>Conflicts of interest shall be declared and managed before supplier evaluation or award decisions.</w:t>
      </w:r>
    </w:p>
    <w:p>
      <w:pPr>
        <w:pStyle w:val="ListBullet"/>
      </w:pPr>
      <w:r>
        <w:t>Supplier selection records shall be retained in accordance with the organisation’s records retention requirements.</w:t>
      </w:r>
    </w:p>
    <w:p>
      <w:pPr>
        <w:pStyle w:val="ListBullet"/>
      </w:pPr>
      <w:r>
        <w:t>Sole-source or non-competitive supplier selection shall be justified, approved and retained before contract execution.</w:t>
      </w:r>
    </w:p>
    <w:p>
      <w:pPr>
        <w:pStyle w:val="ListBullet"/>
      </w:pPr>
      <w:r>
        <w:t>Supplier due diligence</w:t>
      </w:r>
    </w:p>
    <w:p>
      <w:pPr>
        <w:pStyle w:val="ListBullet"/>
      </w:pPr>
      <w:r>
        <w:t>Supplier due diligence shall be completed before contract signature, purchase order issuance, system access provisioning or service commencement, unless an approved exception exists.</w:t>
      </w:r>
    </w:p>
    <w:p>
      <w:pPr>
        <w:pStyle w:val="ListBullet"/>
      </w:pPr>
      <w:r>
        <w:t>Due diligence shall be proportionate to supplier risk and shall assess relevant areas, including:</w:t>
      </w:r>
    </w:p>
    <w:p>
      <w:pPr>
        <w:pStyle w:val="ListBullet"/>
      </w:pPr>
      <w:r>
        <w:t>Financial viability and business stability.</w:t>
      </w:r>
    </w:p>
    <w:p>
      <w:pPr>
        <w:pStyle w:val="ListBullet"/>
      </w:pPr>
      <w:r>
        <w:t>Corporate ownership and reputation.</w:t>
      </w:r>
    </w:p>
    <w:p>
      <w:pPr>
        <w:pStyle w:val="ListBullet"/>
      </w:pPr>
      <w:r>
        <w:t>Legal and regulatory compliance.</w:t>
      </w:r>
    </w:p>
    <w:p>
      <w:pPr>
        <w:pStyle w:val="ListBullet"/>
      </w:pPr>
      <w:r>
        <w:t>Information security and cyber resilience.</w:t>
      </w:r>
    </w:p>
    <w:p>
      <w:pPr>
        <w:pStyle w:val="ListBullet"/>
      </w:pPr>
      <w:r>
        <w:t>Privacy and data protection practices.</w:t>
      </w:r>
    </w:p>
    <w:p>
      <w:pPr>
        <w:pStyle w:val="ListBullet"/>
      </w:pPr>
      <w:r>
        <w:t>Service delivery capability and capacity.</w:t>
      </w:r>
    </w:p>
    <w:p>
      <w:pPr>
        <w:pStyle w:val="ListBullet"/>
      </w:pPr>
      <w:r>
        <w:t>Business continuity and disaster recovery capability.</w:t>
      </w:r>
    </w:p>
    <w:p>
      <w:pPr>
        <w:pStyle w:val="ListBullet"/>
      </w:pPr>
      <w:r>
        <w:t>Insurance coverage.</w:t>
      </w:r>
    </w:p>
    <w:p>
      <w:pPr>
        <w:pStyle w:val="ListBullet"/>
      </w:pPr>
      <w:r>
        <w:t>Use of subcontractors or fourth parties.</w:t>
      </w:r>
    </w:p>
    <w:p>
      <w:pPr>
        <w:pStyle w:val="ListBullet"/>
      </w:pPr>
      <w:r>
        <w:t>Location of service delivery, hosting and support operations.</w:t>
      </w:r>
    </w:p>
    <w:p>
      <w:pPr>
        <w:pStyle w:val="ListBullet"/>
      </w:pPr>
      <w:r>
        <w:t>Ethical, environmental, social or modern slavery considerations where applicable.</w:t>
      </w:r>
    </w:p>
    <w:p>
      <w:pPr>
        <w:pStyle w:val="ListBullet"/>
      </w:pPr>
      <w:r>
        <w:t>Suppliers that process personal information, confidential information or regulated data shall undergo privacy and information security assessment before approval.</w:t>
      </w:r>
    </w:p>
    <w:p>
      <w:pPr>
        <w:pStyle w:val="ListBullet"/>
      </w:pPr>
      <w:r>
        <w:t>Suppliers requiring privileged access, remote access, administrative access or integration with organisational systems shall be reviewed by Information Security and Technology stakeholders before access is granted.</w:t>
      </w:r>
    </w:p>
    <w:p>
      <w:pPr>
        <w:pStyle w:val="ListBullet"/>
      </w:pPr>
      <w:r>
        <w:t>Due diligence findings shall be documented, risk-rated and either remediated, accepted by an authorised risk owner or rejected before engagement.</w:t>
      </w:r>
    </w:p>
    <w:p>
      <w:pPr>
        <w:pStyle w:val="ListBullet"/>
      </w:pPr>
      <w:r>
        <w:t>Material adverse findings shall be escalated to the appropriate risk governance forum or executive authority before approval.</w:t>
      </w:r>
    </w:p>
    <w:p>
      <w:pPr>
        <w:pStyle w:val="ListBullet"/>
      </w:pPr>
      <w:r>
        <w:t>Contracting requirements</w:t>
      </w:r>
    </w:p>
    <w:p>
      <w:pPr>
        <w:pStyle w:val="ListBullet"/>
      </w:pPr>
      <w:r>
        <w:t>Supplier services shall be governed by a written contract, statement of work, purchase agreement or approved equivalent before services commence.</w:t>
      </w:r>
    </w:p>
    <w:p>
      <w:pPr>
        <w:pStyle w:val="ListBullet"/>
      </w:pPr>
      <w:r>
        <w:t>Contracts shall be reviewed and approved in accordance with procurement, legal, finance, security, privacy and delegated authority requirements.</w:t>
      </w:r>
    </w:p>
    <w:p>
      <w:pPr>
        <w:pStyle w:val="ListBullet"/>
      </w:pPr>
      <w:r>
        <w:t>Contracts shall clearly define the goods or services to be provided, responsibilities, deliverables, pricing, service levels, reporting expectations, acceptance criteria and performance remedies.</w:t>
      </w:r>
    </w:p>
    <w:p>
      <w:pPr>
        <w:pStyle w:val="ListBullet"/>
      </w:pPr>
      <w:r>
        <w:t>Contracts with suppliers that access systems, data, facilities or critical operations shall include appropriate obligations for:</w:t>
      </w:r>
    </w:p>
    <w:p>
      <w:pPr>
        <w:pStyle w:val="ListBullet"/>
      </w:pPr>
      <w:r>
        <w:t>Confidentiality and protection of organisational information.</w:t>
      </w:r>
    </w:p>
    <w:p>
      <w:pPr>
        <w:pStyle w:val="ListBullet"/>
      </w:pPr>
      <w:r>
        <w:t>Information security controls and secure service delivery.</w:t>
      </w:r>
    </w:p>
    <w:p>
      <w:pPr>
        <w:pStyle w:val="ListBullet"/>
      </w:pPr>
      <w:r>
        <w:t>Privacy and lawful processing of personal information.</w:t>
      </w:r>
    </w:p>
    <w:p>
      <w:pPr>
        <w:pStyle w:val="ListBullet"/>
      </w:pPr>
      <w:r>
        <w:t>Incident notification and cooperation.</w:t>
      </w:r>
    </w:p>
    <w:p>
      <w:pPr>
        <w:pStyle w:val="ListBullet"/>
      </w:pPr>
      <w:r>
        <w:t>Audit, assurance or evidence provision.</w:t>
      </w:r>
    </w:p>
    <w:p>
      <w:pPr>
        <w:pStyle w:val="ListBullet"/>
      </w:pPr>
      <w:r>
        <w:t>Subcontractor approval and oversight.</w:t>
      </w:r>
    </w:p>
    <w:p>
      <w:pPr>
        <w:pStyle w:val="ListBullet"/>
      </w:pPr>
      <w:r>
        <w:t>Business continuity, disaster recovery and resilience.</w:t>
      </w:r>
    </w:p>
    <w:p>
      <w:pPr>
        <w:pStyle w:val="ListBullet"/>
      </w:pPr>
      <w:r>
        <w:t>Data ownership, data return, secure deletion and portability.</w:t>
      </w:r>
    </w:p>
    <w:p>
      <w:pPr>
        <w:pStyle w:val="ListBullet"/>
      </w:pPr>
      <w:r>
        <w:t>Access control, user management and least privilege.</w:t>
      </w:r>
    </w:p>
    <w:p>
      <w:pPr>
        <w:pStyle w:val="ListBullet"/>
      </w:pPr>
      <w:r>
        <w:t>Compliance with applicable laws and organisational policies.</w:t>
      </w:r>
    </w:p>
    <w:p>
      <w:pPr>
        <w:pStyle w:val="ListBullet"/>
      </w:pPr>
      <w:r>
        <w:t>Service performance measurement and reporting.</w:t>
      </w:r>
    </w:p>
    <w:p>
      <w:pPr>
        <w:pStyle w:val="ListBullet"/>
      </w:pPr>
      <w:r>
        <w:t>Change notification for material service, control, ownership, location or subcontractor changes.</w:t>
      </w:r>
    </w:p>
    <w:p>
      <w:pPr>
        <w:pStyle w:val="ListBullet"/>
      </w:pPr>
      <w:r>
        <w:t>Termination rights and exit assistance.</w:t>
      </w:r>
    </w:p>
    <w:p>
      <w:pPr>
        <w:pStyle w:val="ListBullet"/>
      </w:pPr>
      <w:r>
        <w:t>Supplier contracts shall not transfer accountability for organisational governance, risk management, compliance or customer obligations away from [Organisation Name].</w:t>
      </w:r>
    </w:p>
    <w:p>
      <w:pPr>
        <w:pStyle w:val="ListBullet"/>
      </w:pPr>
      <w:r>
        <w:t>Contracts shall prohibit suppliers from using organisational information for unauthorised purposes, including model training, analytics, resale, marketing or unrelated service improvement, unless explicitly approved in writing.</w:t>
      </w:r>
    </w:p>
    <w:p>
      <w:pPr>
        <w:pStyle w:val="ListBullet"/>
      </w:pPr>
      <w:r>
        <w:t>Contracts shall require suppliers to notify [Organisation Name] of security incidents, privacy incidents, service disruptions or material control failures within agreed timeframes.</w:t>
      </w:r>
    </w:p>
    <w:p>
      <w:pPr>
        <w:pStyle w:val="ListBullet"/>
      </w:pPr>
      <w:r>
        <w:t>Contracts shall include the right for [Organisation Name] to request assurance evidence, conduct reviews or receive independent reports where risk warrants.</w:t>
      </w:r>
    </w:p>
    <w:p>
      <w:pPr>
        <w:pStyle w:val="ListBullet"/>
      </w:pPr>
      <w:r>
        <w:t>Contract renewal, extension or material amendment shall not proceed until supplier performance, risk and compliance status have been reviewed.</w:t>
      </w:r>
    </w:p>
    <w:p>
      <w:pPr>
        <w:pStyle w:val="ListBullet"/>
      </w:pPr>
      <w:r>
        <w:t>Service levels and performance expectations</w:t>
      </w:r>
    </w:p>
    <w:p>
      <w:pPr>
        <w:pStyle w:val="ListBullet"/>
      </w:pPr>
      <w:r>
        <w:t>Supplier performance requirements shall be defined before service commencement and shall align with business objectives and risk tolerance.</w:t>
      </w:r>
    </w:p>
    <w:p>
      <w:pPr>
        <w:pStyle w:val="ListBullet"/>
      </w:pPr>
      <w:r>
        <w:t>Service levels shall be measurable, realistic, enforceable and appropriate to supplier criticality.</w:t>
      </w:r>
    </w:p>
    <w:p>
      <w:pPr>
        <w:pStyle w:val="ListBullet"/>
      </w:pPr>
      <w:r>
        <w:t>Critical and high-risk suppliers shall have documented service measures, reporting obligations, escalation paths and remedies for underperformance.</w:t>
      </w:r>
    </w:p>
    <w:p>
      <w:pPr>
        <w:pStyle w:val="ListBullet"/>
      </w:pPr>
      <w:r>
        <w:t>Supplier performance shall be reviewed against contractual obligations, service levels, quality measures, issue resolution, responsiveness, customer impact and delivery outcomes.</w:t>
      </w:r>
    </w:p>
    <w:p>
      <w:pPr>
        <w:pStyle w:val="ListBullet"/>
      </w:pPr>
      <w:r>
        <w:t>Performance issues shall be recorded, assigned an owner, tracked to resolution and escalated when not resolved within agreed timeframes.</w:t>
      </w:r>
    </w:p>
    <w:p>
      <w:pPr>
        <w:pStyle w:val="ListBullet"/>
      </w:pPr>
      <w:r>
        <w:t>Persistent or material supplier underperformance shall trigger corrective action, contract review, service improvement planning, risk acceptance, suspension, replacement or termination.</w:t>
      </w:r>
    </w:p>
    <w:tbl>
      <w:tblPr>
        <w:tblStyle w:val="TableGrid"/>
        <w:tblW w:type="auto" w:w="0"/>
        <w:tblLook w:firstColumn="1" w:firstRow="1" w:lastColumn="0" w:lastRow="0" w:noHBand="0" w:noVBand="1" w:val="04A0"/>
      </w:tblPr>
      <w:tblGrid>
        <w:gridCol w:w="2880"/>
        <w:gridCol w:w="2880"/>
        <w:gridCol w:w="2880"/>
      </w:tblGrid>
      <w:tr>
        <w:tc>
          <w:tcPr>
            <w:tcW w:type="dxa" w:w="2880"/>
          </w:tcPr>
          <w:p>
            <w:r>
              <w:t>Performance Area</w:t>
            </w:r>
          </w:p>
        </w:tc>
        <w:tc>
          <w:tcPr>
            <w:tcW w:type="dxa" w:w="2880"/>
          </w:tcPr>
          <w:p>
            <w:r>
              <w:t>Example Measure</w:t>
            </w:r>
          </w:p>
        </w:tc>
        <w:tc>
          <w:tcPr>
            <w:tcW w:type="dxa" w:w="2880"/>
          </w:tcPr>
          <w:p>
            <w:r>
              <w:t>Expected Evidence</w:t>
            </w:r>
          </w:p>
        </w:tc>
      </w:tr>
      <w:tr>
        <w:tc>
          <w:tcPr>
            <w:tcW w:type="dxa" w:w="2880"/>
          </w:tcPr>
          <w:p>
            <w:r>
              <w:t>Availability</w:t>
            </w:r>
          </w:p>
        </w:tc>
        <w:tc>
          <w:tcPr>
            <w:tcW w:type="dxa" w:w="2880"/>
          </w:tcPr>
          <w:p>
            <w:r>
              <w:t>Service uptime against agreed commitment</w:t>
            </w:r>
          </w:p>
        </w:tc>
        <w:tc>
          <w:tcPr>
            <w:tcW w:type="dxa" w:w="2880"/>
          </w:tcPr>
          <w:p>
            <w:r>
              <w:t>Monthly service report</w:t>
            </w:r>
          </w:p>
        </w:tc>
      </w:tr>
      <w:tr>
        <w:tc>
          <w:tcPr>
            <w:tcW w:type="dxa" w:w="2880"/>
          </w:tcPr>
          <w:p>
            <w:r>
              <w:t>Responsiveness</w:t>
            </w:r>
          </w:p>
        </w:tc>
        <w:tc>
          <w:tcPr>
            <w:tcW w:type="dxa" w:w="2880"/>
          </w:tcPr>
          <w:p>
            <w:r>
              <w:t>Time to acknowledge and resolve support requests</w:t>
            </w:r>
          </w:p>
        </w:tc>
        <w:tc>
          <w:tcPr>
            <w:tcW w:type="dxa" w:w="2880"/>
          </w:tcPr>
          <w:p>
            <w:r>
              <w:t>Ticket extracts or support dashboard</w:t>
            </w:r>
          </w:p>
        </w:tc>
      </w:tr>
      <w:tr>
        <w:tc>
          <w:tcPr>
            <w:tcW w:type="dxa" w:w="2880"/>
          </w:tcPr>
          <w:p>
            <w:r>
              <w:t>Delivery quality</w:t>
            </w:r>
          </w:p>
        </w:tc>
        <w:tc>
          <w:tcPr>
            <w:tcW w:type="dxa" w:w="2880"/>
          </w:tcPr>
          <w:p>
            <w:r>
              <w:t>Defect rate, rework, missed deliverables</w:t>
            </w:r>
          </w:p>
        </w:tc>
        <w:tc>
          <w:tcPr>
            <w:tcW w:type="dxa" w:w="2880"/>
          </w:tcPr>
          <w:p>
            <w:r>
              <w:t>Acceptance records and quality reviews</w:t>
            </w:r>
          </w:p>
        </w:tc>
      </w:tr>
      <w:tr>
        <w:tc>
          <w:tcPr>
            <w:tcW w:type="dxa" w:w="2880"/>
          </w:tcPr>
          <w:p>
            <w:r>
              <w:t>Security</w:t>
            </w:r>
          </w:p>
        </w:tc>
        <w:tc>
          <w:tcPr>
            <w:tcW w:type="dxa" w:w="2880"/>
          </w:tcPr>
          <w:p>
            <w:r>
              <w:t>Closure of vulnerabilities, control attestations, incident notifications</w:t>
            </w:r>
          </w:p>
        </w:tc>
        <w:tc>
          <w:tcPr>
            <w:tcW w:type="dxa" w:w="2880"/>
          </w:tcPr>
          <w:p>
            <w:r>
              <w:t>Security reports and remediation tracking</w:t>
            </w:r>
          </w:p>
        </w:tc>
      </w:tr>
      <w:tr>
        <w:tc>
          <w:tcPr>
            <w:tcW w:type="dxa" w:w="2880"/>
          </w:tcPr>
          <w:p>
            <w:r>
              <w:t>Continuity</w:t>
            </w:r>
          </w:p>
        </w:tc>
        <w:tc>
          <w:tcPr>
            <w:tcW w:type="dxa" w:w="2880"/>
          </w:tcPr>
          <w:p>
            <w:r>
              <w:t>Recovery test completion and recovery results</w:t>
            </w:r>
          </w:p>
        </w:tc>
        <w:tc>
          <w:tcPr>
            <w:tcW w:type="dxa" w:w="2880"/>
          </w:tcPr>
          <w:p>
            <w:r>
              <w:t>Test report or supplier attestation</w:t>
            </w:r>
          </w:p>
        </w:tc>
      </w:tr>
      <w:tr>
        <w:tc>
          <w:tcPr>
            <w:tcW w:type="dxa" w:w="2880"/>
          </w:tcPr>
          <w:p>
            <w:r>
              <w:t>Compliance</w:t>
            </w:r>
          </w:p>
        </w:tc>
        <w:tc>
          <w:tcPr>
            <w:tcW w:type="dxa" w:w="2880"/>
          </w:tcPr>
          <w:p>
            <w:r>
              <w:t>Completion of required audits, certifications or questionnaires</w:t>
            </w:r>
          </w:p>
        </w:tc>
        <w:tc>
          <w:tcPr>
            <w:tcW w:type="dxa" w:w="2880"/>
          </w:tcPr>
          <w:p>
            <w:r>
              <w:t>Assurance documents and action plans</w:t>
            </w:r>
          </w:p>
        </w:tc>
      </w:tr>
    </w:tbl>
    <w:p>
      <w:pPr>
        <w:pStyle w:val="ListBullet"/>
      </w:pPr>
      <w:r>
        <w:t>Supplier onboarding</w:t>
      </w:r>
    </w:p>
    <w:p>
      <w:pPr>
        <w:pStyle w:val="ListBullet"/>
      </w:pPr>
      <w:r>
        <w:t>Suppliers shall not commence work until required approvals, contracts, due diligence and onboarding activities are complete.</w:t>
      </w:r>
    </w:p>
    <w:p>
      <w:pPr>
        <w:pStyle w:val="ListBullet"/>
      </w:pPr>
      <w:r>
        <w:t>Supplier onboarding shall confirm:</w:t>
      </w:r>
    </w:p>
    <w:p>
      <w:pPr>
        <w:pStyle w:val="ListBullet"/>
      </w:pPr>
      <w:r>
        <w:t>Approved contract or purchase authority.</w:t>
      </w:r>
    </w:p>
    <w:p>
      <w:pPr>
        <w:pStyle w:val="ListBullet"/>
      </w:pPr>
      <w:r>
        <w:t>Assigned Business Owner and supplier contact.</w:t>
      </w:r>
    </w:p>
    <w:p>
      <w:pPr>
        <w:pStyle w:val="ListBullet"/>
      </w:pPr>
      <w:r>
        <w:t>Approved supplier risk tier.</w:t>
      </w:r>
    </w:p>
    <w:p>
      <w:pPr>
        <w:pStyle w:val="ListBullet"/>
      </w:pPr>
      <w:r>
        <w:t>Completed security, privacy, legal and compliance reviews where applicable.</w:t>
      </w:r>
    </w:p>
    <w:p>
      <w:pPr>
        <w:pStyle w:val="ListBullet"/>
      </w:pPr>
      <w:r>
        <w:t>Agreed service levels, reporting and meeting cadence.</w:t>
      </w:r>
    </w:p>
    <w:p>
      <w:pPr>
        <w:pStyle w:val="ListBullet"/>
      </w:pPr>
      <w:r>
        <w:t>Access requirements and authorisations.</w:t>
      </w:r>
    </w:p>
    <w:p>
      <w:pPr>
        <w:pStyle w:val="ListBullet"/>
      </w:pPr>
      <w:r>
        <w:t>Invoicing, tax and payment setup.</w:t>
      </w:r>
    </w:p>
    <w:p>
      <w:pPr>
        <w:pStyle w:val="ListBullet"/>
      </w:pPr>
      <w:r>
        <w:t>Incident, escalation and support contacts.</w:t>
      </w:r>
    </w:p>
    <w:p>
      <w:pPr>
        <w:pStyle w:val="ListBullet"/>
      </w:pPr>
      <w:r>
        <w:t>Confidentiality and acceptable use expectations.</w:t>
      </w:r>
    </w:p>
    <w:p>
      <w:pPr>
        <w:pStyle w:val="ListBullet"/>
      </w:pPr>
      <w:r>
        <w:t>Access to organisational systems, facilities and data shall be granted only where necessary, approved, time-bound where appropriate and consistent with least privilege.</w:t>
      </w:r>
    </w:p>
    <w:p>
      <w:pPr>
        <w:pStyle w:val="ListBullet"/>
      </w:pPr>
      <w:r>
        <w:t>Supplier users shall be uniquely identifiable unless an approved alternative is formally accepted by Information Security.</w:t>
      </w:r>
    </w:p>
    <w:p>
      <w:pPr>
        <w:pStyle w:val="ListBullet"/>
      </w:pPr>
      <w:r>
        <w:t>Supplier access shall be reviewed at a frequency proportionate to risk and removed immediately when no longer required.</w:t>
      </w:r>
    </w:p>
    <w:p>
      <w:pPr>
        <w:pStyle w:val="ListBullet"/>
      </w:pPr>
      <w:r>
        <w:t>Supplier personnel shall complete required training, acknowledgements or background checks where mandated by contract, law, role or risk assessment.</w:t>
      </w:r>
    </w:p>
    <w:p>
      <w:pPr>
        <w:pStyle w:val="ListBullet"/>
      </w:pPr>
      <w:r>
        <w:t>Information security and privacy</w:t>
      </w:r>
    </w:p>
    <w:p>
      <w:pPr>
        <w:pStyle w:val="ListBullet"/>
      </w:pPr>
      <w:r>
        <w:t>Suppliers shall protect organisational information and systems in accordance with contractual obligations and the organisation’s security and privacy requirements.</w:t>
      </w:r>
    </w:p>
    <w:p>
      <w:pPr>
        <w:pStyle w:val="ListBullet"/>
      </w:pPr>
      <w:r>
        <w:t>Suppliers shall use organisational information only for authorised purposes and only for the duration necessary to provide approved services.</w:t>
      </w:r>
    </w:p>
    <w:p>
      <w:pPr>
        <w:pStyle w:val="ListBullet"/>
      </w:pPr>
      <w:r>
        <w:t>Suppliers shall implement appropriate administrative, technical and physical safeguards for information entrusted to them.</w:t>
      </w:r>
    </w:p>
    <w:p>
      <w:pPr>
        <w:pStyle w:val="ListBullet"/>
      </w:pPr>
      <w:r>
        <w:t>Suppliers shall segregate organisational information from other customer environments where applicable and contractually required.</w:t>
      </w:r>
    </w:p>
    <w:p>
      <w:pPr>
        <w:pStyle w:val="ListBullet"/>
      </w:pPr>
      <w:r>
        <w:t>Suppliers shall not transfer organisational information to unauthorised locations, platforms, subcontractors or jurisdictions without prior written approval.</w:t>
      </w:r>
    </w:p>
    <w:p>
      <w:pPr>
        <w:pStyle w:val="ListBullet"/>
      </w:pPr>
      <w:r>
        <w:t>Suppliers shall report suspected or confirmed security incidents, privacy incidents, unauthorised access, data loss or material control failures in accordance with contractual notification requirements.</w:t>
      </w:r>
    </w:p>
    <w:p>
      <w:pPr>
        <w:pStyle w:val="ListBullet"/>
      </w:pPr>
      <w:r>
        <w:t>Suppliers shall cooperate with incident investigation, containment, remediation, communications and evidence preservation activities.</w:t>
      </w:r>
    </w:p>
    <w:p>
      <w:pPr>
        <w:pStyle w:val="ListBullet"/>
      </w:pPr>
      <w:r>
        <w:t>Suppliers shall securely return, transfer, retain or delete organisational information at contract end or upon request, in accordance with contractual and legal requirements.</w:t>
      </w:r>
    </w:p>
    <w:p>
      <w:pPr>
        <w:pStyle w:val="ListBullet"/>
      </w:pPr>
      <w:r>
        <w:t>Suppliers shall provide evidence of secure deletion where required by the organisation.</w:t>
      </w:r>
    </w:p>
    <w:p>
      <w:pPr>
        <w:pStyle w:val="ListBullet"/>
      </w:pPr>
      <w:r>
        <w:t>Subcontractor and fourth-party management</w:t>
      </w:r>
    </w:p>
    <w:p>
      <w:pPr>
        <w:pStyle w:val="ListBullet"/>
      </w:pPr>
      <w:r>
        <w:t>Suppliers shall not use subcontractors to deliver material services to [Organisation Name] without prior contractual permission or written approval where required.</w:t>
      </w:r>
    </w:p>
    <w:p>
      <w:pPr>
        <w:pStyle w:val="ListBullet"/>
      </w:pPr>
      <w:r>
        <w:t>Suppliers shall remain accountable for the acts, omissions, performance, security and compliance of their subcontractors.</w:t>
      </w:r>
    </w:p>
    <w:p>
      <w:pPr>
        <w:pStyle w:val="ListBullet"/>
      </w:pPr>
      <w:r>
        <w:t>Contracts shall require suppliers to impose obligations on subcontractors that are no less protective than those agreed with [Organisation Name] where subcontractors access organisational information, systems or services.</w:t>
      </w:r>
    </w:p>
    <w:p>
      <w:pPr>
        <w:pStyle w:val="ListBullet"/>
      </w:pPr>
      <w:r>
        <w:t>Suppliers shall notify [Organisation Name] of material changes to subcontractors involved in service delivery.</w:t>
      </w:r>
    </w:p>
    <w:p>
      <w:pPr>
        <w:pStyle w:val="ListBullet"/>
      </w:pPr>
      <w:r>
        <w:t>Critical and high-risk supplier relationships shall include review of material subcontractor dependencies as part of ongoing monitoring.</w:t>
      </w:r>
    </w:p>
    <w:p>
      <w:pPr>
        <w:pStyle w:val="ListBullet"/>
      </w:pPr>
      <w:r>
        <w:t>Subcontractor concentration, geographic risk, data access and service dependency shall be considered in supplier risk assessments.</w:t>
      </w:r>
    </w:p>
    <w:p>
      <w:pPr>
        <w:pStyle w:val="ListBullet"/>
      </w:pPr>
      <w:r>
        <w:t>Ongoing supplier monitoring</w:t>
      </w:r>
    </w:p>
    <w:p>
      <w:pPr>
        <w:pStyle w:val="ListBullet"/>
      </w:pPr>
      <w:r>
        <w:t>Suppliers shall be monitored throughout the relationship according to their risk tier, service criticality and contractual obligations.</w:t>
      </w:r>
    </w:p>
    <w:p>
      <w:pPr>
        <w:pStyle w:val="ListBullet"/>
      </w:pPr>
      <w:r>
        <w:t>Monitoring shall include, as applicable:</w:t>
      </w:r>
    </w:p>
    <w:p>
      <w:pPr>
        <w:pStyle w:val="ListBullet"/>
      </w:pPr>
      <w:r>
        <w:t>Performance against service levels and deliverables.</w:t>
      </w:r>
    </w:p>
    <w:p>
      <w:pPr>
        <w:pStyle w:val="ListBullet"/>
      </w:pPr>
      <w:r>
        <w:t>Open issues, incidents and corrective actions.</w:t>
      </w:r>
    </w:p>
    <w:p>
      <w:pPr>
        <w:pStyle w:val="ListBullet"/>
      </w:pPr>
      <w:r>
        <w:t>Financial, operational or ownership changes.</w:t>
      </w:r>
    </w:p>
    <w:p>
      <w:pPr>
        <w:pStyle w:val="ListBullet"/>
      </w:pPr>
      <w:r>
        <w:t>Security and privacy posture.</w:t>
      </w:r>
    </w:p>
    <w:p>
      <w:pPr>
        <w:pStyle w:val="ListBullet"/>
      </w:pPr>
      <w:r>
        <w:t>Compliance with contractual obligations.</w:t>
      </w:r>
    </w:p>
    <w:p>
      <w:pPr>
        <w:pStyle w:val="ListBullet"/>
      </w:pPr>
      <w:r>
        <w:t>Business continuity and resilience capability.</w:t>
      </w:r>
    </w:p>
    <w:p>
      <w:pPr>
        <w:pStyle w:val="ListBullet"/>
      </w:pPr>
      <w:r>
        <w:t>Customer complaints or business impact.</w:t>
      </w:r>
    </w:p>
    <w:p>
      <w:pPr>
        <w:pStyle w:val="ListBullet"/>
      </w:pPr>
      <w:r>
        <w:t>Subcontractor changes or dependency risks.</w:t>
      </w:r>
    </w:p>
    <w:p>
      <w:pPr>
        <w:pStyle w:val="ListBullet"/>
      </w:pPr>
      <w:r>
        <w:t>Audit findings, assurance reports or certification changes.</w:t>
      </w:r>
    </w:p>
    <w:p>
      <w:pPr>
        <w:pStyle w:val="ListBullet"/>
      </w:pPr>
      <w:r>
        <w:t>Business Owners shall maintain evidence of supplier reviews, meeting minutes, service reports and issue tracking.</w:t>
      </w:r>
    </w:p>
    <w:p>
      <w:pPr>
        <w:pStyle w:val="ListBullet"/>
      </w:pPr>
      <w:r>
        <w:t>Critical supplier performance and risk status shall be reported to the appropriate governance forum.</w:t>
      </w:r>
    </w:p>
    <w:p>
      <w:pPr>
        <w:pStyle w:val="ListBullet"/>
      </w:pPr>
      <w:r>
        <w:t>Supplier risk assessments shall be refreshed when there is a material change, significant incident, major performance issue, contract renewal, service expansion or change in access to data or systems.</w:t>
      </w:r>
    </w:p>
    <w:p>
      <w:pPr>
        <w:pStyle w:val="ListBullet"/>
      </w:pPr>
      <w:r>
        <w:t>Monitoring results shall inform decisions about renewal, remediation, risk acceptance, service changes, contingency planning or termination.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Monitoring Activity</w:t>
            </w:r>
          </w:p>
        </w:tc>
        <w:tc>
          <w:tcPr>
            <w:tcW w:type="dxa" w:w="1728"/>
          </w:tcPr>
          <w:p>
            <w:r>
              <w:t>Low Tier</w:t>
            </w:r>
          </w:p>
        </w:tc>
        <w:tc>
          <w:tcPr>
            <w:tcW w:type="dxa" w:w="1728"/>
          </w:tcPr>
          <w:p>
            <w:r>
              <w:t>Medium Tier</w:t>
            </w:r>
          </w:p>
        </w:tc>
        <w:tc>
          <w:tcPr>
            <w:tcW w:type="dxa" w:w="1728"/>
          </w:tcPr>
          <w:p>
            <w:r>
              <w:t>High Tier</w:t>
            </w:r>
          </w:p>
        </w:tc>
        <w:tc>
          <w:tcPr>
            <w:tcW w:type="dxa" w:w="1728"/>
          </w:tcPr>
          <w:p>
            <w:r>
              <w:t>Critical Tier</w:t>
            </w:r>
          </w:p>
        </w:tc>
      </w:tr>
      <w:tr>
        <w:tc>
          <w:tcPr>
            <w:tcW w:type="dxa" w:w="1728"/>
          </w:tcPr>
          <w:p>
            <w:r>
              <w:t>Supplier register update</w:t>
            </w:r>
          </w:p>
        </w:tc>
        <w:tc>
          <w:tcPr>
            <w:tcW w:type="dxa" w:w="1728"/>
          </w:tcPr>
          <w:p>
            <w:r>
              <w:t>At renewal</w:t>
            </w:r>
          </w:p>
        </w:tc>
        <w:tc>
          <w:tcPr>
            <w:tcW w:type="dxa" w:w="1728"/>
          </w:tcPr>
          <w:p>
            <w:r>
              <w:t>Annually</w:t>
            </w:r>
          </w:p>
        </w:tc>
        <w:tc>
          <w:tcPr>
            <w:tcW w:type="dxa" w:w="1728"/>
          </w:tcPr>
          <w:p>
            <w:r>
              <w:t>Semi-annually</w:t>
            </w:r>
          </w:p>
        </w:tc>
        <w:tc>
          <w:tcPr>
            <w:tcW w:type="dxa" w:w="1728"/>
          </w:tcPr>
          <w:p>
            <w:r>
              <w:t>Quarterly</w:t>
            </w:r>
          </w:p>
        </w:tc>
      </w:tr>
      <w:tr>
        <w:tc>
          <w:tcPr>
            <w:tcW w:type="dxa" w:w="1728"/>
          </w:tcPr>
          <w:p>
            <w:r>
              <w:t>Performance review</w:t>
            </w:r>
          </w:p>
        </w:tc>
        <w:tc>
          <w:tcPr>
            <w:tcW w:type="dxa" w:w="1728"/>
          </w:tcPr>
          <w:p>
            <w:r>
              <w:t>At renewal</w:t>
            </w:r>
          </w:p>
        </w:tc>
        <w:tc>
          <w:tcPr>
            <w:tcW w:type="dxa" w:w="1728"/>
          </w:tcPr>
          <w:p>
            <w:r>
              <w:t>Annually</w:t>
            </w:r>
          </w:p>
        </w:tc>
        <w:tc>
          <w:tcPr>
            <w:tcW w:type="dxa" w:w="1728"/>
          </w:tcPr>
          <w:p>
            <w:r>
              <w:t>Quarterly or semi-annually</w:t>
            </w:r>
          </w:p>
        </w:tc>
        <w:tc>
          <w:tcPr>
            <w:tcW w:type="dxa" w:w="1728"/>
          </w:tcPr>
          <w:p>
            <w:r>
              <w:t>Quarterly or monthly</w:t>
            </w:r>
          </w:p>
        </w:tc>
      </w:tr>
      <w:tr>
        <w:tc>
          <w:tcPr>
            <w:tcW w:type="dxa" w:w="1728"/>
          </w:tcPr>
          <w:p>
            <w:r>
              <w:t>Risk reassessment</w:t>
            </w:r>
          </w:p>
        </w:tc>
        <w:tc>
          <w:tcPr>
            <w:tcW w:type="dxa" w:w="1728"/>
          </w:tcPr>
          <w:p>
            <w:r>
              <w:t>At renewal</w:t>
            </w:r>
          </w:p>
        </w:tc>
        <w:tc>
          <w:tcPr>
            <w:tcW w:type="dxa" w:w="1728"/>
          </w:tcPr>
          <w:p>
            <w:r>
              <w:t>Annually</w:t>
            </w:r>
          </w:p>
        </w:tc>
        <w:tc>
          <w:tcPr>
            <w:tcW w:type="dxa" w:w="1728"/>
          </w:tcPr>
          <w:p>
            <w:r>
              <w:t>Annually or upon material change</w:t>
            </w:r>
          </w:p>
        </w:tc>
        <w:tc>
          <w:tcPr>
            <w:tcW w:type="dxa" w:w="1728"/>
          </w:tcPr>
          <w:p>
            <w:r>
              <w:t>Semi-annually or upon material change</w:t>
            </w:r>
          </w:p>
        </w:tc>
      </w:tr>
      <w:tr>
        <w:tc>
          <w:tcPr>
            <w:tcW w:type="dxa" w:w="1728"/>
          </w:tcPr>
          <w:p>
            <w:r>
              <w:t>Security/privacy assurance review</w:t>
            </w:r>
          </w:p>
        </w:tc>
        <w:tc>
          <w:tcPr>
            <w:tcW w:type="dxa" w:w="1728"/>
          </w:tcPr>
          <w:p>
            <w:r>
              <w:t>As needed</w:t>
            </w:r>
          </w:p>
        </w:tc>
        <w:tc>
          <w:tcPr>
            <w:tcW w:type="dxa" w:w="1728"/>
          </w:tcPr>
          <w:p>
            <w:r>
              <w:t>As needed</w:t>
            </w:r>
          </w:p>
        </w:tc>
        <w:tc>
          <w:tcPr>
            <w:tcW w:type="dxa" w:w="1728"/>
          </w:tcPr>
          <w:p>
            <w:r>
              <w:t>Annually</w:t>
            </w:r>
          </w:p>
        </w:tc>
        <w:tc>
          <w:tcPr>
            <w:tcW w:type="dxa" w:w="1728"/>
          </w:tcPr>
          <w:p>
            <w:r>
              <w:t>Annually or more frequently if warranted</w:t>
            </w:r>
          </w:p>
        </w:tc>
      </w:tr>
      <w:tr>
        <w:tc>
          <w:tcPr>
            <w:tcW w:type="dxa" w:w="1728"/>
          </w:tcPr>
          <w:p>
            <w:r>
              <w:t>Contract obligation review</w:t>
            </w:r>
          </w:p>
        </w:tc>
        <w:tc>
          <w:tcPr>
            <w:tcW w:type="dxa" w:w="1728"/>
          </w:tcPr>
          <w:p>
            <w:r>
              <w:t>At renewal</w:t>
            </w:r>
          </w:p>
        </w:tc>
        <w:tc>
          <w:tcPr>
            <w:tcW w:type="dxa" w:w="1728"/>
          </w:tcPr>
          <w:p>
            <w:r>
              <w:t>Annually</w:t>
            </w:r>
          </w:p>
        </w:tc>
        <w:tc>
          <w:tcPr>
            <w:tcW w:type="dxa" w:w="1728"/>
          </w:tcPr>
          <w:p>
            <w:r>
              <w:t>Annually</w:t>
            </w:r>
          </w:p>
        </w:tc>
        <w:tc>
          <w:tcPr>
            <w:tcW w:type="dxa" w:w="1728"/>
          </w:tcPr>
          <w:p>
            <w:r>
              <w:t>Semi-annually</w:t>
            </w:r>
          </w:p>
        </w:tc>
      </w:tr>
      <w:tr>
        <w:tc>
          <w:tcPr>
            <w:tcW w:type="dxa" w:w="1728"/>
          </w:tcPr>
          <w:p>
            <w:r>
              <w:t>Executive reporting</w:t>
            </w:r>
          </w:p>
        </w:tc>
        <w:tc>
          <w:tcPr>
            <w:tcW w:type="dxa" w:w="1728"/>
          </w:tcPr>
          <w:p>
            <w:r>
              <w:t>Not required unless escalated</w:t>
            </w:r>
          </w:p>
        </w:tc>
        <w:tc>
          <w:tcPr>
            <w:tcW w:type="dxa" w:w="1728"/>
          </w:tcPr>
          <w:p>
            <w:r>
              <w:t>By exception</w:t>
            </w:r>
          </w:p>
        </w:tc>
        <w:tc>
          <w:tcPr>
            <w:tcW w:type="dxa" w:w="1728"/>
          </w:tcPr>
          <w:p>
            <w:r>
              <w:t>By exception or trend</w:t>
            </w:r>
          </w:p>
        </w:tc>
        <w:tc>
          <w:tcPr>
            <w:tcW w:type="dxa" w:w="1728"/>
          </w:tcPr>
          <w:p>
            <w:r>
              <w:t>Required</w:t>
            </w:r>
          </w:p>
        </w:tc>
      </w:tr>
    </w:tbl>
    <w:p>
      <w:pPr>
        <w:pStyle w:val="ListBullet"/>
      </w:pPr>
      <w:r>
        <w:t>Issue, incident and escalation management</w:t>
      </w:r>
    </w:p>
    <w:p>
      <w:pPr>
        <w:pStyle w:val="ListBullet"/>
      </w:pPr>
      <w:r>
        <w:t>Supplier issues, incidents and disputes shall be recorded, prioritised, assigned and tracked to resolution.</w:t>
      </w:r>
    </w:p>
    <w:p>
      <w:pPr>
        <w:pStyle w:val="ListBullet"/>
      </w:pPr>
      <w:r>
        <w:t>Material supplier incidents shall be escalated to the Business Owner, Vendor Management Owner, Information Security, Legal, Privacy, Risk Management and executive stakeholders as appropriate.</w:t>
      </w:r>
    </w:p>
    <w:p>
      <w:pPr>
        <w:pStyle w:val="ListBullet"/>
      </w:pPr>
      <w:r>
        <w:t>Suppliers shall provide timely root cause analysis and corrective action plans for material incidents, control failures or recurring performance problems.</w:t>
      </w:r>
    </w:p>
    <w:p>
      <w:pPr>
        <w:pStyle w:val="ListBullet"/>
      </w:pPr>
      <w:r>
        <w:t>Corrective action plans shall include accountable owners, target dates and evidence requirements.</w:t>
      </w:r>
    </w:p>
    <w:p>
      <w:pPr>
        <w:pStyle w:val="ListBullet"/>
      </w:pPr>
      <w:r>
        <w:t>Failure to complete corrective action within agreed timeframes shall result in escalation and may result in contractual remedies, service restrictions, suspension, replacement or termination.</w:t>
      </w:r>
    </w:p>
    <w:p>
      <w:pPr>
        <w:pStyle w:val="ListBullet"/>
      </w:pPr>
      <w:r>
        <w:t>Supplier-related incidents affecting customers, regulators or contractual commitments shall be managed through the organisation’s approved incident and crisis management processes.</w:t>
      </w:r>
    </w:p>
    <w:p>
      <w:pPr>
        <w:pStyle w:val="ListBullet"/>
      </w:pPr>
      <w:r>
        <w:t>Change management</w:t>
      </w:r>
    </w:p>
    <w:p>
      <w:pPr>
        <w:pStyle w:val="ListBullet"/>
      </w:pPr>
      <w:r>
        <w:t>Material changes to supplier services, delivery locations, hosting environments, ownership, subcontractors, security controls, data processing arrangements or service architecture shall be assessed before implementation where prior notice or approval is required.</w:t>
      </w:r>
    </w:p>
    <w:p>
      <w:pPr>
        <w:pStyle w:val="ListBullet"/>
      </w:pPr>
      <w:r>
        <w:t>Business Owners shall ensure supplier changes are evaluated for operational, security, privacy, legal, financial and compliance impact.</w:t>
      </w:r>
    </w:p>
    <w:p>
      <w:pPr>
        <w:pStyle w:val="ListBullet"/>
      </w:pPr>
      <w:r>
        <w:t>Changes that alter supplier risk, access, scope or criticality shall trigger a reassessment and may require contract amendment.</w:t>
      </w:r>
    </w:p>
    <w:p>
      <w:pPr>
        <w:pStyle w:val="ListBullet"/>
      </w:pPr>
      <w:r>
        <w:t>Supplier changes affecting production systems or business operations shall follow the organisation’s change management requirements.</w:t>
      </w:r>
    </w:p>
    <w:p>
      <w:pPr>
        <w:pStyle w:val="ListBullet"/>
      </w:pPr>
      <w:r>
        <w:t>Emergency changes by suppliers shall be reviewed after implementation and documented with rationale, impact and remediation actions.</w:t>
      </w:r>
    </w:p>
    <w:p>
      <w:pPr>
        <w:pStyle w:val="ListBullet"/>
      </w:pPr>
      <w:r>
        <w:t>Business continuity and resilience</w:t>
      </w:r>
    </w:p>
    <w:p>
      <w:pPr>
        <w:pStyle w:val="ListBullet"/>
      </w:pPr>
      <w:r>
        <w:t>Critical and high-risk suppliers shall maintain business continuity and recovery capabilities appropriate to the services provided.</w:t>
      </w:r>
    </w:p>
    <w:p>
      <w:pPr>
        <w:pStyle w:val="ListBullet"/>
      </w:pPr>
      <w:r>
        <w:t>Supplier continuity expectations shall be documented in contracts or service agreements where disruption would materially affect the organisation.</w:t>
      </w:r>
    </w:p>
    <w:p>
      <w:pPr>
        <w:pStyle w:val="ListBullet"/>
      </w:pPr>
      <w:r>
        <w:t>Critical suppliers shall provide evidence of continuity planning, recovery testing or resilience assurance at agreed intervals.</w:t>
      </w:r>
    </w:p>
    <w:p>
      <w:pPr>
        <w:pStyle w:val="ListBullet"/>
      </w:pPr>
      <w:r>
        <w:t>Business Owners shall identify supplier dependencies that may affect the organisation’s recovery objectives and continuity plans.</w:t>
      </w:r>
    </w:p>
    <w:p>
      <w:pPr>
        <w:pStyle w:val="ListBullet"/>
      </w:pPr>
      <w:r>
        <w:t>Supplier contingency arrangements, including alternate suppliers, manual workarounds or exit strategies, shall be defined for critical services where feasible.</w:t>
      </w:r>
    </w:p>
    <w:p>
      <w:pPr>
        <w:pStyle w:val="ListBullet"/>
      </w:pPr>
      <w:r>
        <w:t>Material supplier disruption shall be managed through the organisation’s business continuity, incident management and crisis management processes.</w:t>
      </w:r>
    </w:p>
    <w:p>
      <w:pPr>
        <w:pStyle w:val="ListBullet"/>
      </w:pPr>
      <w:r>
        <w:t>Financial and commercial management</w:t>
      </w:r>
    </w:p>
    <w:p>
      <w:pPr>
        <w:pStyle w:val="ListBullet"/>
      </w:pPr>
      <w:r>
        <w:t>Supplier spend shall be approved, monitored and managed in accordance with budget, procurement and delegated authority requirements.</w:t>
      </w:r>
    </w:p>
    <w:p>
      <w:pPr>
        <w:pStyle w:val="ListBullet"/>
      </w:pPr>
      <w:r>
        <w:t>Invoices shall be reviewed against contracted pricing, delivered services, purchase orders and acceptance criteria before payment approval.</w:t>
      </w:r>
    </w:p>
    <w:p>
      <w:pPr>
        <w:pStyle w:val="ListBullet"/>
      </w:pPr>
      <w:r>
        <w:t>Material contract variances, unapproved charges, volume increases or pricing changes shall be investigated and approved before payment where required.</w:t>
      </w:r>
    </w:p>
    <w:p>
      <w:pPr>
        <w:pStyle w:val="ListBullet"/>
      </w:pPr>
      <w:r>
        <w:t>Contract value, renewal dates, notice periods and termination rights shall be tracked to support timely commercial decision-making.</w:t>
      </w:r>
    </w:p>
    <w:p>
      <w:pPr>
        <w:pStyle w:val="ListBullet"/>
      </w:pPr>
      <w:r>
        <w:t>Suppliers shall not be permitted to commence material additional work without approved scope, funding and contractual authority.</w:t>
      </w:r>
    </w:p>
    <w:p>
      <w:pPr>
        <w:pStyle w:val="ListBullet"/>
      </w:pPr>
      <w:r>
        <w:t>Business Owners shall consider total cost of ownership, switching costs, lock-in risk and exit costs when selecting or renewing suppliers.</w:t>
      </w:r>
    </w:p>
    <w:p>
      <w:pPr>
        <w:pStyle w:val="ListBullet"/>
      </w:pPr>
      <w:r>
        <w:t>Supplier concentration and dependency risk</w:t>
      </w:r>
    </w:p>
    <w:p>
      <w:pPr>
        <w:pStyle w:val="ListBullet"/>
      </w:pPr>
      <w:r>
        <w:t>The organisation shall identify and monitor significant dependencies on individual suppliers, platforms, geographic regions or service providers.</w:t>
      </w:r>
    </w:p>
    <w:p>
      <w:pPr>
        <w:pStyle w:val="ListBullet"/>
      </w:pPr>
      <w:r>
        <w:t>Concentration risk shall be considered when approving critical or high-risk supplier arrangements.</w:t>
      </w:r>
    </w:p>
    <w:p>
      <w:pPr>
        <w:pStyle w:val="ListBullet"/>
      </w:pPr>
      <w:r>
        <w:t>Business Owners shall assess whether excessive dependency creates unacceptable operational, financial, resilience, security or negotiation risk.</w:t>
      </w:r>
    </w:p>
    <w:p>
      <w:pPr>
        <w:pStyle w:val="ListBullet"/>
      </w:pPr>
      <w:r>
        <w:t>Where concentration risk is material, the organisation shall define mitigating actions such as contingency plans, alternate suppliers, contract protections, architectural resilience or exit strategies.</w:t>
      </w:r>
    </w:p>
    <w:p>
      <w:pPr>
        <w:pStyle w:val="ListBullet"/>
      </w:pPr>
      <w:r>
        <w:t>Supplier dependency risk shall be reviewed during strategic sourcing, technology planning, renewal and business continuity activities.</w:t>
      </w:r>
    </w:p>
    <w:p>
      <w:pPr>
        <w:pStyle w:val="ListBullet"/>
      </w:pPr>
      <w:r>
        <w:t>Contract renewal and periodic reassessment</w:t>
      </w:r>
    </w:p>
    <w:p>
      <w:pPr>
        <w:pStyle w:val="ListBullet"/>
      </w:pPr>
      <w:r>
        <w:t>Supplier renewals shall be initiated early enough to allow performance review, risk reassessment, commercial evaluation and contract negotiation before notice deadlines.</w:t>
      </w:r>
    </w:p>
    <w:p>
      <w:pPr>
        <w:pStyle w:val="ListBullet"/>
      </w:pPr>
      <w:r>
        <w:t>Contracts shall not be renewed automatically without confirmation that the supplier remains suitable, necessary and appropriately controlled.</w:t>
      </w:r>
    </w:p>
    <w:p>
      <w:pPr>
        <w:pStyle w:val="ListBullet"/>
      </w:pPr>
      <w:r>
        <w:t>Renewal decisions shall consider:</w:t>
      </w:r>
    </w:p>
    <w:p>
      <w:pPr>
        <w:pStyle w:val="ListBullet"/>
      </w:pPr>
      <w:r>
        <w:t>Business need and strategic fit.</w:t>
      </w:r>
    </w:p>
    <w:p>
      <w:pPr>
        <w:pStyle w:val="ListBullet"/>
      </w:pPr>
      <w:r>
        <w:t>Supplier performance history.</w:t>
      </w:r>
    </w:p>
    <w:p>
      <w:pPr>
        <w:pStyle w:val="ListBullet"/>
      </w:pPr>
      <w:r>
        <w:t>Open issues, incidents or disputes.</w:t>
      </w:r>
    </w:p>
    <w:p>
      <w:pPr>
        <w:pStyle w:val="ListBullet"/>
      </w:pPr>
      <w:r>
        <w:t>Risk assessment results.</w:t>
      </w:r>
    </w:p>
    <w:p>
      <w:pPr>
        <w:pStyle w:val="ListBullet"/>
      </w:pPr>
      <w:r>
        <w:t>Security and privacy posture.</w:t>
      </w:r>
    </w:p>
    <w:p>
      <w:pPr>
        <w:pStyle w:val="ListBullet"/>
      </w:pPr>
      <w:r>
        <w:t>Compliance with contract terms.</w:t>
      </w:r>
    </w:p>
    <w:p>
      <w:pPr>
        <w:pStyle w:val="ListBullet"/>
      </w:pPr>
      <w:r>
        <w:t>Cost, value and market alternatives.</w:t>
      </w:r>
    </w:p>
    <w:p>
      <w:pPr>
        <w:pStyle w:val="ListBullet"/>
      </w:pPr>
      <w:r>
        <w:t>Exit feasibility and switching risk.</w:t>
      </w:r>
    </w:p>
    <w:p>
      <w:pPr>
        <w:pStyle w:val="ListBullet"/>
      </w:pPr>
      <w:r>
        <w:t>Material contract renewals or expansions shall follow applicable sourcing and approval requirements.</w:t>
      </w:r>
    </w:p>
    <w:p>
      <w:pPr>
        <w:pStyle w:val="ListBullet"/>
      </w:pPr>
      <w:r>
        <w:t>Suppliers with unresolved high-risk issues shall not be renewed unless an authorised risk owner formally accepts the risk and approves a remediation plan.</w:t>
      </w:r>
    </w:p>
    <w:p>
      <w:pPr>
        <w:pStyle w:val="ListBullet"/>
      </w:pPr>
      <w:r>
        <w:t>Supplier exit and termination</w:t>
      </w:r>
    </w:p>
    <w:p>
      <w:pPr>
        <w:pStyle w:val="ListBullet"/>
      </w:pPr>
      <w:r>
        <w:t>Supplier exits shall be planned and managed to protect business continuity, information security, customer commitments and legal obligations.</w:t>
      </w:r>
    </w:p>
    <w:p>
      <w:pPr>
        <w:pStyle w:val="ListBullet"/>
      </w:pPr>
      <w:r>
        <w:t>Critical and high-risk suppliers shall have documented exit considerations, including transition responsibilities, data return, data deletion, knowledge transfer, access removal and continuity arrangements.</w:t>
      </w:r>
    </w:p>
    <w:p>
      <w:pPr>
        <w:pStyle w:val="ListBullet"/>
      </w:pPr>
      <w:r>
        <w:t>Upon termination or expiry, supplier access to organisational systems, facilities and data shall be removed promptly unless retained access is explicitly approved for transition support.</w:t>
      </w:r>
    </w:p>
    <w:p>
      <w:pPr>
        <w:pStyle w:val="ListBullet"/>
      </w:pPr>
      <w:r>
        <w:t>Organisational information shall be returned, transferred, retained or securely destroyed in accordance with contract terms and legal requirements.</w:t>
      </w:r>
    </w:p>
    <w:p>
      <w:pPr>
        <w:pStyle w:val="ListBullet"/>
      </w:pPr>
      <w:r>
        <w:t>The Business Owner shall confirm completion of exit activities and retain evidence of closure.</w:t>
      </w:r>
    </w:p>
    <w:p>
      <w:pPr>
        <w:pStyle w:val="ListBullet"/>
      </w:pPr>
      <w:r>
        <w:t>Supplier offboarding shall include final performance review, open issue closure, asset return, invoice reconciliation, contract closure and lessons learned where appropriate.</w:t>
      </w:r>
    </w:p>
    <w:p>
      <w:pPr>
        <w:pStyle w:val="ListBullet"/>
      </w:pPr>
      <w:r>
        <w:t>Termination for cause, material breach, security failure, insolvency or regulatory concern shall be escalated to Legal, Procurement, Risk Management and executive stakeholders before action, unless urgent action is necessary to protect the organisation.</w:t>
      </w:r>
    </w:p>
    <w:p>
      <w:pPr>
        <w:pStyle w:val="ListBullet"/>
      </w:pPr>
      <w:r>
        <w:t>Records and evidence</w:t>
      </w:r>
    </w:p>
    <w:p>
      <w:pPr>
        <w:pStyle w:val="ListBullet"/>
      </w:pPr>
      <w:r>
        <w:t>Supplier management records shall be retained in accordance with the organisation’s records retention schedule and legal requirements.</w:t>
      </w:r>
    </w:p>
    <w:p>
      <w:pPr>
        <w:pStyle w:val="ListBullet"/>
      </w:pPr>
      <w:r>
        <w:t>The supplier record shall include, as applicable:</w:t>
      </w:r>
    </w:p>
    <w:p>
      <w:pPr>
        <w:pStyle w:val="ListBullet"/>
      </w:pPr>
      <w:r>
        <w:t>Business justification and approval.</w:t>
      </w:r>
    </w:p>
    <w:p>
      <w:pPr>
        <w:pStyle w:val="ListBullet"/>
      </w:pPr>
      <w:r>
        <w:t>Supplier risk tier and assessment results.</w:t>
      </w:r>
    </w:p>
    <w:p>
      <w:pPr>
        <w:pStyle w:val="ListBullet"/>
      </w:pPr>
      <w:r>
        <w:t>Due diligence evidence.</w:t>
      </w:r>
    </w:p>
    <w:p>
      <w:pPr>
        <w:pStyle w:val="ListBullet"/>
      </w:pPr>
      <w:r>
        <w:t>Contract and amendments.</w:t>
      </w:r>
    </w:p>
    <w:p>
      <w:pPr>
        <w:pStyle w:val="ListBullet"/>
      </w:pPr>
      <w:r>
        <w:t>Service levels and performance reports.</w:t>
      </w:r>
    </w:p>
    <w:p>
      <w:pPr>
        <w:pStyle w:val="ListBullet"/>
      </w:pPr>
      <w:r>
        <w:t>Security, privacy and compliance reviews.</w:t>
      </w:r>
    </w:p>
    <w:p>
      <w:pPr>
        <w:pStyle w:val="ListBullet"/>
      </w:pPr>
      <w:r>
        <w:t>Meeting minutes and governance records.</w:t>
      </w:r>
    </w:p>
    <w:p>
      <w:pPr>
        <w:pStyle w:val="ListBullet"/>
      </w:pPr>
      <w:r>
        <w:t>Incident, issue and corrective action records.</w:t>
      </w:r>
    </w:p>
    <w:p>
      <w:pPr>
        <w:pStyle w:val="ListBullet"/>
      </w:pPr>
      <w:r>
        <w:t>Renewal and reassessment records.</w:t>
      </w:r>
    </w:p>
    <w:p>
      <w:pPr>
        <w:pStyle w:val="ListBullet"/>
      </w:pPr>
      <w:r>
        <w:t>Exit and offboarding evidence.</w:t>
      </w:r>
    </w:p>
    <w:p>
      <w:pPr>
        <w:pStyle w:val="ListBullet"/>
      </w:pPr>
      <w:r>
        <w:t>Records shall be stored in approved repositories and protected from unauthorised access, alteration or deletion.</w:t>
      </w:r>
    </w:p>
    <w:p>
      <w:pPr>
        <w:pStyle w:val="ListBullet"/>
      </w:pPr>
      <w:r>
        <w:t>Supplier evidence shall be made available for internal audit, external audit, regulatory review or management oversight when required.</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Leadership</w:t>
            </w:r>
          </w:p>
        </w:tc>
        <w:tc>
          <w:tcPr>
            <w:tcW w:type="dxa" w:w="4320"/>
          </w:tcPr>
          <w:p>
            <w:r>
              <w:t>Provides oversight of material supplier risks, approves risk appetite and ensures supplier governance supports organisational objectives.</w:t>
            </w:r>
          </w:p>
        </w:tc>
      </w:tr>
      <w:tr>
        <w:tc>
          <w:tcPr>
            <w:tcW w:type="dxa" w:w="4320"/>
          </w:tcPr>
          <w:p>
            <w:r>
              <w:t>Vendor Management Owner</w:t>
            </w:r>
          </w:p>
        </w:tc>
        <w:tc>
          <w:tcPr>
            <w:tcW w:type="dxa" w:w="4320"/>
          </w:tcPr>
          <w:p>
            <w:r>
              <w:t>Owns this policy, maintains the supplier management framework, defines supplier tiering criteria, monitors policy adoption and escalates systemic supplier risks.</w:t>
            </w:r>
          </w:p>
        </w:tc>
      </w:tr>
      <w:tr>
        <w:tc>
          <w:tcPr>
            <w:tcW w:type="dxa" w:w="4320"/>
          </w:tcPr>
          <w:p>
            <w:r>
              <w:t>Procurement</w:t>
            </w:r>
          </w:p>
        </w:tc>
        <w:tc>
          <w:tcPr>
            <w:tcW w:type="dxa" w:w="4320"/>
          </w:tcPr>
          <w:p>
            <w:r>
              <w:t>Leads sourcing, supplier selection support, commercial negotiation, supplier onboarding coordination and procurement records management.</w:t>
            </w:r>
          </w:p>
        </w:tc>
      </w:tr>
      <w:tr>
        <w:tc>
          <w:tcPr>
            <w:tcW w:type="dxa" w:w="4320"/>
          </w:tcPr>
          <w:p>
            <w:r>
              <w:t>Business Owner</w:t>
            </w:r>
          </w:p>
        </w:tc>
        <w:tc>
          <w:tcPr>
            <w:tcW w:type="dxa" w:w="4320"/>
          </w:tcPr>
          <w:p>
            <w:r>
              <w:t>Defines the business need, justifies supplier engagement, owns the supplier relationship, monitors performance, manages issues and confirms ongoing value.</w:t>
            </w:r>
          </w:p>
        </w:tc>
      </w:tr>
      <w:tr>
        <w:tc>
          <w:tcPr>
            <w:tcW w:type="dxa" w:w="4320"/>
          </w:tcPr>
          <w:p>
            <w:r>
              <w:t>Contract Owner</w:t>
            </w:r>
          </w:p>
        </w:tc>
        <w:tc>
          <w:tcPr>
            <w:tcW w:type="dxa" w:w="4320"/>
          </w:tcPr>
          <w:p>
            <w:r>
              <w:t>Ensures contract obligations, renewal dates, notice periods, deliverables and commercial terms are tracked and managed. This may be the Business Owner unless separately assigned.</w:t>
            </w:r>
          </w:p>
        </w:tc>
      </w:tr>
      <w:tr>
        <w:tc>
          <w:tcPr>
            <w:tcW w:type="dxa" w:w="4320"/>
          </w:tcPr>
          <w:p>
            <w:r>
              <w:t>Legal</w:t>
            </w:r>
          </w:p>
        </w:tc>
        <w:tc>
          <w:tcPr>
            <w:tcW w:type="dxa" w:w="4320"/>
          </w:tcPr>
          <w:p>
            <w:r>
              <w:t>Reviews contract terms, legal risks, liability, termination rights, data processing terms, intellectual property, dispute provisions and regulatory obligations.</w:t>
            </w:r>
          </w:p>
        </w:tc>
      </w:tr>
      <w:tr>
        <w:tc>
          <w:tcPr>
            <w:tcW w:type="dxa" w:w="4320"/>
          </w:tcPr>
          <w:p>
            <w:r>
              <w:t>Information Security</w:t>
            </w:r>
          </w:p>
        </w:tc>
        <w:tc>
          <w:tcPr>
            <w:tcW w:type="dxa" w:w="4320"/>
          </w:tcPr>
          <w:p>
            <w:r>
              <w:t>Assesses supplier security risk, reviews security controls, approves security requirements, evaluates incidents and advises on access and assurance requirements.</w:t>
            </w:r>
          </w:p>
        </w:tc>
      </w:tr>
      <w:tr>
        <w:tc>
          <w:tcPr>
            <w:tcW w:type="dxa" w:w="4320"/>
          </w:tcPr>
          <w:p>
            <w:r>
              <w:t>Privacy / Data Protection</w:t>
            </w:r>
          </w:p>
        </w:tc>
        <w:tc>
          <w:tcPr>
            <w:tcW w:type="dxa" w:w="4320"/>
          </w:tcPr>
          <w:p>
            <w:r>
              <w:t>Assesses privacy risks, data processing arrangements, cross-border transfers, data subject obligations and privacy incident requirements.</w:t>
            </w:r>
          </w:p>
        </w:tc>
      </w:tr>
      <w:tr>
        <w:tc>
          <w:tcPr>
            <w:tcW w:type="dxa" w:w="4320"/>
          </w:tcPr>
          <w:p>
            <w:r>
              <w:t>Risk Management</w:t>
            </w:r>
          </w:p>
        </w:tc>
        <w:tc>
          <w:tcPr>
            <w:tcW w:type="dxa" w:w="4320"/>
          </w:tcPr>
          <w:p>
            <w:r>
              <w:t>Advises on supplier risk assessment, acceptance, escalation and monitoring of material third-party risk.</w:t>
            </w:r>
          </w:p>
        </w:tc>
      </w:tr>
      <w:tr>
        <w:tc>
          <w:tcPr>
            <w:tcW w:type="dxa" w:w="4320"/>
          </w:tcPr>
          <w:p>
            <w:r>
              <w:t>Finance</w:t>
            </w:r>
          </w:p>
        </w:tc>
        <w:tc>
          <w:tcPr>
            <w:tcW w:type="dxa" w:w="4320"/>
          </w:tcPr>
          <w:p>
            <w:r>
              <w:t>Confirms budget availability, payment controls, invoice validation requirements and financial exposure.</w:t>
            </w:r>
          </w:p>
        </w:tc>
      </w:tr>
      <w:tr>
        <w:tc>
          <w:tcPr>
            <w:tcW w:type="dxa" w:w="4320"/>
          </w:tcPr>
          <w:p>
            <w:r>
              <w:t>Technology / IT</w:t>
            </w:r>
          </w:p>
        </w:tc>
        <w:tc>
          <w:tcPr>
            <w:tcW w:type="dxa" w:w="4320"/>
          </w:tcPr>
          <w:p>
            <w:r>
              <w:t>Reviews technical integration, architecture, supportability, access, resilience, change impacts and operational readiness for technology suppliers.</w:t>
            </w:r>
          </w:p>
        </w:tc>
      </w:tr>
      <w:tr>
        <w:tc>
          <w:tcPr>
            <w:tcW w:type="dxa" w:w="4320"/>
          </w:tcPr>
          <w:p>
            <w:r>
              <w:t>Business Continuity / Resilience Function</w:t>
            </w:r>
          </w:p>
        </w:tc>
        <w:tc>
          <w:tcPr>
            <w:tcW w:type="dxa" w:w="4320"/>
          </w:tcPr>
          <w:p>
            <w:r>
              <w:t>Assesses continuity dependencies, recovery expectations, supplier resilience evidence and contingency arrangements for critical services.</w:t>
            </w:r>
          </w:p>
        </w:tc>
      </w:tr>
      <w:tr>
        <w:tc>
          <w:tcPr>
            <w:tcW w:type="dxa" w:w="4320"/>
          </w:tcPr>
          <w:p>
            <w:r>
              <w:t>Internal Audit</w:t>
            </w:r>
          </w:p>
        </w:tc>
        <w:tc>
          <w:tcPr>
            <w:tcW w:type="dxa" w:w="4320"/>
          </w:tcPr>
          <w:p>
            <w:r>
              <w:t>Provides independent assurance over supplier management design and operating effectiveness according to the approved audit plan.</w:t>
            </w:r>
          </w:p>
        </w:tc>
      </w:tr>
      <w:tr>
        <w:tc>
          <w:tcPr>
            <w:tcW w:type="dxa" w:w="4320"/>
          </w:tcPr>
          <w:p>
            <w:r>
              <w:t>Supplier</w:t>
            </w:r>
          </w:p>
        </w:tc>
        <w:tc>
          <w:tcPr>
            <w:tcW w:type="dxa" w:w="4320"/>
          </w:tcPr>
          <w:p>
            <w:r>
              <w:t>Meets contractual obligations, protects organisational information, reports incidents, maintains agreed controls, provides assurance evidence and cooperates with reviews.</w:t>
            </w:r>
          </w:p>
        </w:tc>
      </w:tr>
      <w:tr>
        <w:tc>
          <w:tcPr>
            <w:tcW w:type="dxa" w:w="4320"/>
          </w:tcPr>
          <w:p>
            <w:r>
              <w:t>Employees and Contractors</w:t>
            </w:r>
          </w:p>
        </w:tc>
        <w:tc>
          <w:tcPr>
            <w:tcW w:type="dxa" w:w="4320"/>
          </w:tcPr>
          <w:p>
            <w:r>
              <w:t>Use approved suppliers, follow procurement and supplier engagement processes, protect organisational information and report supplier concerns.</w:t>
            </w:r>
          </w:p>
        </w:tc>
      </w:tr>
    </w:tbl>
    <w:p>
      <w:pPr>
        <w:pStyle w:val="Heading2"/>
      </w:pPr>
      <w:r>
        <w:t>Compliance, Monitoring &amp; Enforcement</w:t>
      </w:r>
    </w:p>
    <w:p>
      <w:r>
        <w:t>Compliance with this policy is mandatory.</w:t>
      </w:r>
    </w:p>
    <w:p>
      <w:r>
        <w:t>The Vendor Management Owner, Procurement, Risk Management, Information Security, Privacy and Business Owners shall monitor compliance through appropriate governance activities, including:</w:t>
      </w:r>
    </w:p>
    <w:p>
      <w:pPr>
        <w:pStyle w:val="ListBullet"/>
      </w:pPr>
      <w:r>
        <w:t>Supplier register completeness checks.</w:t>
      </w:r>
    </w:p>
    <w:p>
      <w:pPr>
        <w:pStyle w:val="ListBullet"/>
      </w:pPr>
      <w:r>
        <w:t>Review of supplier risk assessments and approvals.</w:t>
      </w:r>
    </w:p>
    <w:p>
      <w:pPr>
        <w:pStyle w:val="ListBullet"/>
      </w:pPr>
      <w:r>
        <w:t>Contract compliance reviews.</w:t>
      </w:r>
    </w:p>
    <w:p>
      <w:pPr>
        <w:pStyle w:val="ListBullet"/>
      </w:pPr>
      <w:r>
        <w:t>Due diligence completion checks.</w:t>
      </w:r>
    </w:p>
    <w:p>
      <w:pPr>
        <w:pStyle w:val="ListBullet"/>
      </w:pPr>
      <w:r>
        <w:t>Supplier performance reviews.</w:t>
      </w:r>
    </w:p>
    <w:p>
      <w:pPr>
        <w:pStyle w:val="ListBullet"/>
      </w:pPr>
      <w:r>
        <w:t>Access review results for supplier accounts.</w:t>
      </w:r>
    </w:p>
    <w:p>
      <w:pPr>
        <w:pStyle w:val="ListBullet"/>
      </w:pPr>
      <w:r>
        <w:t>Security and privacy assurance reviews.</w:t>
      </w:r>
    </w:p>
    <w:p>
      <w:pPr>
        <w:pStyle w:val="ListBullet"/>
      </w:pPr>
      <w:r>
        <w:t>Incident and corrective action tracking.</w:t>
      </w:r>
    </w:p>
    <w:p>
      <w:pPr>
        <w:pStyle w:val="ListBullet"/>
      </w:pPr>
      <w:r>
        <w:t>Renewal and exit evidence reviews.</w:t>
      </w:r>
    </w:p>
    <w:p>
      <w:pPr>
        <w:pStyle w:val="ListBullet"/>
      </w:pPr>
      <w:r>
        <w:t>Internal audit or management assurance activities.</w:t>
      </w:r>
    </w:p>
    <w:p>
      <w:r>
        <w:t>The following key indicators shall be used to support monitoring and reporting: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Indicator</w:t>
            </w:r>
          </w:p>
        </w:tc>
        <w:tc>
          <w:tcPr>
            <w:tcW w:type="dxa" w:w="2160"/>
          </w:tcPr>
          <w:p>
            <w:r>
              <w:t>Description</w:t>
            </w:r>
          </w:p>
        </w:tc>
        <w:tc>
          <w:tcPr>
            <w:tcW w:type="dxa" w:w="2160"/>
          </w:tcPr>
          <w:p>
            <w:r>
              <w:t>Target / Threshold</w:t>
            </w:r>
          </w:p>
        </w:tc>
        <w:tc>
          <w:tcPr>
            <w:tcW w:type="dxa" w:w="2160"/>
          </w:tcPr>
          <w:p>
            <w:r>
              <w:t>Reporting Frequency</w:t>
            </w:r>
          </w:p>
        </w:tc>
      </w:tr>
      <w:tr>
        <w:tc>
          <w:tcPr>
            <w:tcW w:type="dxa" w:w="2160"/>
          </w:tcPr>
          <w:p>
            <w:r>
              <w:t>Supplier register completeness</w:t>
            </w:r>
          </w:p>
        </w:tc>
        <w:tc>
          <w:tcPr>
            <w:tcW w:type="dxa" w:w="2160"/>
          </w:tcPr>
          <w:p>
            <w:r>
              <w:t>Percentage of active in-scope suppliers recorded in the supplier register</w:t>
            </w:r>
          </w:p>
        </w:tc>
        <w:tc>
          <w:tcPr>
            <w:tcW w:type="dxa" w:w="2160"/>
          </w:tcPr>
          <w:p>
            <w:r>
              <w:t>[Target %]</w:t>
            </w:r>
          </w:p>
        </w:tc>
        <w:tc>
          <w:tcPr>
            <w:tcW w:type="dxa" w:w="2160"/>
          </w:tcPr>
          <w:p>
            <w:r>
              <w:t>Quarterly</w:t>
            </w:r>
          </w:p>
        </w:tc>
      </w:tr>
      <w:tr>
        <w:tc>
          <w:tcPr>
            <w:tcW w:type="dxa" w:w="2160"/>
          </w:tcPr>
          <w:p>
            <w:r>
              <w:t>Due diligence completion</w:t>
            </w:r>
          </w:p>
        </w:tc>
        <w:tc>
          <w:tcPr>
            <w:tcW w:type="dxa" w:w="2160"/>
          </w:tcPr>
          <w:p>
            <w:r>
              <w:t>Percentage of new in-scope suppliers with completed due diligence before contract execution</w:t>
            </w:r>
          </w:p>
        </w:tc>
        <w:tc>
          <w:tcPr>
            <w:tcW w:type="dxa" w:w="2160"/>
          </w:tcPr>
          <w:p>
            <w:r>
              <w:t>[Target %]</w:t>
            </w:r>
          </w:p>
        </w:tc>
        <w:tc>
          <w:tcPr>
            <w:tcW w:type="dxa" w:w="2160"/>
          </w:tcPr>
          <w:p>
            <w:r>
              <w:t>Quarterly</w:t>
            </w:r>
          </w:p>
        </w:tc>
      </w:tr>
      <w:tr>
        <w:tc>
          <w:tcPr>
            <w:tcW w:type="dxa" w:w="2160"/>
          </w:tcPr>
          <w:p>
            <w:r>
              <w:t>Critical supplier review completion</w:t>
            </w:r>
          </w:p>
        </w:tc>
        <w:tc>
          <w:tcPr>
            <w:tcW w:type="dxa" w:w="2160"/>
          </w:tcPr>
          <w:p>
            <w:r>
              <w:t>Percentage of critical suppliers reviewed within required timeframe</w:t>
            </w:r>
          </w:p>
        </w:tc>
        <w:tc>
          <w:tcPr>
            <w:tcW w:type="dxa" w:w="2160"/>
          </w:tcPr>
          <w:p>
            <w:r>
              <w:t>[Target %]</w:t>
            </w:r>
          </w:p>
        </w:tc>
        <w:tc>
          <w:tcPr>
            <w:tcW w:type="dxa" w:w="2160"/>
          </w:tcPr>
          <w:p>
            <w:r>
              <w:t>Quarterly</w:t>
            </w:r>
          </w:p>
        </w:tc>
      </w:tr>
      <w:tr>
        <w:tc>
          <w:tcPr>
            <w:tcW w:type="dxa" w:w="2160"/>
          </w:tcPr>
          <w:p>
            <w:r>
              <w:t>Open high-risk supplier issues</w:t>
            </w:r>
          </w:p>
        </w:tc>
        <w:tc>
          <w:tcPr>
            <w:tcW w:type="dxa" w:w="2160"/>
          </w:tcPr>
          <w:p>
            <w:r>
              <w:t>Number of overdue high-risk supplier remediation actions</w:t>
            </w:r>
          </w:p>
        </w:tc>
        <w:tc>
          <w:tcPr>
            <w:tcW w:type="dxa" w:w="2160"/>
          </w:tcPr>
          <w:p>
            <w:r>
              <w:t>[Threshold]</w:t>
            </w:r>
          </w:p>
        </w:tc>
        <w:tc>
          <w:tcPr>
            <w:tcW w:type="dxa" w:w="2160"/>
          </w:tcPr>
          <w:p>
            <w:r>
              <w:t>Monthly</w:t>
            </w:r>
          </w:p>
        </w:tc>
      </w:tr>
      <w:tr>
        <w:tc>
          <w:tcPr>
            <w:tcW w:type="dxa" w:w="2160"/>
          </w:tcPr>
          <w:p>
            <w:r>
              <w:t>Contract coverage</w:t>
            </w:r>
          </w:p>
        </w:tc>
        <w:tc>
          <w:tcPr>
            <w:tcW w:type="dxa" w:w="2160"/>
          </w:tcPr>
          <w:p>
            <w:r>
              <w:t>Percentage of in-scope suppliers operating under approved contract terms</w:t>
            </w:r>
          </w:p>
        </w:tc>
        <w:tc>
          <w:tcPr>
            <w:tcW w:type="dxa" w:w="2160"/>
          </w:tcPr>
          <w:p>
            <w:r>
              <w:t>[Target %]</w:t>
            </w:r>
          </w:p>
        </w:tc>
        <w:tc>
          <w:tcPr>
            <w:tcW w:type="dxa" w:w="2160"/>
          </w:tcPr>
          <w:p>
            <w:r>
              <w:t>Quarterly</w:t>
            </w:r>
          </w:p>
        </w:tc>
      </w:tr>
      <w:tr>
        <w:tc>
          <w:tcPr>
            <w:tcW w:type="dxa" w:w="2160"/>
          </w:tcPr>
          <w:p>
            <w:r>
              <w:t>Supplier access review completion</w:t>
            </w:r>
          </w:p>
        </w:tc>
        <w:tc>
          <w:tcPr>
            <w:tcW w:type="dxa" w:w="2160"/>
          </w:tcPr>
          <w:p>
            <w:r>
              <w:t>Percentage of required supplier access reviews completed on time</w:t>
            </w:r>
          </w:p>
        </w:tc>
        <w:tc>
          <w:tcPr>
            <w:tcW w:type="dxa" w:w="2160"/>
          </w:tcPr>
          <w:p>
            <w:r>
              <w:t>[Target %]</w:t>
            </w:r>
          </w:p>
        </w:tc>
        <w:tc>
          <w:tcPr>
            <w:tcW w:type="dxa" w:w="2160"/>
          </w:tcPr>
          <w:p>
            <w:r>
              <w:t>Quarterly</w:t>
            </w:r>
          </w:p>
        </w:tc>
      </w:tr>
      <w:tr>
        <w:tc>
          <w:tcPr>
            <w:tcW w:type="dxa" w:w="2160"/>
          </w:tcPr>
          <w:p>
            <w:r>
              <w:t>Renewal review timeliness</w:t>
            </w:r>
          </w:p>
        </w:tc>
        <w:tc>
          <w:tcPr>
            <w:tcW w:type="dxa" w:w="2160"/>
          </w:tcPr>
          <w:p>
            <w:r>
              <w:t>Percentage of renewals reviewed before notice deadline</w:t>
            </w:r>
          </w:p>
        </w:tc>
        <w:tc>
          <w:tcPr>
            <w:tcW w:type="dxa" w:w="2160"/>
          </w:tcPr>
          <w:p>
            <w:r>
              <w:t>[Target %]</w:t>
            </w:r>
          </w:p>
        </w:tc>
        <w:tc>
          <w:tcPr>
            <w:tcW w:type="dxa" w:w="2160"/>
          </w:tcPr>
          <w:p>
            <w:r>
              <w:t>Quarterly</w:t>
            </w:r>
          </w:p>
        </w:tc>
      </w:tr>
      <w:tr>
        <w:tc>
          <w:tcPr>
            <w:tcW w:type="dxa" w:w="2160"/>
          </w:tcPr>
          <w:p>
            <w:r>
              <w:t>Incident notification compliance</w:t>
            </w:r>
          </w:p>
        </w:tc>
        <w:tc>
          <w:tcPr>
            <w:tcW w:type="dxa" w:w="2160"/>
          </w:tcPr>
          <w:p>
            <w:r>
              <w:t>Percentage of supplier incidents reported within contractual timeframe</w:t>
            </w:r>
          </w:p>
        </w:tc>
        <w:tc>
          <w:tcPr>
            <w:tcW w:type="dxa" w:w="2160"/>
          </w:tcPr>
          <w:p>
            <w:r>
              <w:t>[Target %]</w:t>
            </w:r>
          </w:p>
        </w:tc>
        <w:tc>
          <w:tcPr>
            <w:tcW w:type="dxa" w:w="2160"/>
          </w:tcPr>
          <w:p>
            <w:r>
              <w:t>Quarterly</w:t>
            </w:r>
          </w:p>
        </w:tc>
      </w:tr>
    </w:tbl>
    <w:p>
      <w:r>
        <w:t>Non-compliance with this policy may result in:</w:t>
      </w:r>
    </w:p>
    <w:p>
      <w:pPr>
        <w:pStyle w:val="ListBullet"/>
      </w:pPr>
      <w:r>
        <w:t>Rejection or delay of supplier onboarding.</w:t>
      </w:r>
    </w:p>
    <w:p>
      <w:pPr>
        <w:pStyle w:val="ListBullet"/>
      </w:pPr>
      <w:r>
        <w:t>Suspension of supplier access.</w:t>
      </w:r>
    </w:p>
    <w:p>
      <w:pPr>
        <w:pStyle w:val="ListBullet"/>
      </w:pPr>
      <w:r>
        <w:t>Escalation to the Business Owner, executive management or risk governance forum.</w:t>
      </w:r>
    </w:p>
    <w:p>
      <w:pPr>
        <w:pStyle w:val="ListBullet"/>
      </w:pPr>
      <w:r>
        <w:t>Mandatory remediation plans.</w:t>
      </w:r>
    </w:p>
    <w:p>
      <w:pPr>
        <w:pStyle w:val="ListBullet"/>
      </w:pPr>
      <w:r>
        <w:t>Contractual remedies, withholding of payment, service credits or termination where contractually available.</w:t>
      </w:r>
    </w:p>
    <w:p>
      <w:pPr>
        <w:pStyle w:val="ListBullet"/>
      </w:pPr>
      <w:r>
        <w:t>Restriction from future supplier engagements.</w:t>
      </w:r>
    </w:p>
    <w:p>
      <w:pPr>
        <w:pStyle w:val="ListBullet"/>
      </w:pPr>
      <w:r>
        <w:t>Disciplinary action for employees or contractors in accordance with organisational policy.</w:t>
      </w:r>
    </w:p>
    <w:p>
      <w:pPr>
        <w:pStyle w:val="ListBullet"/>
      </w:pPr>
      <w:r>
        <w:t>Legal, regulatory or contractual action where warranted.</w:t>
      </w:r>
    </w:p>
    <w:p>
      <w:r>
        <w:t>Material non-compliance, significant supplier incidents, repeated control failures or unmanaged critical supplier risks shall be escalated to [Risk Committee / Executive Committee / Governance Forum].</w:t>
      </w:r>
    </w:p>
    <w:p>
      <w:pPr>
        <w:pStyle w:val="Heading2"/>
      </w:pPr>
      <w:r>
        <w:t>Exceptions</w:t>
      </w:r>
    </w:p>
    <w:p>
      <w:r>
        <w:t>Exceptions to this policy shall be permitted only where there is a documented business justification and the associated risk has been assessed and approved by an authorised risk owner.</w:t>
      </w:r>
    </w:p>
    <w:p>
      <w:r>
        <w:t>Exception requests shall include:</w:t>
      </w:r>
    </w:p>
    <w:p>
      <w:pPr>
        <w:pStyle w:val="ListBullet"/>
      </w:pPr>
      <w:r>
        <w:t>Supplier name and service description.</w:t>
      </w:r>
    </w:p>
    <w:p>
      <w:pPr>
        <w:pStyle w:val="ListBullet"/>
      </w:pPr>
      <w:r>
        <w:t>Policy requirement for which exception is requested.</w:t>
      </w:r>
    </w:p>
    <w:p>
      <w:pPr>
        <w:pStyle w:val="ListBullet"/>
      </w:pPr>
      <w:r>
        <w:t>Business justification.</w:t>
      </w:r>
    </w:p>
    <w:p>
      <w:pPr>
        <w:pStyle w:val="ListBullet"/>
      </w:pPr>
      <w:r>
        <w:t>Risk assessment and potential impact.</w:t>
      </w:r>
    </w:p>
    <w:p>
      <w:pPr>
        <w:pStyle w:val="ListBullet"/>
      </w:pPr>
      <w:r>
        <w:t>Compensating controls.</w:t>
      </w:r>
    </w:p>
    <w:p>
      <w:pPr>
        <w:pStyle w:val="ListBullet"/>
      </w:pPr>
      <w:r>
        <w:t>Duration of exception.</w:t>
      </w:r>
    </w:p>
    <w:p>
      <w:pPr>
        <w:pStyle w:val="ListBullet"/>
      </w:pPr>
      <w:r>
        <w:t>Remediation or closure plan.</w:t>
      </w:r>
    </w:p>
    <w:p>
      <w:pPr>
        <w:pStyle w:val="ListBullet"/>
      </w:pPr>
      <w:r>
        <w:t>Required approvals.</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Minimum Approval</w:t>
            </w:r>
          </w:p>
        </w:tc>
      </w:tr>
      <w:tr>
        <w:tc>
          <w:tcPr>
            <w:tcW w:type="dxa" w:w="4320"/>
          </w:tcPr>
          <w:p>
            <w:r>
              <w:t>Low-risk procedural exception</w:t>
            </w:r>
          </w:p>
        </w:tc>
        <w:tc>
          <w:tcPr>
            <w:tcW w:type="dxa" w:w="4320"/>
          </w:tcPr>
          <w:p>
            <w:r>
              <w:t>Vendor Management Owner and Business Owner</w:t>
            </w:r>
          </w:p>
        </w:tc>
      </w:tr>
      <w:tr>
        <w:tc>
          <w:tcPr>
            <w:tcW w:type="dxa" w:w="4320"/>
          </w:tcPr>
          <w:p>
            <w:r>
              <w:t>Security or access-related exception</w:t>
            </w:r>
          </w:p>
        </w:tc>
        <w:tc>
          <w:tcPr>
            <w:tcW w:type="dxa" w:w="4320"/>
          </w:tcPr>
          <w:p>
            <w:r>
              <w:t>Business Owner and Information Security</w:t>
            </w:r>
          </w:p>
        </w:tc>
      </w:tr>
      <w:tr>
        <w:tc>
          <w:tcPr>
            <w:tcW w:type="dxa" w:w="4320"/>
          </w:tcPr>
          <w:p>
            <w:r>
              <w:t>Privacy or data protection exception</w:t>
            </w:r>
          </w:p>
        </w:tc>
        <w:tc>
          <w:tcPr>
            <w:tcW w:type="dxa" w:w="4320"/>
          </w:tcPr>
          <w:p>
            <w:r>
              <w:t>Business Owner and Privacy / Data Protection</w:t>
            </w:r>
          </w:p>
        </w:tc>
      </w:tr>
      <w:tr>
        <w:tc>
          <w:tcPr>
            <w:tcW w:type="dxa" w:w="4320"/>
          </w:tcPr>
          <w:p>
            <w:r>
              <w:t>Contractual or legal exception</w:t>
            </w:r>
          </w:p>
        </w:tc>
        <w:tc>
          <w:tcPr>
            <w:tcW w:type="dxa" w:w="4320"/>
          </w:tcPr>
          <w:p>
            <w:r>
              <w:t>Business Owner and Legal</w:t>
            </w:r>
          </w:p>
        </w:tc>
      </w:tr>
      <w:tr>
        <w:tc>
          <w:tcPr>
            <w:tcW w:type="dxa" w:w="4320"/>
          </w:tcPr>
          <w:p>
            <w:r>
              <w:t>High-risk or critical supplier exception</w:t>
            </w:r>
          </w:p>
        </w:tc>
        <w:tc>
          <w:tcPr>
            <w:tcW w:type="dxa" w:w="4320"/>
          </w:tcPr>
          <w:p>
            <w:r>
              <w:t>Authorised Risk Owner and relevant executive governance forum</w:t>
            </w:r>
          </w:p>
        </w:tc>
      </w:tr>
      <w:tr>
        <w:tc>
          <w:tcPr>
            <w:tcW w:type="dxa" w:w="4320"/>
          </w:tcPr>
          <w:p>
            <w:r>
              <w:t>Exception exceeding [90 days]</w:t>
            </w:r>
          </w:p>
        </w:tc>
        <w:tc>
          <w:tcPr>
            <w:tcW w:type="dxa" w:w="4320"/>
          </w:tcPr>
          <w:p>
            <w:r>
              <w:t>Vendor Management Owner, Risk Management and authorised executive approver</w:t>
            </w:r>
          </w:p>
        </w:tc>
      </w:tr>
    </w:tbl>
    <w:p>
      <w:r>
        <w:t>Exceptions shall be time-bound and reviewed before expiry. Permanent exceptions shall not be granted unless the relevant requirement is formally amended through the policy maintenance process.</w:t>
      </w:r>
    </w:p>
    <w:p>
      <w:r>
        <w:t>Emergency supplier engagement may proceed before full completion of this policy’s requirements only where delay would create unacceptable business, safety, legal, customer or operational impact. Emergency engagements shall be approved by an authorised executive and shall complete outstanding due diligence, contracting and risk activities as soon as practicable, and no later than [defined number of business days] after commencement unless otherwise approved.</w:t>
      </w:r>
    </w:p>
    <w:p>
      <w:pPr>
        <w:pStyle w:val="Heading2"/>
      </w:pPr>
      <w:r>
        <w:t>Review &amp; Maintenance</w:t>
      </w:r>
    </w:p>
    <w:p>
      <w:r>
        <w:t>This policy shall be reviewed at least annually and whenever significant changes occur, including:</w:t>
      </w:r>
    </w:p>
    <w:p>
      <w:pPr>
        <w:pStyle w:val="ListBullet"/>
      </w:pPr>
      <w:r>
        <w:t>Material changes to business strategy, operating model or supplier dependency.</w:t>
      </w:r>
    </w:p>
    <w:p>
      <w:pPr>
        <w:pStyle w:val="ListBullet"/>
      </w:pPr>
      <w:r>
        <w:t>Significant supplier incidents, failures or audit findings.</w:t>
      </w:r>
    </w:p>
    <w:p>
      <w:pPr>
        <w:pStyle w:val="ListBullet"/>
      </w:pPr>
      <w:r>
        <w:t>Changes to legal, regulatory, contractual or customer requirements.</w:t>
      </w:r>
    </w:p>
    <w:p>
      <w:pPr>
        <w:pStyle w:val="ListBullet"/>
      </w:pPr>
      <w:r>
        <w:t>Introduction of new technology delivery models or outsourcing arrangements.</w:t>
      </w:r>
    </w:p>
    <w:p>
      <w:pPr>
        <w:pStyle w:val="ListBullet"/>
      </w:pPr>
      <w:r>
        <w:t>Significant changes to procurement, security, privacy, risk or financial governance processes.</w:t>
      </w:r>
    </w:p>
    <w:p>
      <w:pPr>
        <w:pStyle w:val="ListBullet"/>
      </w:pPr>
      <w:r>
        <w:t>Lessons learned from supplier exits, disputes or continuity events.</w:t>
      </w:r>
    </w:p>
    <w:p>
      <w:r>
        <w:t>The Vendor Management Owner is responsible for coordinating review and maintenance of this policy. Updates shall be reviewed by relevant stakeholders, including Procurement, Legal, Information Security, Privacy, Risk Management, Finance, Technology and Business Continuity, and approved through the organisation’s policy governance process.</w:t>
      </w:r>
    </w:p>
    <w:p>
      <w:r>
        <w:t>Superseded versions shall be retained in accordance with the organisation’s records retention requirements. Policy changes shall be communicated to affected stakeholders, and related procedures, templates, supplier questionnaires, contract playbooks and registers shall be updated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