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Continuous Monitoring Dashboard</w:t>
      </w:r>
    </w:p>
    <w:p>
      <w:pPr>
        <w:pStyle w:val="Heading2"/>
      </w:pPr>
      <w:r>
        <w:t>What This Evidences</w:t>
      </w:r>
    </w:p>
    <w:p>
      <w:r>
        <w:t>The Continuous Monitoring Dashboard evidences ongoing monitoring of ICT controls and third-party provider performance for DORA operational resilience purposes. It demonstrates that the organisation is actively tracking control health, ICT risk indicators, incident trends, vulnerabilities, service availability, and third-party performance against agreed obligations.</w:t>
      </w:r>
    </w:p>
    <w:p>
      <w:r>
        <w:t>This artifact is operational evidence that must be collected from the organisation’s own systems. It must not be authored manually as a standalone document. The dashboard should be exported or captured from live monitoring, security, IT service management, risk, or third-party management tools used by the organisation.</w:t>
      </w:r>
    </w:p>
    <w:p>
      <w:pPr>
        <w:pStyle w:val="Heading2"/>
      </w:pPr>
      <w:r>
        <w:t>Where To Collect It From</w:t>
      </w:r>
    </w:p>
    <w:p>
      <w:r>
        <w:t>Collect the dashboard from the organisation’s operational monitoring environment, typically one or more of the following:</w:t>
      </w:r>
    </w:p>
    <w:p>
      <w:pPr>
        <w:pStyle w:val="ListBullet"/>
      </w:pPr>
      <w:r>
        <w:t>SIEM or security monitoring platform: [SIEM / Log Monitoring Tool]</w:t>
      </w:r>
    </w:p>
    <w:p>
      <w:pPr>
        <w:pStyle w:val="ListBullet"/>
      </w:pPr>
      <w:r>
        <w:t>IT service management platform: [ITSM Tool]</w:t>
      </w:r>
    </w:p>
    <w:p>
      <w:pPr>
        <w:pStyle w:val="ListBullet"/>
      </w:pPr>
      <w:r>
        <w:t>Security posture or vulnerability management tool: [Vulnerability Management Tool]</w:t>
      </w:r>
    </w:p>
    <w:p>
      <w:pPr>
        <w:pStyle w:val="ListBullet"/>
      </w:pPr>
      <w:r>
        <w:t>Cloud or infrastructure monitoring platform: [Infrastructure / Cloud Monitoring Tool]</w:t>
      </w:r>
    </w:p>
    <w:p>
      <w:pPr>
        <w:pStyle w:val="ListBullet"/>
      </w:pPr>
      <w:r>
        <w:t>Third-party risk management portal: [TPRM Tool]</w:t>
      </w:r>
    </w:p>
    <w:p>
      <w:pPr>
        <w:pStyle w:val="ListBullet"/>
      </w:pPr>
      <w:r>
        <w:t>Service provider performance portal: [Provider Portal]</w:t>
      </w:r>
    </w:p>
    <w:p>
      <w:pPr>
        <w:pStyle w:val="ListBullet"/>
      </w:pPr>
      <w:r>
        <w:t>Governance, risk, and compliance platform: [GRC Tool]</w:t>
      </w:r>
    </w:p>
    <w:p>
      <w:pPr>
        <w:pStyle w:val="ListBullet"/>
      </w:pPr>
      <w:r>
        <w:t>Business continuity or operational resilience dashboard: [Resilience Dashboard Tool]</w:t>
      </w:r>
    </w:p>
    <w:p>
      <w:r>
        <w:t>If monitoring is split across multiple tools, collect the primary integrated dashboard and any supporting dashboard exports needed to show complete coverage.</w:t>
      </w:r>
    </w:p>
    <w:p>
      <w:pPr>
        <w:pStyle w:val="Heading2"/>
      </w:pPr>
      <w:r>
        <w:t>How To Collect</w:t>
      </w:r>
    </w:p>
    <w:p>
      <w:pPr>
        <w:pStyle w:val="ListBullet"/>
      </w:pPr>
      <w:r>
        <w:t>Log in to [Dashboard Tool / Portal] using an account with read-only or reporting access.</w:t>
      </w:r>
    </w:p>
    <w:p>
      <w:pPr>
        <w:pStyle w:val="ListBullet"/>
      </w:pPr>
      <w:r>
        <w:t>Navigate to the dashboard used for ICT control and third-party performance monitoring, such as [Dashboard Name].</w:t>
      </w:r>
    </w:p>
    <w:p>
      <w:pPr>
        <w:pStyle w:val="ListBullet"/>
      </w:pPr>
      <w:r>
        <w:t>Confirm the reporting period is set to [Start Date] through [End Date].</w:t>
      </w:r>
    </w:p>
    <w:p>
      <w:pPr>
        <w:pStyle w:val="ListBullet"/>
      </w:pPr>
      <w:r>
        <w:t>Confirm filters include relevant business units, critical ICT services, important systems, and material third-party providers.</w:t>
      </w:r>
    </w:p>
    <w:p>
      <w:pPr>
        <w:pStyle w:val="ListBullet"/>
      </w:pPr>
      <w:r>
        <w:t>Verify the dashboard refresh timestamp or last data ingestion time is visible.</w:t>
      </w:r>
    </w:p>
    <w:p>
      <w:pPr>
        <w:pStyle w:val="ListBullet"/>
      </w:pPr>
      <w:r>
        <w:t>Export the dashboard using the tool’s built-in export function, preferably as PDF.</w:t>
      </w:r>
    </w:p>
    <w:p>
      <w:pPr>
        <w:pStyle w:val="ListBullet"/>
      </w:pPr>
      <w:r>
        <w:t>If export is unavailable, capture full-page screenshots showing the URL, timestamp, filters, and all relevant dashboard panels.</w:t>
      </w:r>
    </w:p>
    <w:p>
      <w:pPr>
        <w:pStyle w:val="ListBullet"/>
      </w:pPr>
      <w:r>
        <w:t>Export supporting data tables where available, such as CSV or Excel files for incidents, SLA breaches, vulnerabilities, alerts, or third-party KPIs.</w:t>
      </w:r>
    </w:p>
    <w:p>
      <w:pPr>
        <w:pStyle w:val="ListBullet"/>
      </w:pPr>
      <w:r>
        <w:t>Save the exported dashboard and supporting files using the agreed evidence naming convention.</w:t>
      </w:r>
    </w:p>
    <w:p>
      <w:pPr>
        <w:pStyle w:val="ListBullet"/>
      </w:pPr>
      <w:r>
        <w:t>Record collection details in the evidence register, including collector name, collection date, source system, and reporting period.</w:t>
      </w:r>
    </w:p>
    <w:p>
      <w:pPr>
        <w:pStyle w:val="Heading2"/>
      </w:pPr>
      <w:r>
        <w:t>What To Capture</w:t>
      </w:r>
    </w:p>
    <w:p>
      <w:r>
        <w:t>Capture enough information to show active, complete, and timely monitoring, including:</w:t>
      </w:r>
    </w:p>
    <w:p>
      <w:pPr>
        <w:pStyle w:val="ListBullet"/>
      </w:pPr>
      <w:r>
        <w:t>Dashboard name and source system</w:t>
      </w:r>
    </w:p>
    <w:p>
      <w:pPr>
        <w:pStyle w:val="ListBullet"/>
      </w:pPr>
      <w:r>
        <w:t>Reporting period covered</w:t>
      </w:r>
    </w:p>
    <w:p>
      <w:pPr>
        <w:pStyle w:val="ListBullet"/>
      </w:pPr>
      <w:r>
        <w:t>Date and time of export or screenshot</w:t>
      </w:r>
    </w:p>
    <w:p>
      <w:pPr>
        <w:pStyle w:val="ListBullet"/>
      </w:pPr>
      <w:r>
        <w:t>Last data refresh or ingestion timestamp</w:t>
      </w:r>
    </w:p>
    <w:p>
      <w:pPr>
        <w:pStyle w:val="ListBullet"/>
      </w:pPr>
      <w:r>
        <w:t>Scope filters applied, including entities, services, systems, and providers</w:t>
      </w:r>
    </w:p>
    <w:p>
      <w:pPr>
        <w:pStyle w:val="ListBullet"/>
      </w:pPr>
      <w:r>
        <w:t>ICT control status indicators, such as pass, fail, warning, overdue, or degraded</w:t>
      </w:r>
    </w:p>
    <w:p>
      <w:pPr>
        <w:pStyle w:val="ListBullet"/>
      </w:pPr>
      <w:r>
        <w:t>Security event trends and high-priority alerts</w:t>
      </w:r>
    </w:p>
    <w:p>
      <w:pPr>
        <w:pStyle w:val="ListBullet"/>
      </w:pPr>
      <w:r>
        <w:t>ICT incident volumes, severity, ageing, and unresolved incidents</w:t>
      </w:r>
    </w:p>
    <w:p>
      <w:pPr>
        <w:pStyle w:val="ListBullet"/>
      </w:pPr>
      <w:r>
        <w:t>Vulnerability counts by severity, ageing, and remediation status</w:t>
      </w:r>
    </w:p>
    <w:p>
      <w:pPr>
        <w:pStyle w:val="ListBullet"/>
      </w:pPr>
      <w:r>
        <w:t>Patch or configuration compliance metrics</w:t>
      </w:r>
    </w:p>
    <w:p>
      <w:pPr>
        <w:pStyle w:val="ListBullet"/>
      </w:pPr>
      <w:r>
        <w:t>Backup, recovery, and availability status for critical systems</w:t>
      </w:r>
    </w:p>
    <w:p>
      <w:pPr>
        <w:pStyle w:val="ListBullet"/>
      </w:pPr>
      <w:r>
        <w:t>Service availability and performance metrics</w:t>
      </w:r>
    </w:p>
    <w:p>
      <w:pPr>
        <w:pStyle w:val="ListBullet"/>
      </w:pPr>
      <w:r>
        <w:t>Third-party SLA, KPI, and incident performance</w:t>
      </w:r>
    </w:p>
    <w:p>
      <w:pPr>
        <w:pStyle w:val="ListBullet"/>
      </w:pPr>
      <w:r>
        <w:t>Open actions, overdue remediation, and accountable owners</w:t>
      </w:r>
    </w:p>
    <w:p>
      <w:pPr>
        <w:pStyle w:val="ListBullet"/>
      </w:pPr>
      <w:r>
        <w:t>Exception, breach, or threshold alerts</w:t>
      </w:r>
    </w:p>
    <w:p>
      <w:pPr>
        <w:pStyle w:val="ListBullet"/>
      </w:pPr>
      <w:r>
        <w:t>Links or identifiers for underlying records, tickets, risks, or provider reports</w:t>
      </w:r>
    </w:p>
    <w:p>
      <w:pPr>
        <w:pStyle w:val="Heading2"/>
      </w:pPr>
      <w:r>
        <w:t>Frequency &amp; Owner</w:t>
      </w:r>
    </w:p>
    <w:p>
      <w:pPr>
        <w:pStyle w:val="ListBullet"/>
      </w:pPr>
      <w:r>
        <w:t>Collection frequency: Monthly, or more frequently for critical ICT services and material third-party providers.</w:t>
      </w:r>
    </w:p>
    <w:p>
      <w:pPr>
        <w:pStyle w:val="ListBullet"/>
      </w:pPr>
      <w:r>
        <w:t>Event-driven collection: Also collect after major incidents, material SLA breaches, significant control failures, or regulatory reporting events.</w:t>
      </w:r>
    </w:p>
    <w:p>
      <w:pPr>
        <w:pStyle w:val="ListBullet"/>
      </w:pPr>
      <w:r>
        <w:t>Evidence owner: [ICT Risk / Operational Resilience Owner].</w:t>
      </w:r>
    </w:p>
    <w:p>
      <w:pPr>
        <w:pStyle w:val="ListBullet"/>
      </w:pPr>
      <w:r>
        <w:t>Collection operator: [SOC / IT Operations / GRC Analyst / TPRM Analyst].</w:t>
      </w:r>
    </w:p>
    <w:p>
      <w:pPr>
        <w:pStyle w:val="ListBullet"/>
      </w:pPr>
      <w:r>
        <w:t>Review owner: [Head of ICT Risk / CISO / Operational Resilience Lead].</w:t>
      </w:r>
    </w:p>
    <w:p>
      <w:pPr>
        <w:pStyle w:val="Heading2"/>
      </w:pPr>
      <w:r>
        <w:t>Retention &amp; Storage</w:t>
      </w:r>
    </w:p>
    <w:p>
      <w:r>
        <w:t>Store the exported dashboard and supporting data in [Evidence Repository / GRC Tool / Document Management System]. Retain evidence for [Retention Period] in line with regulatory, audit, and internal recordkeeping requirements.</w:t>
      </w:r>
    </w:p>
    <w:p>
      <w:r>
        <w:t>Storage must preserve integrity and traceability. Use access controls, version history, immutable storage where available, and a consistent naming convention such as:</w:t>
      </w:r>
    </w:p>
    <w:p>
      <w:pPr>
        <w:pStyle w:val="ListBullet"/>
      </w:pPr>
      <w:r>
        <w:t>[YYYY-MM]_[Dashboard Name]_[Reporting Period]_[Source System]_Export.pdf</w:t>
      </w:r>
    </w:p>
    <w:p>
      <w:pPr>
        <w:pStyle w:val="ListBullet"/>
      </w:pPr>
      <w:r>
        <w:t>[YYYY-MM]_[Metric Type]_[Source System]_SupportingData.csv</w:t>
      </w:r>
    </w:p>
    <w:p>
      <w:r>
        <w:t>Do not overwrite previous dashboard exports.</w:t>
      </w:r>
    </w:p>
    <w:p>
      <w:pPr>
        <w:pStyle w:val="Heading2"/>
      </w:pPr>
      <w:r>
        <w:t>Acceptance Criteria</w:t>
      </w:r>
    </w:p>
    <w:p>
      <w:r>
        <w:t>An auditor will usually accept the evidence as sufficient where it:</w:t>
      </w:r>
    </w:p>
    <w:p>
      <w:pPr>
        <w:pStyle w:val="ListBullet"/>
      </w:pPr>
      <w:r>
        <w:t>Is exported or captured directly from an operational system, not manually recreated</w:t>
      </w:r>
    </w:p>
    <w:p>
      <w:pPr>
        <w:pStyle w:val="ListBullet"/>
      </w:pPr>
      <w:r>
        <w:t>Shows the dashboard source, date, reporting period, scope, and refresh timestamp</w:t>
      </w:r>
    </w:p>
    <w:p>
      <w:pPr>
        <w:pStyle w:val="ListBullet"/>
      </w:pPr>
      <w:r>
        <w:t>Covers relevant ICT controls, critical systems, and material third-party providers</w:t>
      </w:r>
    </w:p>
    <w:p>
      <w:pPr>
        <w:pStyle w:val="ListBullet"/>
      </w:pPr>
      <w:r>
        <w:t>Includes clear metrics, thresholds, exceptions, and status indicators</w:t>
      </w:r>
    </w:p>
    <w:p>
      <w:pPr>
        <w:pStyle w:val="ListBullet"/>
      </w:pPr>
      <w:r>
        <w:t>Shows unresolved issues, overdue actions, incidents, vulnerabilities, and SLA breaches</w:t>
      </w:r>
    </w:p>
    <w:p>
      <w:pPr>
        <w:pStyle w:val="ListBullet"/>
      </w:pPr>
      <w:r>
        <w:t>Provides traceability to underlying tickets, alerts, risks, or provider records</w:t>
      </w:r>
    </w:p>
    <w:p>
      <w:pPr>
        <w:pStyle w:val="ListBullet"/>
      </w:pPr>
      <w:r>
        <w:t>Demonstrates periodic monitoring over time, not a one-off snapshot</w:t>
      </w:r>
    </w:p>
    <w:p>
      <w:pPr>
        <w:pStyle w:val="ListBullet"/>
      </w:pPr>
      <w:r>
        <w:t>Is retained in a controlled repository with collection and ownership details</w:t>
      </w:r>
    </w:p>
    <w:p>
      <w:pPr>
        <w:pStyle w:val="ListBullet"/>
      </w:pPr>
      <w:r>
        <w:t>Matches the organisation’s defined monitoring scope and operational resilience obligations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