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Anonymisation / Pseudonymisation Standard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Data Protection Officer</w:t>
            </w:r>
          </w:p>
        </w:tc>
        <w:tc>
          <w:tcPr>
            <w:tcW w:type="dxa" w:w="1440"/>
          </w:tcPr>
          <w:p>
            <w:r>
              <w:t>[Effective Date]</w:t>
            </w:r>
          </w:p>
        </w:tc>
        <w:tc>
          <w:tcPr>
            <w:tcW w:type="dxa" w:w="1440"/>
          </w:tcPr>
          <w:p>
            <w:r>
              <w:t>GDPR</w:t>
            </w:r>
          </w:p>
        </w:tc>
        <w:tc>
          <w:tcPr>
            <w:tcW w:type="dxa" w:w="1440"/>
          </w:tcPr>
          <w:p>
            <w:r>
              <w:t>Internal</w:t>
            </w:r>
          </w:p>
        </w:tc>
      </w:tr>
    </w:tbl>
    <w:p>
      <w:pPr>
        <w:pStyle w:val="Heading2"/>
      </w:pPr>
      <w:r>
        <w:t>Purpose</w:t>
      </w:r>
    </w:p>
    <w:p>
      <w:r>
        <w:t>This procedure defines the required steps for applying anonymisation and pseudonymisation to personal data handled by [Organisation Name]. It supports privacy by design, data minimisation, secure processing, and controlled use of personal data for analytics, testing, research, reporting, product development, security monitoring, and operational processing.</w:t>
      </w:r>
    </w:p>
    <w:p>
      <w:r>
        <w:t>The procedure ensures that:</w:t>
      </w:r>
    </w:p>
    <w:p>
      <w:pPr>
        <w:pStyle w:val="ListBullet"/>
      </w:pPr>
      <w:r>
        <w:t>Personal data is transformed using appropriate technical and organisational measures before use or sharing where direct identification is not necessary.</w:t>
      </w:r>
    </w:p>
    <w:p>
      <w:pPr>
        <w:pStyle w:val="ListBullet"/>
      </w:pPr>
      <w:r>
        <w:t>Pseudonymised data remains protected as personal data.</w:t>
      </w:r>
    </w:p>
    <w:p>
      <w:pPr>
        <w:pStyle w:val="ListBullet"/>
      </w:pPr>
      <w:r>
        <w:t>Anonymised data is only treated as non-personal data where re-identification is not reasonably likely.</w:t>
      </w:r>
    </w:p>
    <w:p>
      <w:pPr>
        <w:pStyle w:val="ListBullet"/>
      </w:pPr>
      <w:r>
        <w:t>Transformation methods are documented, tested, approved, and periodically reviewed.</w:t>
      </w:r>
    </w:p>
    <w:p>
      <w:pPr>
        <w:pStyle w:val="ListBullet"/>
      </w:pPr>
      <w:r>
        <w:t>Re-identification risks, key management practices, access controls, and recipient obligations are properly managed.</w:t>
      </w:r>
    </w:p>
    <w:p>
      <w:pPr>
        <w:pStyle w:val="Heading2"/>
      </w:pPr>
      <w:r>
        <w:t>Scope</w:t>
      </w:r>
    </w:p>
    <w:p>
      <w:r>
        <w:t>This procedure applies to all employees, contractors, temporary staff, service providers, and third parties who process personal data on behalf of [Organisation Name].</w:t>
      </w:r>
    </w:p>
    <w:p>
      <w:r>
        <w:t>It applies to:</w:t>
      </w:r>
    </w:p>
    <w:p>
      <w:pPr>
        <w:pStyle w:val="ListBullet"/>
      </w:pPr>
      <w:r>
        <w:t>Customer, employee, supplier, partner, user, patient, applicant, visitor, and stakeholder personal data.</w:t>
      </w:r>
    </w:p>
    <w:p>
      <w:pPr>
        <w:pStyle w:val="ListBullet"/>
      </w:pPr>
      <w:r>
        <w:t>Structured data, including databases, spreadsheets, data warehouses, logs, exports, and reporting datasets.</w:t>
      </w:r>
    </w:p>
    <w:p>
      <w:pPr>
        <w:pStyle w:val="ListBullet"/>
      </w:pPr>
      <w:r>
        <w:t>Unstructured and semi-structured data, including documents, images, transcripts, free-text fields, emails, chat records, voice recordings, and application telemetry.</w:t>
      </w:r>
    </w:p>
    <w:p>
      <w:pPr>
        <w:pStyle w:val="ListBullet"/>
      </w:pPr>
      <w:r>
        <w:t>Production, non-production, analytics, testing, development, research, training, and reporting environments.</w:t>
      </w:r>
    </w:p>
    <w:p>
      <w:pPr>
        <w:pStyle w:val="ListBullet"/>
      </w:pPr>
      <w:r>
        <w:t>Internal transfers and external disclosures of datasets.</w:t>
      </w:r>
    </w:p>
    <w:p>
      <w:pPr>
        <w:pStyle w:val="ListBullet"/>
      </w:pPr>
      <w:r>
        <w:t>Manual and automated anonymisation or pseudonymisation processes.</w:t>
      </w:r>
    </w:p>
    <w:p>
      <w:r>
        <w:t>This procedure does not apply to data that never relates to an identified or identifiable natural person. However, where there is uncertainty, the dataset must be treated as personal data until the Data Protection Officer or Privacy Team confirms otherwise.</w:t>
      </w:r>
    </w:p>
    <w:p>
      <w:r>
        <w:t>For this procedure:</w:t>
      </w:r>
    </w:p>
    <w:p>
      <w:pPr>
        <w:pStyle w:val="ListBullet"/>
      </w:pPr>
      <w:r>
        <w:t>Anonymisation means transforming personal data so individuals are no longer identifiable by any party using means reasonably likely to be available, including by combining the data with other information.</w:t>
      </w:r>
    </w:p>
    <w:p>
      <w:pPr>
        <w:pStyle w:val="ListBullet"/>
      </w:pPr>
      <w:r>
        <w:t>Pseudonymisation means replacing or separating direct identifiers so individuals cannot be identified without additional information, such as a lookup table, token vault, encryption key, or mapping file.</w:t>
      </w:r>
    </w:p>
    <w:p>
      <w:pPr>
        <w:pStyle w:val="ListBullet"/>
      </w:pPr>
      <w:r>
        <w:t>De-identification is a general term covering techniques that reduce identifiability, including anonymisation and pseudonymisation.</w:t>
      </w:r>
    </w:p>
    <w:p>
      <w:pPr>
        <w:pStyle w:val="ListBullet"/>
      </w:pPr>
      <w:r>
        <w:t>Re-identification means any process that links de-identified data back to an individual.</w:t>
      </w:r>
    </w:p>
    <w:p>
      <w:pPr>
        <w:pStyle w:val="Heading2"/>
      </w:pPr>
      <w:r>
        <w:t>Prerequisites &amp; Inputs</w:t>
      </w:r>
    </w:p>
    <w:p>
      <w:r>
        <w:t>Before anonymisation or pseudonymisation begins, the request owner must ensure the following prerequisites and inputs are available.</w:t>
      </w:r>
    </w:p>
    <w:tbl>
      <w:tblPr>
        <w:tblStyle w:val="TableGrid"/>
        <w:tblW w:type="auto" w:w="0"/>
        <w:tblLook w:firstColumn="1" w:firstRow="1" w:lastColumn="0" w:lastRow="0" w:noHBand="0" w:noVBand="1" w:val="04A0"/>
      </w:tblPr>
      <w:tblGrid>
        <w:gridCol w:w="2880"/>
        <w:gridCol w:w="2880"/>
        <w:gridCol w:w="2880"/>
      </w:tblGrid>
      <w:tr>
        <w:tc>
          <w:tcPr>
            <w:tcW w:type="dxa" w:w="2880"/>
          </w:tcPr>
          <w:p>
            <w:r>
              <w:t>Prerequisite / Input</w:t>
            </w:r>
          </w:p>
        </w:tc>
        <w:tc>
          <w:tcPr>
            <w:tcW w:type="dxa" w:w="2880"/>
          </w:tcPr>
          <w:p>
            <w:r>
              <w:t>Description</w:t>
            </w:r>
          </w:p>
        </w:tc>
        <w:tc>
          <w:tcPr>
            <w:tcW w:type="dxa" w:w="2880"/>
          </w:tcPr>
          <w:p>
            <w:r>
              <w:t>Responsible Role</w:t>
            </w:r>
          </w:p>
        </w:tc>
      </w:tr>
      <w:tr>
        <w:tc>
          <w:tcPr>
            <w:tcW w:type="dxa" w:w="2880"/>
          </w:tcPr>
          <w:p>
            <w:r>
              <w:t>Approved business purpose</w:t>
            </w:r>
          </w:p>
        </w:tc>
        <w:tc>
          <w:tcPr>
            <w:tcW w:type="dxa" w:w="2880"/>
          </w:tcPr>
          <w:p>
            <w:r>
              <w:t>Clear explanation of why the data is needed and why identifiable data is not required, or why pseudonymised data is sufficient.</w:t>
            </w:r>
          </w:p>
        </w:tc>
        <w:tc>
          <w:tcPr>
            <w:tcW w:type="dxa" w:w="2880"/>
          </w:tcPr>
          <w:p>
            <w:r>
              <w:t>Request Owner</w:t>
            </w:r>
          </w:p>
        </w:tc>
      </w:tr>
      <w:tr>
        <w:tc>
          <w:tcPr>
            <w:tcW w:type="dxa" w:w="2880"/>
          </w:tcPr>
          <w:p>
            <w:r>
              <w:t>Dataset inventory</w:t>
            </w:r>
          </w:p>
        </w:tc>
        <w:tc>
          <w:tcPr>
            <w:tcW w:type="dxa" w:w="2880"/>
          </w:tcPr>
          <w:p>
            <w:r>
              <w:t>Description of data sources, data fields, formats, volumes, locations, retention period, and planned recipients.</w:t>
            </w:r>
          </w:p>
        </w:tc>
        <w:tc>
          <w:tcPr>
            <w:tcW w:type="dxa" w:w="2880"/>
          </w:tcPr>
          <w:p>
            <w:r>
              <w:t>Data Owner</w:t>
            </w:r>
          </w:p>
        </w:tc>
      </w:tr>
      <w:tr>
        <w:tc>
          <w:tcPr>
            <w:tcW w:type="dxa" w:w="2880"/>
          </w:tcPr>
          <w:p>
            <w:r>
              <w:t>Data classification</w:t>
            </w:r>
          </w:p>
        </w:tc>
        <w:tc>
          <w:tcPr>
            <w:tcW w:type="dxa" w:w="2880"/>
          </w:tcPr>
          <w:p>
            <w:r>
              <w:t>Confirmation of whether the dataset contains personal data, special category data, criminal offence data, children’s data, employee data, financial data, location data, or other high-risk data.</w:t>
            </w:r>
          </w:p>
        </w:tc>
        <w:tc>
          <w:tcPr>
            <w:tcW w:type="dxa" w:w="2880"/>
          </w:tcPr>
          <w:p>
            <w:r>
              <w:t>Data Owner</w:t>
            </w:r>
          </w:p>
        </w:tc>
      </w:tr>
      <w:tr>
        <w:tc>
          <w:tcPr>
            <w:tcW w:type="dxa" w:w="2880"/>
          </w:tcPr>
          <w:p>
            <w:r>
              <w:t>Lawful processing confirmation</w:t>
            </w:r>
          </w:p>
        </w:tc>
        <w:tc>
          <w:tcPr>
            <w:tcW w:type="dxa" w:w="2880"/>
          </w:tcPr>
          <w:p>
            <w:r>
              <w:t>Confirmation that the proposed processing activity has a valid basis and aligns with privacy notices, records of processing, and internal approvals.</w:t>
            </w:r>
          </w:p>
        </w:tc>
        <w:tc>
          <w:tcPr>
            <w:tcW w:type="dxa" w:w="2880"/>
          </w:tcPr>
          <w:p>
            <w:r>
              <w:t>Privacy Team</w:t>
            </w:r>
          </w:p>
        </w:tc>
      </w:tr>
      <w:tr>
        <w:tc>
          <w:tcPr>
            <w:tcW w:type="dxa" w:w="2880"/>
          </w:tcPr>
          <w:p>
            <w:r>
              <w:t>Risk assessment</w:t>
            </w:r>
          </w:p>
        </w:tc>
        <w:tc>
          <w:tcPr>
            <w:tcW w:type="dxa" w:w="2880"/>
          </w:tcPr>
          <w:p>
            <w:r>
              <w:t>Assessment of re-identification risk, potential harm to individuals, and security impact.</w:t>
            </w:r>
          </w:p>
        </w:tc>
        <w:tc>
          <w:tcPr>
            <w:tcW w:type="dxa" w:w="2880"/>
          </w:tcPr>
          <w:p>
            <w:r>
              <w:t>Privacy Team / Information Security</w:t>
            </w:r>
          </w:p>
        </w:tc>
      </w:tr>
      <w:tr>
        <w:tc>
          <w:tcPr>
            <w:tcW w:type="dxa" w:w="2880"/>
          </w:tcPr>
          <w:p>
            <w:r>
              <w:t>Data protection impact assessment, where required</w:t>
            </w:r>
          </w:p>
        </w:tc>
        <w:tc>
          <w:tcPr>
            <w:tcW w:type="dxa" w:w="2880"/>
          </w:tcPr>
          <w:p>
            <w:r>
              <w:t>Completed or updated assessment for processing likely to create high risk for individuals.</w:t>
            </w:r>
          </w:p>
        </w:tc>
        <w:tc>
          <w:tcPr>
            <w:tcW w:type="dxa" w:w="2880"/>
          </w:tcPr>
          <w:p>
            <w:r>
              <w:t>Privacy Team</w:t>
            </w:r>
          </w:p>
        </w:tc>
      </w:tr>
      <w:tr>
        <w:tc>
          <w:tcPr>
            <w:tcW w:type="dxa" w:w="2880"/>
          </w:tcPr>
          <w:p>
            <w:r>
              <w:t>Technical design</w:t>
            </w:r>
          </w:p>
        </w:tc>
        <w:tc>
          <w:tcPr>
            <w:tcW w:type="dxa" w:w="2880"/>
          </w:tcPr>
          <w:p>
            <w:r>
              <w:t>Proposed anonymisation or pseudonymisation method, tools, algorithms, parameters, key management approach, and validation method.</w:t>
            </w:r>
          </w:p>
        </w:tc>
        <w:tc>
          <w:tcPr>
            <w:tcW w:type="dxa" w:w="2880"/>
          </w:tcPr>
          <w:p>
            <w:r>
              <w:t>Technical Owner</w:t>
            </w:r>
          </w:p>
        </w:tc>
      </w:tr>
      <w:tr>
        <w:tc>
          <w:tcPr>
            <w:tcW w:type="dxa" w:w="2880"/>
          </w:tcPr>
          <w:p>
            <w:r>
              <w:t>Access model</w:t>
            </w:r>
          </w:p>
        </w:tc>
        <w:tc>
          <w:tcPr>
            <w:tcW w:type="dxa" w:w="2880"/>
          </w:tcPr>
          <w:p>
            <w:r>
              <w:t>Defined users, roles, systems, service accounts, privileged access, and segregation requirements.</w:t>
            </w:r>
          </w:p>
        </w:tc>
        <w:tc>
          <w:tcPr>
            <w:tcW w:type="dxa" w:w="2880"/>
          </w:tcPr>
          <w:p>
            <w:r>
              <w:t>System Owner</w:t>
            </w:r>
          </w:p>
        </w:tc>
      </w:tr>
      <w:tr>
        <w:tc>
          <w:tcPr>
            <w:tcW w:type="dxa" w:w="2880"/>
          </w:tcPr>
          <w:p>
            <w:r>
              <w:t>Recipient assessment</w:t>
            </w:r>
          </w:p>
        </w:tc>
        <w:tc>
          <w:tcPr>
            <w:tcW w:type="dxa" w:w="2880"/>
          </w:tcPr>
          <w:p>
            <w:r>
              <w:t>Assessment of internal or external recipients, onward sharing restrictions, contractual controls, and transfer arrangements where applicable.</w:t>
            </w:r>
          </w:p>
        </w:tc>
        <w:tc>
          <w:tcPr>
            <w:tcW w:type="dxa" w:w="2880"/>
          </w:tcPr>
          <w:p>
            <w:r>
              <w:t>Data Owner / Legal</w:t>
            </w:r>
          </w:p>
        </w:tc>
      </w:tr>
      <w:tr>
        <w:tc>
          <w:tcPr>
            <w:tcW w:type="dxa" w:w="2880"/>
          </w:tcPr>
          <w:p>
            <w:r>
              <w:t>Retention requirements</w:t>
            </w:r>
          </w:p>
        </w:tc>
        <w:tc>
          <w:tcPr>
            <w:tcW w:type="dxa" w:w="2880"/>
          </w:tcPr>
          <w:p>
            <w:r>
              <w:t>Defined retention period for source data, transformed data, mapping files, keys, logs, and derived outputs.</w:t>
            </w:r>
          </w:p>
        </w:tc>
        <w:tc>
          <w:tcPr>
            <w:tcW w:type="dxa" w:w="2880"/>
          </w:tcPr>
          <w:p>
            <w:r>
              <w:t>Data Owner</w:t>
            </w:r>
          </w:p>
        </w:tc>
      </w:tr>
      <w:tr>
        <w:tc>
          <w:tcPr>
            <w:tcW w:type="dxa" w:w="2880"/>
          </w:tcPr>
          <w:p>
            <w:r>
              <w:t>Testing environment approval</w:t>
            </w:r>
          </w:p>
        </w:tc>
        <w:tc>
          <w:tcPr>
            <w:tcW w:type="dxa" w:w="2880"/>
          </w:tcPr>
          <w:p>
            <w:r>
              <w:t>Confirmation that non-production data handling requirements are met before transformed data is used in development or testing.</w:t>
            </w:r>
          </w:p>
        </w:tc>
        <w:tc>
          <w:tcPr>
            <w:tcW w:type="dxa" w:w="2880"/>
          </w:tcPr>
          <w:p>
            <w:r>
              <w:t>Information Security</w:t>
            </w:r>
          </w:p>
        </w:tc>
      </w:tr>
      <w:tr>
        <w:tc>
          <w:tcPr>
            <w:tcW w:type="dxa" w:w="2880"/>
          </w:tcPr>
          <w:p>
            <w:r>
              <w:t>Change approval, where applicable</w:t>
            </w:r>
          </w:p>
        </w:tc>
        <w:tc>
          <w:tcPr>
            <w:tcW w:type="dxa" w:w="2880"/>
          </w:tcPr>
          <w:p>
            <w:r>
              <w:t>Approval for new tools, scripts, pipelines, or recurring transformation processes.</w:t>
            </w:r>
          </w:p>
        </w:tc>
        <w:tc>
          <w:tcPr>
            <w:tcW w:type="dxa" w:w="2880"/>
          </w:tcPr>
          <w:p>
            <w:r>
              <w:t>Change Manager</w:t>
            </w:r>
          </w:p>
        </w:tc>
      </w:tr>
    </w:tbl>
    <w:p>
      <w:r>
        <w:t>The following must be completed before implementation:</w:t>
      </w:r>
    </w:p>
    <w:p>
      <w:pPr>
        <w:pStyle w:val="ListBullet"/>
      </w:pPr>
      <w:r>
        <w:t>Confirm whether the intended outcome is anonymisation or pseudonymisation.</w:t>
      </w:r>
    </w:p>
    <w:p>
      <w:pPr>
        <w:pStyle w:val="ListBullet"/>
      </w:pPr>
      <w:r>
        <w:t>Identify all direct and indirect identifiers.</w:t>
      </w:r>
    </w:p>
    <w:p>
      <w:pPr>
        <w:pStyle w:val="ListBullet"/>
      </w:pPr>
      <w:r>
        <w:t>Identify all parties that may receive or access the transformed dataset.</w:t>
      </w:r>
    </w:p>
    <w:p>
      <w:pPr>
        <w:pStyle w:val="ListBullet"/>
      </w:pPr>
      <w:r>
        <w:t>Determine whether those parties have access to other datasets that could assist re-identification.</w:t>
      </w:r>
    </w:p>
    <w:p>
      <w:pPr>
        <w:pStyle w:val="ListBullet"/>
      </w:pPr>
      <w:r>
        <w:t>Select transformation techniques appropriate to the sensitivity, context, volume, and intended use of the data.</w:t>
      </w:r>
    </w:p>
    <w:p>
      <w:pPr>
        <w:pStyle w:val="ListBullet"/>
      </w:pPr>
      <w:r>
        <w:t>Define how success will be validated and recorded.</w:t>
      </w:r>
    </w:p>
    <w:p>
      <w:pPr>
        <w:pStyle w:val="ListBullet"/>
      </w:pPr>
      <w:r>
        <w:t>Obtain required approvals before releasing the transformed dataset.</w:t>
      </w:r>
    </w:p>
    <w:p>
      <w:pPr>
        <w:pStyle w:val="Heading2"/>
      </w:pPr>
      <w:r>
        <w:t>Step-by-Step Procedure (numbered)</w:t>
      </w:r>
    </w:p>
    <w:p>
      <w:pPr>
        <w:pStyle w:val="ListBullet"/>
      </w:pPr>
      <w:r>
        <w:t>Initiate the de-identification request</w:t>
      </w:r>
    </w:p>
    <w:p>
      <w:r>
        <w:t>The request owner must submit a de-identification request using [Request System/Form Name] before personal data is anonymised, pseudonymised, exported, shared, or used in a new context.</w:t>
      </w:r>
    </w:p>
    <w:p>
      <w:r>
        <w:t>The request must include:</w:t>
      </w:r>
    </w:p>
    <w:p>
      <w:pPr>
        <w:pStyle w:val="ListBullet"/>
      </w:pPr>
      <w:r>
        <w:t>Business purpose.</w:t>
      </w:r>
    </w:p>
    <w:p>
      <w:pPr>
        <w:pStyle w:val="ListBullet"/>
      </w:pPr>
      <w:r>
        <w:t>Dataset name and source system.</w:t>
      </w:r>
    </w:p>
    <w:p>
      <w:pPr>
        <w:pStyle w:val="ListBullet"/>
      </w:pPr>
      <w:r>
        <w:t>Data fields requested.</w:t>
      </w:r>
    </w:p>
    <w:p>
      <w:pPr>
        <w:pStyle w:val="ListBullet"/>
      </w:pPr>
      <w:r>
        <w:t>Intended users and recipients.</w:t>
      </w:r>
    </w:p>
    <w:p>
      <w:pPr>
        <w:pStyle w:val="ListBullet"/>
      </w:pPr>
      <w:r>
        <w:t>Intended environment, such as production analytics, development, testing, reporting, research, or external sharing.</w:t>
      </w:r>
    </w:p>
    <w:p>
      <w:pPr>
        <w:pStyle w:val="ListBullet"/>
      </w:pPr>
      <w:r>
        <w:t>Whether anonymisation or pseudonymisation is requested.</w:t>
      </w:r>
    </w:p>
    <w:p>
      <w:pPr>
        <w:pStyle w:val="ListBullet"/>
      </w:pPr>
      <w:r>
        <w:t>Expected frequency, such as one-off extract, recurring feed, API, batch job, or dashboard.</w:t>
      </w:r>
    </w:p>
    <w:p>
      <w:pPr>
        <w:pStyle w:val="ListBullet"/>
      </w:pPr>
      <w:r>
        <w:t>Retention period.</w:t>
      </w:r>
    </w:p>
    <w:p>
      <w:pPr>
        <w:pStyle w:val="ListBullet"/>
      </w:pPr>
      <w:r>
        <w:t>Security requirements and any known constraints.</w:t>
      </w:r>
    </w:p>
    <w:p>
      <w:pPr>
        <w:pStyle w:val="ListBullet"/>
      </w:pPr>
      <w:r>
        <w:t>Confirm necessity and minimise the dataset</w:t>
      </w:r>
    </w:p>
    <w:p>
      <w:r>
        <w:t>The Data Owner must review the request and confirm that each requested field is necessary for the stated purpose.</w:t>
      </w:r>
    </w:p>
    <w:p>
      <w:r>
        <w:t>The Data Owner must:</w:t>
      </w:r>
    </w:p>
    <w:p>
      <w:pPr>
        <w:pStyle w:val="ListBullet"/>
      </w:pPr>
      <w:r>
        <w:t>Remove fields that are not required.</w:t>
      </w:r>
    </w:p>
    <w:p>
      <w:pPr>
        <w:pStyle w:val="ListBullet"/>
      </w:pPr>
      <w:r>
        <w:t>Reduce the dataset to the minimum time period, population, geography, or transaction range required.</w:t>
      </w:r>
    </w:p>
    <w:p>
      <w:pPr>
        <w:pStyle w:val="ListBullet"/>
      </w:pPr>
      <w:r>
        <w:t>Use aggregated data where individual-level records are not necessary.</w:t>
      </w:r>
    </w:p>
    <w:p>
      <w:pPr>
        <w:pStyle w:val="ListBullet"/>
      </w:pPr>
      <w:r>
        <w:t>Avoid including free-text fields unless reviewed and justified.</w:t>
      </w:r>
    </w:p>
    <w:p>
      <w:pPr>
        <w:pStyle w:val="ListBullet"/>
      </w:pPr>
      <w:r>
        <w:t>Avoid including special category data unless specifically required and approved.</w:t>
      </w:r>
    </w:p>
    <w:p>
      <w:pPr>
        <w:pStyle w:val="ListBullet"/>
      </w:pPr>
      <w:r>
        <w:t>Confirm that the transformed dataset will not be used for incompatible purposes.</w:t>
      </w:r>
    </w:p>
    <w:p>
      <w:r>
        <w:t>Where the purpose can be achieved without personal data, anonymisation must be preferred over pseudonymisation.</w:t>
      </w:r>
    </w:p>
    <w:p>
      <w:pPr>
        <w:pStyle w:val="ListBullet"/>
      </w:pPr>
      <w:r>
        <w:t>Identify direct, indirect, and contextual identifiers</w:t>
      </w:r>
    </w:p>
    <w:p>
      <w:r>
        <w:t>The Technical Owner, with support from the Privacy Team and Data Owner, must classify dataset fields as direct identifiers, indirect identifiers, sensitive attributes, operational attributes, or non-identifying attributes.</w:t>
      </w:r>
    </w:p>
    <w:p>
      <w:r>
        <w:t>Examples include:</w:t>
      </w:r>
    </w:p>
    <w:tbl>
      <w:tblPr>
        <w:tblStyle w:val="TableGrid"/>
        <w:tblW w:type="auto" w:w="0"/>
        <w:tblLook w:firstColumn="1" w:firstRow="1" w:lastColumn="0" w:lastRow="0" w:noHBand="0" w:noVBand="1" w:val="04A0"/>
      </w:tblPr>
      <w:tblGrid>
        <w:gridCol w:w="2880"/>
        <w:gridCol w:w="2880"/>
        <w:gridCol w:w="2880"/>
      </w:tblGrid>
      <w:tr>
        <w:tc>
          <w:tcPr>
            <w:tcW w:type="dxa" w:w="2880"/>
          </w:tcPr>
          <w:p>
            <w:r>
              <w:t>Identifier Type</w:t>
            </w:r>
          </w:p>
        </w:tc>
        <w:tc>
          <w:tcPr>
            <w:tcW w:type="dxa" w:w="2880"/>
          </w:tcPr>
          <w:p>
            <w:r>
              <w:t>Examples</w:t>
            </w:r>
          </w:p>
        </w:tc>
        <w:tc>
          <w:tcPr>
            <w:tcW w:type="dxa" w:w="2880"/>
          </w:tcPr>
          <w:p>
            <w:r>
              <w:t>Required Action</w:t>
            </w:r>
          </w:p>
        </w:tc>
      </w:tr>
      <w:tr>
        <w:tc>
          <w:tcPr>
            <w:tcW w:type="dxa" w:w="2880"/>
          </w:tcPr>
          <w:p>
            <w:r>
              <w:t>Direct identifiers</w:t>
            </w:r>
          </w:p>
        </w:tc>
        <w:tc>
          <w:tcPr>
            <w:tcW w:type="dxa" w:w="2880"/>
          </w:tcPr>
          <w:p>
            <w:r>
              <w:t>Name, email address, phone number, national identifier, employee ID, customer ID, account number, device ID, IP address where it identifies a user</w:t>
            </w:r>
          </w:p>
        </w:tc>
        <w:tc>
          <w:tcPr>
            <w:tcW w:type="dxa" w:w="2880"/>
          </w:tcPr>
          <w:p>
            <w:r>
              <w:t>Remove, mask, encrypt, tokenize, or replace depending on purpose</w:t>
            </w:r>
          </w:p>
        </w:tc>
      </w:tr>
      <w:tr>
        <w:tc>
          <w:tcPr>
            <w:tcW w:type="dxa" w:w="2880"/>
          </w:tcPr>
          <w:p>
            <w:r>
              <w:t>Indirect identifiers</w:t>
            </w:r>
          </w:p>
        </w:tc>
        <w:tc>
          <w:tcPr>
            <w:tcW w:type="dxa" w:w="2880"/>
          </w:tcPr>
          <w:p>
            <w:r>
              <w:t>Date of birth, postcode, job title, department, location, rare condition, timestamps, salary band, transaction pattern</w:t>
            </w:r>
          </w:p>
        </w:tc>
        <w:tc>
          <w:tcPr>
            <w:tcW w:type="dxa" w:w="2880"/>
          </w:tcPr>
          <w:p>
            <w:r>
              <w:t>Generalise, suppress, perturb, bucket, aggregate, or otherwise reduce uniqueness</w:t>
            </w:r>
          </w:p>
        </w:tc>
      </w:tr>
      <w:tr>
        <w:tc>
          <w:tcPr>
            <w:tcW w:type="dxa" w:w="2880"/>
          </w:tcPr>
          <w:p>
            <w:r>
              <w:t>Sensitive attributes</w:t>
            </w:r>
          </w:p>
        </w:tc>
        <w:tc>
          <w:tcPr>
            <w:tcW w:type="dxa" w:w="2880"/>
          </w:tcPr>
          <w:p>
            <w:r>
              <w:t>Health data, ethnicity, biometric data, political opinions, union membership, religious beliefs, sexual orientation, criminal history</w:t>
            </w:r>
          </w:p>
        </w:tc>
        <w:tc>
          <w:tcPr>
            <w:tcW w:type="dxa" w:w="2880"/>
          </w:tcPr>
          <w:p>
            <w:r>
              <w:t>Apply heightened review and protection; include only where strictly necessary</w:t>
            </w:r>
          </w:p>
        </w:tc>
      </w:tr>
      <w:tr>
        <w:tc>
          <w:tcPr>
            <w:tcW w:type="dxa" w:w="2880"/>
          </w:tcPr>
          <w:p>
            <w:r>
              <w:t>Linkage attributes</w:t>
            </w:r>
          </w:p>
        </w:tc>
        <w:tc>
          <w:tcPr>
            <w:tcW w:type="dxa" w:w="2880"/>
          </w:tcPr>
          <w:p>
            <w:r>
              <w:t>Persistent tokens, household IDs, transaction IDs, session IDs, correlation IDs</w:t>
            </w:r>
          </w:p>
        </w:tc>
        <w:tc>
          <w:tcPr>
            <w:tcW w:type="dxa" w:w="2880"/>
          </w:tcPr>
          <w:p>
            <w:r>
              <w:t>Assess whether they enable linking back to an individual</w:t>
            </w:r>
          </w:p>
        </w:tc>
      </w:tr>
      <w:tr>
        <w:tc>
          <w:tcPr>
            <w:tcW w:type="dxa" w:w="2880"/>
          </w:tcPr>
          <w:p>
            <w:r>
              <w:t>Free-text or media fields</w:t>
            </w:r>
          </w:p>
        </w:tc>
        <w:tc>
          <w:tcPr>
            <w:tcW w:type="dxa" w:w="2880"/>
          </w:tcPr>
          <w:p>
            <w:r>
              <w:t>Notes, comments, chat logs, call transcripts, images, scanned documents, audio</w:t>
            </w:r>
          </w:p>
        </w:tc>
        <w:tc>
          <w:tcPr>
            <w:tcW w:type="dxa" w:w="2880"/>
          </w:tcPr>
          <w:p>
            <w:r>
              <w:t>Review using approved redaction or extraction tools before use</w:t>
            </w:r>
          </w:p>
        </w:tc>
      </w:tr>
    </w:tbl>
    <w:p>
      <w:pPr>
        <w:pStyle w:val="ListBullet"/>
      </w:pPr>
      <w:r>
        <w:t>Determine target state: anonymisation or pseudonymisation</w:t>
      </w:r>
    </w:p>
    <w:p>
      <w:r>
        <w:t>The Privacy Team must confirm whether the requested processing requires anonymisation or pseudonymisation.</w:t>
      </w:r>
    </w:p>
    <w:p>
      <w:r>
        <w:t>Use anonymisation where:</w:t>
      </w:r>
    </w:p>
    <w:p>
      <w:pPr>
        <w:pStyle w:val="ListBullet"/>
      </w:pPr>
      <w:r>
        <w:t>Individual-level identification is not required.</w:t>
      </w:r>
    </w:p>
    <w:p>
      <w:pPr>
        <w:pStyle w:val="ListBullet"/>
      </w:pPr>
      <w:r>
        <w:t>The organisation does not need to re-link records to individuals.</w:t>
      </w:r>
    </w:p>
    <w:p>
      <w:pPr>
        <w:pStyle w:val="ListBullet"/>
      </w:pPr>
      <w:r>
        <w:t>The dataset will be published, externally shared, used for broad analytics, or retained for long-term statistical purposes.</w:t>
      </w:r>
    </w:p>
    <w:p>
      <w:pPr>
        <w:pStyle w:val="ListBullet"/>
      </w:pPr>
      <w:r>
        <w:t>The recipient does not need identity restoration.</w:t>
      </w:r>
    </w:p>
    <w:p>
      <w:r>
        <w:t>Use pseudonymisation where:</w:t>
      </w:r>
    </w:p>
    <w:p>
      <w:pPr>
        <w:pStyle w:val="ListBullet"/>
      </w:pPr>
      <w:r>
        <w:t>Records must remain linkable over time.</w:t>
      </w:r>
    </w:p>
    <w:p>
      <w:pPr>
        <w:pStyle w:val="ListBullet"/>
      </w:pPr>
      <w:r>
        <w:t>Re-contact, correction, deletion, investigation, billing, service delivery, or operational linkage may be required.</w:t>
      </w:r>
    </w:p>
    <w:p>
      <w:pPr>
        <w:pStyle w:val="ListBullet"/>
      </w:pPr>
      <w:r>
        <w:t>The organisation needs controlled reversibility.</w:t>
      </w:r>
    </w:p>
    <w:p>
      <w:pPr>
        <w:pStyle w:val="ListBullet"/>
      </w:pPr>
      <w:r>
        <w:t>The dataset will remain under access-controlled processing as personal data.</w:t>
      </w:r>
    </w:p>
    <w:p>
      <w:r>
        <w:t>Pseudonymised data must continue to be handled as personal data. It must not be described or labelled as anonymous.</w:t>
      </w:r>
    </w:p>
    <w:p>
      <w:pPr>
        <w:pStyle w:val="ListBullet"/>
      </w:pPr>
      <w:r>
        <w:t>Perform a re-identification risk assessment</w:t>
      </w:r>
    </w:p>
    <w:p>
      <w:r>
        <w:t>The Privacy Team and Information Security must assess the likelihood and impact of re-identification before the transformed dataset is approved.</w:t>
      </w:r>
    </w:p>
    <w:p>
      <w:r>
        <w:t>The assessment must consider:</w:t>
      </w:r>
    </w:p>
    <w:p>
      <w:pPr>
        <w:pStyle w:val="ListBullet"/>
      </w:pPr>
      <w:r>
        <w:t>Dataset size and uniqueness of records.</w:t>
      </w:r>
    </w:p>
    <w:p>
      <w:pPr>
        <w:pStyle w:val="ListBullet"/>
      </w:pPr>
      <w:r>
        <w:t>Presence of rare combinations of attributes.</w:t>
      </w:r>
    </w:p>
    <w:p>
      <w:pPr>
        <w:pStyle w:val="ListBullet"/>
      </w:pPr>
      <w:r>
        <w:t>Sensitivity of the data.</w:t>
      </w:r>
    </w:p>
    <w:p>
      <w:pPr>
        <w:pStyle w:val="ListBullet"/>
      </w:pPr>
      <w:r>
        <w:t>Whether timestamps, locations, or event sequences reveal individuals.</w:t>
      </w:r>
    </w:p>
    <w:p>
      <w:pPr>
        <w:pStyle w:val="ListBullet"/>
      </w:pPr>
      <w:r>
        <w:t>Whether recipients have or can obtain other datasets for matching.</w:t>
      </w:r>
    </w:p>
    <w:p>
      <w:pPr>
        <w:pStyle w:val="ListBullet"/>
      </w:pPr>
      <w:r>
        <w:t>Publicly available information that could be used for linkage.</w:t>
      </w:r>
    </w:p>
    <w:p>
      <w:pPr>
        <w:pStyle w:val="ListBullet"/>
      </w:pPr>
      <w:r>
        <w:t>Internal access to source systems, mapping files, or identity services.</w:t>
      </w:r>
    </w:p>
    <w:p>
      <w:pPr>
        <w:pStyle w:val="ListBullet"/>
      </w:pPr>
      <w:r>
        <w:t>Strength of contractual, organisational, and technical restrictions.</w:t>
      </w:r>
    </w:p>
    <w:p>
      <w:pPr>
        <w:pStyle w:val="ListBullet"/>
      </w:pPr>
      <w:r>
        <w:t>Likelihood of motivated attackers, insider misuse, or accidental disclosure.</w:t>
      </w:r>
    </w:p>
    <w:p>
      <w:pPr>
        <w:pStyle w:val="ListBullet"/>
      </w:pPr>
      <w:r>
        <w:t>Consequences for individuals if re-identification occurs.</w:t>
      </w:r>
    </w:p>
    <w:p>
      <w:r>
        <w:t>A sample risk scoring approach is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Factor</w:t>
            </w:r>
          </w:p>
        </w:tc>
        <w:tc>
          <w:tcPr>
            <w:tcW w:type="dxa" w:w="2160"/>
          </w:tcPr>
          <w:p>
            <w:r>
              <w:t>Low Risk</w:t>
            </w:r>
          </w:p>
        </w:tc>
        <w:tc>
          <w:tcPr>
            <w:tcW w:type="dxa" w:w="2160"/>
          </w:tcPr>
          <w:p>
            <w:r>
              <w:t>Medium Risk</w:t>
            </w:r>
          </w:p>
        </w:tc>
        <w:tc>
          <w:tcPr>
            <w:tcW w:type="dxa" w:w="2160"/>
          </w:tcPr>
          <w:p>
            <w:r>
              <w:t>High Risk</w:t>
            </w:r>
          </w:p>
        </w:tc>
      </w:tr>
      <w:tr>
        <w:tc>
          <w:tcPr>
            <w:tcW w:type="dxa" w:w="2160"/>
          </w:tcPr>
          <w:p>
            <w:r>
              <w:t>Population size</w:t>
            </w:r>
          </w:p>
        </w:tc>
        <w:tc>
          <w:tcPr>
            <w:tcW w:type="dxa" w:w="2160"/>
          </w:tcPr>
          <w:p>
            <w:r>
              <w:t>Large group with broad coverage</w:t>
            </w:r>
          </w:p>
        </w:tc>
        <w:tc>
          <w:tcPr>
            <w:tcW w:type="dxa" w:w="2160"/>
          </w:tcPr>
          <w:p>
            <w:r>
              <w:t>Moderate group or defined segment</w:t>
            </w:r>
          </w:p>
        </w:tc>
        <w:tc>
          <w:tcPr>
            <w:tcW w:type="dxa" w:w="2160"/>
          </w:tcPr>
          <w:p>
            <w:r>
              <w:t>Small group, rare population, or narrow cohort</w:t>
            </w:r>
          </w:p>
        </w:tc>
      </w:tr>
      <w:tr>
        <w:tc>
          <w:tcPr>
            <w:tcW w:type="dxa" w:w="2160"/>
          </w:tcPr>
          <w:p>
            <w:r>
              <w:t>Attribute uniqueness</w:t>
            </w:r>
          </w:p>
        </w:tc>
        <w:tc>
          <w:tcPr>
            <w:tcW w:type="dxa" w:w="2160"/>
          </w:tcPr>
          <w:p>
            <w:r>
              <w:t>Common attributes only</w:t>
            </w:r>
          </w:p>
        </w:tc>
        <w:tc>
          <w:tcPr>
            <w:tcW w:type="dxa" w:w="2160"/>
          </w:tcPr>
          <w:p>
            <w:r>
              <w:t>Some distinguishing combinations</w:t>
            </w:r>
          </w:p>
        </w:tc>
        <w:tc>
          <w:tcPr>
            <w:tcW w:type="dxa" w:w="2160"/>
          </w:tcPr>
          <w:p>
            <w:r>
              <w:t>Unique or rare combinations likely</w:t>
            </w:r>
          </w:p>
        </w:tc>
      </w:tr>
      <w:tr>
        <w:tc>
          <w:tcPr>
            <w:tcW w:type="dxa" w:w="2160"/>
          </w:tcPr>
          <w:p>
            <w:r>
              <w:t>Data sensitivity</w:t>
            </w:r>
          </w:p>
        </w:tc>
        <w:tc>
          <w:tcPr>
            <w:tcW w:type="dxa" w:w="2160"/>
          </w:tcPr>
          <w:p>
            <w:r>
              <w:t>Low sensitivity</w:t>
            </w:r>
          </w:p>
        </w:tc>
        <w:tc>
          <w:tcPr>
            <w:tcW w:type="dxa" w:w="2160"/>
          </w:tcPr>
          <w:p>
            <w:r>
              <w:t>Moderate sensitivity</w:t>
            </w:r>
          </w:p>
        </w:tc>
        <w:tc>
          <w:tcPr>
            <w:tcW w:type="dxa" w:w="2160"/>
          </w:tcPr>
          <w:p>
            <w:r>
              <w:t>Sensitive or high-impact data</w:t>
            </w:r>
          </w:p>
        </w:tc>
      </w:tr>
      <w:tr>
        <w:tc>
          <w:tcPr>
            <w:tcW w:type="dxa" w:w="2160"/>
          </w:tcPr>
          <w:p>
            <w:r>
              <w:t>External data availability</w:t>
            </w:r>
          </w:p>
        </w:tc>
        <w:tc>
          <w:tcPr>
            <w:tcW w:type="dxa" w:w="2160"/>
          </w:tcPr>
          <w:p>
            <w:r>
              <w:t>Limited matching sources</w:t>
            </w:r>
          </w:p>
        </w:tc>
        <w:tc>
          <w:tcPr>
            <w:tcW w:type="dxa" w:w="2160"/>
          </w:tcPr>
          <w:p>
            <w:r>
              <w:t>Some matching sources available</w:t>
            </w:r>
          </w:p>
        </w:tc>
        <w:tc>
          <w:tcPr>
            <w:tcW w:type="dxa" w:w="2160"/>
          </w:tcPr>
          <w:p>
            <w:r>
              <w:t>Many public or recipient-held matching sources</w:t>
            </w:r>
          </w:p>
        </w:tc>
      </w:tr>
      <w:tr>
        <w:tc>
          <w:tcPr>
            <w:tcW w:type="dxa" w:w="2160"/>
          </w:tcPr>
          <w:p>
            <w:r>
              <w:t>Recipient control</w:t>
            </w:r>
          </w:p>
        </w:tc>
        <w:tc>
          <w:tcPr>
            <w:tcW w:type="dxa" w:w="2160"/>
          </w:tcPr>
          <w:p>
            <w:r>
              <w:t>Internal controlled environment</w:t>
            </w:r>
          </w:p>
        </w:tc>
        <w:tc>
          <w:tcPr>
            <w:tcW w:type="dxa" w:w="2160"/>
          </w:tcPr>
          <w:p>
            <w:r>
              <w:t>Approved third party with contract</w:t>
            </w:r>
          </w:p>
        </w:tc>
        <w:tc>
          <w:tcPr>
            <w:tcW w:type="dxa" w:w="2160"/>
          </w:tcPr>
          <w:p>
            <w:r>
              <w:t>Public release or weak recipient controls</w:t>
            </w:r>
          </w:p>
        </w:tc>
      </w:tr>
      <w:tr>
        <w:tc>
          <w:tcPr>
            <w:tcW w:type="dxa" w:w="2160"/>
          </w:tcPr>
          <w:p>
            <w:r>
              <w:t>Reversibility</w:t>
            </w:r>
          </w:p>
        </w:tc>
        <w:tc>
          <w:tcPr>
            <w:tcW w:type="dxa" w:w="2160"/>
          </w:tcPr>
          <w:p>
            <w:r>
              <w:t>No mapping retained</w:t>
            </w:r>
          </w:p>
        </w:tc>
        <w:tc>
          <w:tcPr>
            <w:tcW w:type="dxa" w:w="2160"/>
          </w:tcPr>
          <w:p>
            <w:r>
              <w:t>Mapping retained with strict controls</w:t>
            </w:r>
          </w:p>
        </w:tc>
        <w:tc>
          <w:tcPr>
            <w:tcW w:type="dxa" w:w="2160"/>
          </w:tcPr>
          <w:p>
            <w:r>
              <w:t>Mapping broadly accessible or poorly segregated</w:t>
            </w:r>
          </w:p>
        </w:tc>
      </w:tr>
    </w:tbl>
    <w:p>
      <w:r>
        <w:t>If residual risk is high, the dataset must not be released until risk is reduced or formally accepted through the exception process.</w:t>
      </w:r>
    </w:p>
    <w:p>
      <w:pPr>
        <w:pStyle w:val="ListBullet"/>
      </w:pPr>
      <w:r>
        <w:t>Select appropriate transformation techniques</w:t>
      </w:r>
    </w:p>
    <w:p>
      <w:r>
        <w:t>The Technical Owner must select one or more techniques suitable for the purpose and risk level. Techniques must be implemented using approved tools, reviewed scripts, or controlled data pipelines.</w:t>
      </w:r>
    </w:p>
    <w:p>
      <w:r>
        <w:t>Common techniques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Technique</w:t>
            </w:r>
          </w:p>
        </w:tc>
        <w:tc>
          <w:tcPr>
            <w:tcW w:type="dxa" w:w="2160"/>
          </w:tcPr>
          <w:p>
            <w:r>
              <w:t>Description</w:t>
            </w:r>
          </w:p>
        </w:tc>
        <w:tc>
          <w:tcPr>
            <w:tcW w:type="dxa" w:w="2160"/>
          </w:tcPr>
          <w:p>
            <w:r>
              <w:t>Typical Use</w:t>
            </w:r>
          </w:p>
        </w:tc>
        <w:tc>
          <w:tcPr>
            <w:tcW w:type="dxa" w:w="2160"/>
          </w:tcPr>
          <w:p>
            <w:r>
              <w:t>Key Considerations</w:t>
            </w:r>
          </w:p>
        </w:tc>
      </w:tr>
      <w:tr>
        <w:tc>
          <w:tcPr>
            <w:tcW w:type="dxa" w:w="2160"/>
          </w:tcPr>
          <w:p>
            <w:r>
              <w:t>Suppression</w:t>
            </w:r>
          </w:p>
        </w:tc>
        <w:tc>
          <w:tcPr>
            <w:tcW w:type="dxa" w:w="2160"/>
          </w:tcPr>
          <w:p>
            <w:r>
              <w:t>Removing fields or values entirely</w:t>
            </w:r>
          </w:p>
        </w:tc>
        <w:tc>
          <w:tcPr>
            <w:tcW w:type="dxa" w:w="2160"/>
          </w:tcPr>
          <w:p>
            <w:r>
              <w:t>Removing names, emails, phone numbers, rare values</w:t>
            </w:r>
          </w:p>
        </w:tc>
        <w:tc>
          <w:tcPr>
            <w:tcW w:type="dxa" w:w="2160"/>
          </w:tcPr>
          <w:p>
            <w:r>
              <w:t>May reduce utility; must consider indirect identifiers</w:t>
            </w:r>
          </w:p>
        </w:tc>
      </w:tr>
      <w:tr>
        <w:tc>
          <w:tcPr>
            <w:tcW w:type="dxa" w:w="2160"/>
          </w:tcPr>
          <w:p>
            <w:r>
              <w:t>Masking</w:t>
            </w:r>
          </w:p>
        </w:tc>
        <w:tc>
          <w:tcPr>
            <w:tcW w:type="dxa" w:w="2160"/>
          </w:tcPr>
          <w:p>
            <w:r>
              <w:t>Hiding part of a value</w:t>
            </w:r>
          </w:p>
        </w:tc>
        <w:tc>
          <w:tcPr>
            <w:tcW w:type="dxa" w:w="2160"/>
          </w:tcPr>
          <w:p>
            <w:r>
              <w:t>Displaying last four digits only</w:t>
            </w:r>
          </w:p>
        </w:tc>
        <w:tc>
          <w:tcPr>
            <w:tcW w:type="dxa" w:w="2160"/>
          </w:tcPr>
          <w:p>
            <w:r>
              <w:t>Usually pseudonymisation, not anonymisation</w:t>
            </w:r>
          </w:p>
        </w:tc>
      </w:tr>
      <w:tr>
        <w:tc>
          <w:tcPr>
            <w:tcW w:type="dxa" w:w="2160"/>
          </w:tcPr>
          <w:p>
            <w:r>
              <w:t>Tokenisation</w:t>
            </w:r>
          </w:p>
        </w:tc>
        <w:tc>
          <w:tcPr>
            <w:tcW w:type="dxa" w:w="2160"/>
          </w:tcPr>
          <w:p>
            <w:r>
              <w:t>Replacing identifiers with generated tokens</w:t>
            </w:r>
          </w:p>
        </w:tc>
        <w:tc>
          <w:tcPr>
            <w:tcW w:type="dxa" w:w="2160"/>
          </w:tcPr>
          <w:p>
            <w:r>
              <w:t>Analytics requiring linkage across records</w:t>
            </w:r>
          </w:p>
        </w:tc>
        <w:tc>
          <w:tcPr>
            <w:tcW w:type="dxa" w:w="2160"/>
          </w:tcPr>
          <w:p>
            <w:r>
              <w:t>Token vault must be secured and access restricted</w:t>
            </w:r>
          </w:p>
        </w:tc>
      </w:tr>
      <w:tr>
        <w:tc>
          <w:tcPr>
            <w:tcW w:type="dxa" w:w="2160"/>
          </w:tcPr>
          <w:p>
            <w:r>
              <w:t>Encryption</w:t>
            </w:r>
          </w:p>
        </w:tc>
        <w:tc>
          <w:tcPr>
            <w:tcW w:type="dxa" w:w="2160"/>
          </w:tcPr>
          <w:p>
            <w:r>
              <w:t>Protecting values with cryptographic keys</w:t>
            </w:r>
          </w:p>
        </w:tc>
        <w:tc>
          <w:tcPr>
            <w:tcW w:type="dxa" w:w="2160"/>
          </w:tcPr>
          <w:p>
            <w:r>
              <w:t>Reversible pseudonymisation</w:t>
            </w:r>
          </w:p>
        </w:tc>
        <w:tc>
          <w:tcPr>
            <w:tcW w:type="dxa" w:w="2160"/>
          </w:tcPr>
          <w:p>
            <w:r>
              <w:t>Key management and segregation are critical</w:t>
            </w:r>
          </w:p>
        </w:tc>
      </w:tr>
      <w:tr>
        <w:tc>
          <w:tcPr>
            <w:tcW w:type="dxa" w:w="2160"/>
          </w:tcPr>
          <w:p>
            <w:r>
              <w:t>Hashing with salt or keyed hashing</w:t>
            </w:r>
          </w:p>
        </w:tc>
        <w:tc>
          <w:tcPr>
            <w:tcW w:type="dxa" w:w="2160"/>
          </w:tcPr>
          <w:p>
            <w:r>
              <w:t>Creating non-readable values from identifiers</w:t>
            </w:r>
          </w:p>
        </w:tc>
        <w:tc>
          <w:tcPr>
            <w:tcW w:type="dxa" w:w="2160"/>
          </w:tcPr>
          <w:p>
            <w:r>
              <w:t>Matching without revealing original values</w:t>
            </w:r>
          </w:p>
        </w:tc>
        <w:tc>
          <w:tcPr>
            <w:tcW w:type="dxa" w:w="2160"/>
          </w:tcPr>
          <w:p>
            <w:r>
              <w:t>Unsalted hashes of common values are vulnerable</w:t>
            </w:r>
          </w:p>
        </w:tc>
      </w:tr>
      <w:tr>
        <w:tc>
          <w:tcPr>
            <w:tcW w:type="dxa" w:w="2160"/>
          </w:tcPr>
          <w:p>
            <w:r>
              <w:t>Generalisation</w:t>
            </w:r>
          </w:p>
        </w:tc>
        <w:tc>
          <w:tcPr>
            <w:tcW w:type="dxa" w:w="2160"/>
          </w:tcPr>
          <w:p>
            <w:r>
              <w:t>Reducing precision</w:t>
            </w:r>
          </w:p>
        </w:tc>
        <w:tc>
          <w:tcPr>
            <w:tcW w:type="dxa" w:w="2160"/>
          </w:tcPr>
          <w:p>
            <w:r>
              <w:t>Age band instead of date of birth; region instead of full address</w:t>
            </w:r>
          </w:p>
        </w:tc>
        <w:tc>
          <w:tcPr>
            <w:tcW w:type="dxa" w:w="2160"/>
          </w:tcPr>
          <w:p>
            <w:r>
              <w:t>Must be sufficient to reduce uniqueness</w:t>
            </w:r>
          </w:p>
        </w:tc>
      </w:tr>
      <w:tr>
        <w:tc>
          <w:tcPr>
            <w:tcW w:type="dxa" w:w="2160"/>
          </w:tcPr>
          <w:p>
            <w:r>
              <w:t>Aggregation</w:t>
            </w:r>
          </w:p>
        </w:tc>
        <w:tc>
          <w:tcPr>
            <w:tcW w:type="dxa" w:w="2160"/>
          </w:tcPr>
          <w:p>
            <w:r>
              <w:t>Combining records into groups</w:t>
            </w:r>
          </w:p>
        </w:tc>
        <w:tc>
          <w:tcPr>
            <w:tcW w:type="dxa" w:w="2160"/>
          </w:tcPr>
          <w:p>
            <w:r>
              <w:t>Reporting counts, trends, statistics</w:t>
            </w:r>
          </w:p>
        </w:tc>
        <w:tc>
          <w:tcPr>
            <w:tcW w:type="dxa" w:w="2160"/>
          </w:tcPr>
          <w:p>
            <w:r>
              <w:t>Small cell counts must be suppressed</w:t>
            </w:r>
          </w:p>
        </w:tc>
      </w:tr>
      <w:tr>
        <w:tc>
          <w:tcPr>
            <w:tcW w:type="dxa" w:w="2160"/>
          </w:tcPr>
          <w:p>
            <w:r>
              <w:t>Perturbation</w:t>
            </w:r>
          </w:p>
        </w:tc>
        <w:tc>
          <w:tcPr>
            <w:tcW w:type="dxa" w:w="2160"/>
          </w:tcPr>
          <w:p>
            <w:r>
              <w:t>Adding controlled noise</w:t>
            </w:r>
          </w:p>
        </w:tc>
        <w:tc>
          <w:tcPr>
            <w:tcW w:type="dxa" w:w="2160"/>
          </w:tcPr>
          <w:p>
            <w:r>
              <w:t>Statistical analysis</w:t>
            </w:r>
          </w:p>
        </w:tc>
        <w:tc>
          <w:tcPr>
            <w:tcW w:type="dxa" w:w="2160"/>
          </w:tcPr>
          <w:p>
            <w:r>
              <w:t>Must preserve analytical value while reducing identifiability</w:t>
            </w:r>
          </w:p>
        </w:tc>
      </w:tr>
      <w:tr>
        <w:tc>
          <w:tcPr>
            <w:tcW w:type="dxa" w:w="2160"/>
          </w:tcPr>
          <w:p>
            <w:r>
              <w:t>Swapping</w:t>
            </w:r>
          </w:p>
        </w:tc>
        <w:tc>
          <w:tcPr>
            <w:tcW w:type="dxa" w:w="2160"/>
          </w:tcPr>
          <w:p>
            <w:r>
              <w:t>Exchanging values between records</w:t>
            </w:r>
          </w:p>
        </w:tc>
        <w:tc>
          <w:tcPr>
            <w:tcW w:type="dxa" w:w="2160"/>
          </w:tcPr>
          <w:p>
            <w:r>
              <w:t>Statistical datasets</w:t>
            </w:r>
          </w:p>
        </w:tc>
        <w:tc>
          <w:tcPr>
            <w:tcW w:type="dxa" w:w="2160"/>
          </w:tcPr>
          <w:p>
            <w:r>
              <w:t>Must be documented and tested</w:t>
            </w:r>
          </w:p>
        </w:tc>
      </w:tr>
      <w:tr>
        <w:tc>
          <w:tcPr>
            <w:tcW w:type="dxa" w:w="2160"/>
          </w:tcPr>
          <w:p>
            <w:r>
              <w:t>Synthetic data generation</w:t>
            </w:r>
          </w:p>
        </w:tc>
        <w:tc>
          <w:tcPr>
            <w:tcW w:type="dxa" w:w="2160"/>
          </w:tcPr>
          <w:p>
            <w:r>
              <w:t>Creating artificial data with similar properties</w:t>
            </w:r>
          </w:p>
        </w:tc>
        <w:tc>
          <w:tcPr>
            <w:tcW w:type="dxa" w:w="2160"/>
          </w:tcPr>
          <w:p>
            <w:r>
              <w:t>Development, testing, modelling</w:t>
            </w:r>
          </w:p>
        </w:tc>
        <w:tc>
          <w:tcPr>
            <w:tcW w:type="dxa" w:w="2160"/>
          </w:tcPr>
          <w:p>
            <w:r>
              <w:t>Must be tested to ensure real individuals cannot be inferred</w:t>
            </w:r>
          </w:p>
        </w:tc>
      </w:tr>
      <w:tr>
        <w:tc>
          <w:tcPr>
            <w:tcW w:type="dxa" w:w="2160"/>
          </w:tcPr>
          <w:p>
            <w:r>
              <w:t>Redaction</w:t>
            </w:r>
          </w:p>
        </w:tc>
        <w:tc>
          <w:tcPr>
            <w:tcW w:type="dxa" w:w="2160"/>
          </w:tcPr>
          <w:p>
            <w:r>
              <w:t>Removing identifiers from documents or media</w:t>
            </w:r>
          </w:p>
        </w:tc>
        <w:tc>
          <w:tcPr>
            <w:tcW w:type="dxa" w:w="2160"/>
          </w:tcPr>
          <w:p>
            <w:r>
              <w:t>Contracts, case files, transcripts, images</w:t>
            </w:r>
          </w:p>
        </w:tc>
        <w:tc>
          <w:tcPr>
            <w:tcW w:type="dxa" w:w="2160"/>
          </w:tcPr>
          <w:p>
            <w:r>
              <w:t>Manual quality checks are required</w:t>
            </w:r>
          </w:p>
        </w:tc>
      </w:tr>
      <w:tr>
        <w:tc>
          <w:tcPr>
            <w:tcW w:type="dxa" w:w="2160"/>
          </w:tcPr>
          <w:p>
            <w:r>
              <w:t>Date shifting</w:t>
            </w:r>
          </w:p>
        </w:tc>
        <w:tc>
          <w:tcPr>
            <w:tcW w:type="dxa" w:w="2160"/>
          </w:tcPr>
          <w:p>
            <w:r>
              <w:t>Moving dates consistently by a random offset</w:t>
            </w:r>
          </w:p>
        </w:tc>
        <w:tc>
          <w:tcPr>
            <w:tcW w:type="dxa" w:w="2160"/>
          </w:tcPr>
          <w:p>
            <w:r>
              <w:t>Longitudinal analysis</w:t>
            </w:r>
          </w:p>
        </w:tc>
        <w:tc>
          <w:tcPr>
            <w:tcW w:type="dxa" w:w="2160"/>
          </w:tcPr>
          <w:p>
            <w:r>
              <w:t>Offsets must not reveal identity or key events</w:t>
            </w:r>
          </w:p>
        </w:tc>
      </w:tr>
      <w:tr>
        <w:tc>
          <w:tcPr>
            <w:tcW w:type="dxa" w:w="2160"/>
          </w:tcPr>
          <w:p>
            <w:r>
              <w:t>Bucketing</w:t>
            </w:r>
          </w:p>
        </w:tc>
        <w:tc>
          <w:tcPr>
            <w:tcW w:type="dxa" w:w="2160"/>
          </w:tcPr>
          <w:p>
            <w:r>
              <w:t>Grouping granular values</w:t>
            </w:r>
          </w:p>
        </w:tc>
        <w:tc>
          <w:tcPr>
            <w:tcW w:type="dxa" w:w="2160"/>
          </w:tcPr>
          <w:p>
            <w:r>
              <w:t>Salary bands, age ranges, transaction bands</w:t>
            </w:r>
          </w:p>
        </w:tc>
        <w:tc>
          <w:tcPr>
            <w:tcW w:type="dxa" w:w="2160"/>
          </w:tcPr>
          <w:p>
            <w:r>
              <w:t>Buckets must avoid small groups</w:t>
            </w:r>
          </w:p>
        </w:tc>
      </w:tr>
    </w:tbl>
    <w:p>
      <w:r>
        <w:t>The method must be proportionate to the risk and must not rely on removal of direct identifiers alone where indirect identifiers remain sufficient to identify individuals.</w:t>
      </w:r>
    </w:p>
    <w:p>
      <w:pPr>
        <w:pStyle w:val="ListBullet"/>
      </w:pPr>
      <w:r>
        <w:t>Apply anonymisation rules where the target is anonymous data</w:t>
      </w:r>
    </w:p>
    <w:p>
      <w:r>
        <w:t>Where anonymisation is the approved target, the Technical Owner must implement controls so the dataset is not reasonably linkable to individuals by the organisation, recipients, or likely third parties.</w:t>
      </w:r>
    </w:p>
    <w:p>
      <w:r>
        <w:t>The following rules apply:</w:t>
      </w:r>
    </w:p>
    <w:p>
      <w:pPr>
        <w:pStyle w:val="ListBullet"/>
      </w:pPr>
      <w:r>
        <w:t>Remove all direct identifiers.</w:t>
      </w:r>
    </w:p>
    <w:p>
      <w:pPr>
        <w:pStyle w:val="ListBullet"/>
      </w:pPr>
      <w:r>
        <w:t>Remove or transform persistent identifiers that could support linkage.</w:t>
      </w:r>
    </w:p>
    <w:p>
      <w:pPr>
        <w:pStyle w:val="ListBullet"/>
      </w:pPr>
      <w:r>
        <w:t>Generalise dates, locations, job roles, and other quasi-identifiers.</w:t>
      </w:r>
    </w:p>
    <w:p>
      <w:pPr>
        <w:pStyle w:val="ListBullet"/>
      </w:pPr>
      <w:r>
        <w:t>Suppress rare attributes and outliers.</w:t>
      </w:r>
    </w:p>
    <w:p>
      <w:pPr>
        <w:pStyle w:val="ListBullet"/>
      </w:pPr>
      <w:r>
        <w:t>Aggregate data where individual-level detail is not required.</w:t>
      </w:r>
    </w:p>
    <w:p>
      <w:pPr>
        <w:pStyle w:val="ListBullet"/>
      </w:pPr>
      <w:r>
        <w:t>Suppress small group counts in reports and dashboards.</w:t>
      </w:r>
    </w:p>
    <w:p>
      <w:pPr>
        <w:pStyle w:val="ListBullet"/>
      </w:pPr>
      <w:r>
        <w:t>Avoid publishing exact timestamps where event timing may identify a person.</w:t>
      </w:r>
    </w:p>
    <w:p>
      <w:pPr>
        <w:pStyle w:val="ListBullet"/>
      </w:pPr>
      <w:r>
        <w:t>Remove metadata from files, images, documents, and exports.</w:t>
      </w:r>
    </w:p>
    <w:p>
      <w:pPr>
        <w:pStyle w:val="ListBullet"/>
      </w:pPr>
      <w:r>
        <w:t>Review free-text fields for hidden personal data.</w:t>
      </w:r>
    </w:p>
    <w:p>
      <w:pPr>
        <w:pStyle w:val="ListBullet"/>
      </w:pPr>
      <w:r>
        <w:t>Validate that the recipient cannot reasonably re-identify individuals using available information.</w:t>
      </w:r>
    </w:p>
    <w:p>
      <w:pPr>
        <w:pStyle w:val="ListBullet"/>
      </w:pPr>
      <w:r>
        <w:t>Do not retain mapping files if the output is to be treated as anonymised.</w:t>
      </w:r>
    </w:p>
    <w:p>
      <w:pPr>
        <w:pStyle w:val="ListBullet"/>
      </w:pPr>
      <w:r>
        <w:t>Do not label data as anonymised until validation has been completed and approved.</w:t>
      </w:r>
    </w:p>
    <w:p>
      <w:r>
        <w:t>Where the organisation retains a mapping file, key, lookup table, or other means to identify individuals from the dataset, the output is pseudonymised, not anonymised.</w:t>
      </w:r>
    </w:p>
    <w:p>
      <w:pPr>
        <w:pStyle w:val="ListBullet"/>
      </w:pPr>
      <w:r>
        <w:t>Apply pseudonymisation rules where reversibility or linkage is required</w:t>
      </w:r>
    </w:p>
    <w:p>
      <w:r>
        <w:t>Where pseudonymisation is the approved target, the Technical Owner must ensure identifiers are replaced or separated from the dataset and that additional information needed for re-identification is independently protected.</w:t>
      </w:r>
    </w:p>
    <w:p>
      <w:r>
        <w:t>The following rules apply:</w:t>
      </w:r>
    </w:p>
    <w:p>
      <w:pPr>
        <w:pStyle w:val="ListBullet"/>
      </w:pPr>
      <w:r>
        <w:t>Replace direct identifiers with pseudonyms, tokens, encrypted values, or keyed hashes.</w:t>
      </w:r>
    </w:p>
    <w:p>
      <w:pPr>
        <w:pStyle w:val="ListBullet"/>
      </w:pPr>
      <w:r>
        <w:t>Use different tokens for different contexts unless cross-context linkage is approved.</w:t>
      </w:r>
    </w:p>
    <w:p>
      <w:pPr>
        <w:pStyle w:val="ListBullet"/>
      </w:pPr>
      <w:r>
        <w:t>Avoid deterministic values across unrelated datasets unless linkage is necessary and approved.</w:t>
      </w:r>
    </w:p>
    <w:p>
      <w:pPr>
        <w:pStyle w:val="ListBullet"/>
      </w:pPr>
      <w:r>
        <w:t>Store mapping tables, token vaults, salts, and cryptographic keys separately from pseudonymised data.</w:t>
      </w:r>
    </w:p>
    <w:p>
      <w:pPr>
        <w:pStyle w:val="ListBullet"/>
      </w:pPr>
      <w:r>
        <w:t>Restrict access to re-identification materials to authorised roles only.</w:t>
      </w:r>
    </w:p>
    <w:p>
      <w:pPr>
        <w:pStyle w:val="ListBullet"/>
      </w:pPr>
      <w:r>
        <w:t>Log all access to mapping tables, keys, and tokenisation services.</w:t>
      </w:r>
    </w:p>
    <w:p>
      <w:pPr>
        <w:pStyle w:val="ListBullet"/>
      </w:pPr>
      <w:r>
        <w:t>Use strong access controls, privileged access management, and segregation of duties.</w:t>
      </w:r>
    </w:p>
    <w:p>
      <w:pPr>
        <w:pStyle w:val="ListBullet"/>
      </w:pPr>
      <w:r>
        <w:t>Rotate keys or tokens when compromise is suspected or where required by cryptographic standards.</w:t>
      </w:r>
    </w:p>
    <w:p>
      <w:pPr>
        <w:pStyle w:val="ListBullet"/>
      </w:pPr>
      <w:r>
        <w:t>Prevent developers, analysts, testers, or external parties from accessing both pseudonymised data and re-identification materials unless explicitly approved.</w:t>
      </w:r>
    </w:p>
    <w:p>
      <w:pPr>
        <w:pStyle w:val="ListBullet"/>
      </w:pPr>
      <w:r>
        <w:t>Define a documented process for authorised re-identification.</w:t>
      </w:r>
    </w:p>
    <w:p>
      <w:pPr>
        <w:pStyle w:val="ListBullet"/>
      </w:pPr>
      <w:r>
        <w:t>Treat pseudonymised datasets as personal data for storage, transfer, retention, incident response, and individual rights handling.</w:t>
      </w:r>
    </w:p>
    <w:p>
      <w:pPr>
        <w:pStyle w:val="ListBullet"/>
      </w:pPr>
      <w:r>
        <w:t>Secure the transformation process</w:t>
      </w:r>
    </w:p>
    <w:p>
      <w:r>
        <w:t>The Technical Owner and System Owner must ensure the transformation process is secure from source extraction through output delivery.</w:t>
      </w:r>
    </w:p>
    <w:p>
      <w:r>
        <w:t>Required controls include:</w:t>
      </w:r>
    </w:p>
    <w:p>
      <w:pPr>
        <w:pStyle w:val="ListBullet"/>
      </w:pPr>
      <w:r>
        <w:t>Use approved secure environments for extraction and transformation.</w:t>
      </w:r>
    </w:p>
    <w:p>
      <w:pPr>
        <w:pStyle w:val="ListBullet"/>
      </w:pPr>
      <w:r>
        <w:t>Prohibit local storage on unmanaged devices.</w:t>
      </w:r>
    </w:p>
    <w:p>
      <w:pPr>
        <w:pStyle w:val="ListBullet"/>
      </w:pPr>
      <w:r>
        <w:t>Encrypt data in transit and at rest.</w:t>
      </w:r>
    </w:p>
    <w:p>
      <w:pPr>
        <w:pStyle w:val="ListBullet"/>
      </w:pPr>
      <w:r>
        <w:t>Restrict access to source, interim, and output datasets.</w:t>
      </w:r>
    </w:p>
    <w:p>
      <w:pPr>
        <w:pStyle w:val="ListBullet"/>
      </w:pPr>
      <w:r>
        <w:t>Use managed service accounts where automation is required.</w:t>
      </w:r>
    </w:p>
    <w:p>
      <w:pPr>
        <w:pStyle w:val="ListBullet"/>
      </w:pPr>
      <w:r>
        <w:t>Avoid emailing datasets unless approved secure transfer methods are unavailable and an exception is approved.</w:t>
      </w:r>
    </w:p>
    <w:p>
      <w:pPr>
        <w:pStyle w:val="ListBullet"/>
      </w:pPr>
      <w:r>
        <w:t>Delete temporary files and staging data after validation and release.</w:t>
      </w:r>
    </w:p>
    <w:p>
      <w:pPr>
        <w:pStyle w:val="ListBullet"/>
      </w:pPr>
      <w:r>
        <w:t>Ensure scripts and pipelines are version controlled.</w:t>
      </w:r>
    </w:p>
    <w:p>
      <w:pPr>
        <w:pStyle w:val="ListBullet"/>
      </w:pPr>
      <w:r>
        <w:t>Conduct peer review for transformation logic.</w:t>
      </w:r>
    </w:p>
    <w:p>
      <w:pPr>
        <w:pStyle w:val="ListBullet"/>
      </w:pPr>
      <w:r>
        <w:t>Monitor privileged access and failed access attempts.</w:t>
      </w:r>
    </w:p>
    <w:p>
      <w:pPr>
        <w:pStyle w:val="ListBullet"/>
      </w:pPr>
      <w:r>
        <w:t>Maintain audit logs for dataset creation, access, modification, transfer, and deletion.</w:t>
      </w:r>
    </w:p>
    <w:p>
      <w:pPr>
        <w:pStyle w:val="ListBullet"/>
      </w:pPr>
      <w:r>
        <w:t>Apply data loss prevention controls where available.</w:t>
      </w:r>
    </w:p>
    <w:p>
      <w:pPr>
        <w:pStyle w:val="ListBullet"/>
      </w:pPr>
      <w:r>
        <w:t>Use approved secure file transfer, API, or data platform delivery methods.</w:t>
      </w:r>
    </w:p>
    <w:p>
      <w:pPr>
        <w:pStyle w:val="ListBullet"/>
      </w:pPr>
      <w:r>
        <w:t>Validate the transformed dataset</w:t>
      </w:r>
    </w:p>
    <w:p>
      <w:r>
        <w:t>Before release, the Technical Owner must validate that the transformation was correctly applied. The Privacy Team or delegated reviewer must review the results for privacy risk.</w:t>
      </w:r>
    </w:p>
    <w:p>
      <w:r>
        <w:t>Validation must include:</w:t>
      </w:r>
    </w:p>
    <w:p>
      <w:pPr>
        <w:pStyle w:val="ListBullet"/>
      </w:pPr>
      <w:r>
        <w:t>Confirmation that all direct identifiers were removed, replaced, or protected.</w:t>
      </w:r>
    </w:p>
    <w:p>
      <w:pPr>
        <w:pStyle w:val="ListBullet"/>
      </w:pPr>
      <w:r>
        <w:t>Sampling to verify transformed fields behave as expected.</w:t>
      </w:r>
    </w:p>
    <w:p>
      <w:pPr>
        <w:pStyle w:val="ListBullet"/>
      </w:pPr>
      <w:r>
        <w:t>Testing for uniqueness and small group counts.</w:t>
      </w:r>
    </w:p>
    <w:p>
      <w:pPr>
        <w:pStyle w:val="ListBullet"/>
      </w:pPr>
      <w:r>
        <w:t>Review of outliers and rare combinations.</w:t>
      </w:r>
    </w:p>
    <w:p>
      <w:pPr>
        <w:pStyle w:val="ListBullet"/>
      </w:pPr>
      <w:r>
        <w:t>Review of free-text, file metadata, and unstructured content where applicable.</w:t>
      </w:r>
    </w:p>
    <w:p>
      <w:pPr>
        <w:pStyle w:val="ListBullet"/>
      </w:pPr>
      <w:r>
        <w:t>Confirmation that mapping files or keys are not included in the output.</w:t>
      </w:r>
    </w:p>
    <w:p>
      <w:pPr>
        <w:pStyle w:val="ListBullet"/>
      </w:pPr>
      <w:r>
        <w:t>Confirmation that access permissions are correctly configured.</w:t>
      </w:r>
    </w:p>
    <w:p>
      <w:pPr>
        <w:pStyle w:val="ListBullet"/>
      </w:pPr>
      <w:r>
        <w:t>Confirmation that retention labels or deletion schedules are applied.</w:t>
      </w:r>
    </w:p>
    <w:p>
      <w:pPr>
        <w:pStyle w:val="ListBullet"/>
      </w:pPr>
      <w:r>
        <w:t>Verification that the output remains fit for the approved business purpose.</w:t>
      </w:r>
    </w:p>
    <w:p>
      <w:r>
        <w:t>Example validation checklist: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Validation Item</w:t>
            </w:r>
          </w:p>
        </w:tc>
        <w:tc>
          <w:tcPr>
            <w:tcW w:type="dxa" w:w="1728"/>
          </w:tcPr>
          <w:p>
            <w:r>
              <w:t>Pass / Fail</w:t>
            </w:r>
          </w:p>
        </w:tc>
        <w:tc>
          <w:tcPr>
            <w:tcW w:type="dxa" w:w="1728"/>
          </w:tcPr>
          <w:p>
            <w:r>
              <w:t>Evidence Location</w:t>
            </w:r>
          </w:p>
        </w:tc>
        <w:tc>
          <w:tcPr>
            <w:tcW w:type="dxa" w:w="1728"/>
          </w:tcPr>
          <w:p>
            <w:r>
              <w:t>Reviewer</w:t>
            </w:r>
          </w:p>
        </w:tc>
        <w:tc>
          <w:tcPr>
            <w:tcW w:type="dxa" w:w="1728"/>
          </w:tcPr>
          <w:p>
            <w:r>
              <w:t>Date</w:t>
            </w:r>
          </w:p>
        </w:tc>
      </w:tr>
      <w:tr>
        <w:tc>
          <w:tcPr>
            <w:tcW w:type="dxa" w:w="1728"/>
          </w:tcPr>
          <w:p>
            <w:r>
              <w:t>Direct identifiers removed or protected</w:t>
            </w:r>
          </w:p>
        </w:tc>
        <w:tc>
          <w:tcPr>
            <w:tcW w:type="dxa" w:w="1728"/>
          </w:tcPr>
          <w:p>
            <w:r>
              <w:t>[Pass/Fail]</w:t>
            </w:r>
          </w:p>
        </w:tc>
        <w:tc>
          <w:tcPr>
            <w:tcW w:type="dxa" w:w="1728"/>
          </w:tcPr>
          <w:p>
            <w:r>
              <w:t>[Link]</w:t>
            </w:r>
          </w:p>
        </w:tc>
        <w:tc>
          <w:tcPr>
            <w:tcW w:type="dxa" w:w="1728"/>
          </w:tcPr>
          <w:p>
            <w:r>
              <w:t>[Name]</w:t>
            </w:r>
          </w:p>
        </w:tc>
        <w:tc>
          <w:tcPr>
            <w:tcW w:type="dxa" w:w="1728"/>
          </w:tcPr>
          <w:p>
            <w:r>
              <w:t>[Date]</w:t>
            </w:r>
          </w:p>
        </w:tc>
      </w:tr>
      <w:tr>
        <w:tc>
          <w:tcPr>
            <w:tcW w:type="dxa" w:w="1728"/>
          </w:tcPr>
          <w:p>
            <w:r>
              <w:t>Indirect identifiers generalised or controlled</w:t>
            </w:r>
          </w:p>
        </w:tc>
        <w:tc>
          <w:tcPr>
            <w:tcW w:type="dxa" w:w="1728"/>
          </w:tcPr>
          <w:p>
            <w:r>
              <w:t>[Pass/Fail]</w:t>
            </w:r>
          </w:p>
        </w:tc>
        <w:tc>
          <w:tcPr>
            <w:tcW w:type="dxa" w:w="1728"/>
          </w:tcPr>
          <w:p>
            <w:r>
              <w:t>[Link]</w:t>
            </w:r>
          </w:p>
        </w:tc>
        <w:tc>
          <w:tcPr>
            <w:tcW w:type="dxa" w:w="1728"/>
          </w:tcPr>
          <w:p>
            <w:r>
              <w:t>[Name]</w:t>
            </w:r>
          </w:p>
        </w:tc>
        <w:tc>
          <w:tcPr>
            <w:tcW w:type="dxa" w:w="1728"/>
          </w:tcPr>
          <w:p>
            <w:r>
              <w:t>[Date]</w:t>
            </w:r>
          </w:p>
        </w:tc>
      </w:tr>
      <w:tr>
        <w:tc>
          <w:tcPr>
            <w:tcW w:type="dxa" w:w="1728"/>
          </w:tcPr>
          <w:p>
            <w:r>
              <w:t>Small groups and outliers addressed</w:t>
            </w:r>
          </w:p>
        </w:tc>
        <w:tc>
          <w:tcPr>
            <w:tcW w:type="dxa" w:w="1728"/>
          </w:tcPr>
          <w:p>
            <w:r>
              <w:t>[Pass/Fail]</w:t>
            </w:r>
          </w:p>
        </w:tc>
        <w:tc>
          <w:tcPr>
            <w:tcW w:type="dxa" w:w="1728"/>
          </w:tcPr>
          <w:p>
            <w:r>
              <w:t>[Link]</w:t>
            </w:r>
          </w:p>
        </w:tc>
        <w:tc>
          <w:tcPr>
            <w:tcW w:type="dxa" w:w="1728"/>
          </w:tcPr>
          <w:p>
            <w:r>
              <w:t>[Name]</w:t>
            </w:r>
          </w:p>
        </w:tc>
        <w:tc>
          <w:tcPr>
            <w:tcW w:type="dxa" w:w="1728"/>
          </w:tcPr>
          <w:p>
            <w:r>
              <w:t>[Date]</w:t>
            </w:r>
          </w:p>
        </w:tc>
      </w:tr>
      <w:tr>
        <w:tc>
          <w:tcPr>
            <w:tcW w:type="dxa" w:w="1728"/>
          </w:tcPr>
          <w:p>
            <w:r>
              <w:t>Free-text reviewed where applicable</w:t>
            </w:r>
          </w:p>
        </w:tc>
        <w:tc>
          <w:tcPr>
            <w:tcW w:type="dxa" w:w="1728"/>
          </w:tcPr>
          <w:p>
            <w:r>
              <w:t>[Pass/Fail]</w:t>
            </w:r>
          </w:p>
        </w:tc>
        <w:tc>
          <w:tcPr>
            <w:tcW w:type="dxa" w:w="1728"/>
          </w:tcPr>
          <w:p>
            <w:r>
              <w:t>[Link]</w:t>
            </w:r>
          </w:p>
        </w:tc>
        <w:tc>
          <w:tcPr>
            <w:tcW w:type="dxa" w:w="1728"/>
          </w:tcPr>
          <w:p>
            <w:r>
              <w:t>[Name]</w:t>
            </w:r>
          </w:p>
        </w:tc>
        <w:tc>
          <w:tcPr>
            <w:tcW w:type="dxa" w:w="1728"/>
          </w:tcPr>
          <w:p>
            <w:r>
              <w:t>[Date]</w:t>
            </w:r>
          </w:p>
        </w:tc>
      </w:tr>
      <w:tr>
        <w:tc>
          <w:tcPr>
            <w:tcW w:type="dxa" w:w="1728"/>
          </w:tcPr>
          <w:p>
            <w:r>
              <w:t>Mapping files or keys excluded from output</w:t>
            </w:r>
          </w:p>
        </w:tc>
        <w:tc>
          <w:tcPr>
            <w:tcW w:type="dxa" w:w="1728"/>
          </w:tcPr>
          <w:p>
            <w:r>
              <w:t>[Pass/Fail]</w:t>
            </w:r>
          </w:p>
        </w:tc>
        <w:tc>
          <w:tcPr>
            <w:tcW w:type="dxa" w:w="1728"/>
          </w:tcPr>
          <w:p>
            <w:r>
              <w:t>[Link]</w:t>
            </w:r>
          </w:p>
        </w:tc>
        <w:tc>
          <w:tcPr>
            <w:tcW w:type="dxa" w:w="1728"/>
          </w:tcPr>
          <w:p>
            <w:r>
              <w:t>[Name]</w:t>
            </w:r>
          </w:p>
        </w:tc>
        <w:tc>
          <w:tcPr>
            <w:tcW w:type="dxa" w:w="1728"/>
          </w:tcPr>
          <w:p>
            <w:r>
              <w:t>[Date]</w:t>
            </w:r>
          </w:p>
        </w:tc>
      </w:tr>
      <w:tr>
        <w:tc>
          <w:tcPr>
            <w:tcW w:type="dxa" w:w="1728"/>
          </w:tcPr>
          <w:p>
            <w:r>
              <w:t>Access controls verified</w:t>
            </w:r>
          </w:p>
        </w:tc>
        <w:tc>
          <w:tcPr>
            <w:tcW w:type="dxa" w:w="1728"/>
          </w:tcPr>
          <w:p>
            <w:r>
              <w:t>[Pass/Fail]</w:t>
            </w:r>
          </w:p>
        </w:tc>
        <w:tc>
          <w:tcPr>
            <w:tcW w:type="dxa" w:w="1728"/>
          </w:tcPr>
          <w:p>
            <w:r>
              <w:t>[Link]</w:t>
            </w:r>
          </w:p>
        </w:tc>
        <w:tc>
          <w:tcPr>
            <w:tcW w:type="dxa" w:w="1728"/>
          </w:tcPr>
          <w:p>
            <w:r>
              <w:t>[Name]</w:t>
            </w:r>
          </w:p>
        </w:tc>
        <w:tc>
          <w:tcPr>
            <w:tcW w:type="dxa" w:w="1728"/>
          </w:tcPr>
          <w:p>
            <w:r>
              <w:t>[Date]</w:t>
            </w:r>
          </w:p>
        </w:tc>
      </w:tr>
      <w:tr>
        <w:tc>
          <w:tcPr>
            <w:tcW w:type="dxa" w:w="1728"/>
          </w:tcPr>
          <w:p>
            <w:r>
              <w:t>Retention configured</w:t>
            </w:r>
          </w:p>
        </w:tc>
        <w:tc>
          <w:tcPr>
            <w:tcW w:type="dxa" w:w="1728"/>
          </w:tcPr>
          <w:p>
            <w:r>
              <w:t>[Pass/Fail]</w:t>
            </w:r>
          </w:p>
        </w:tc>
        <w:tc>
          <w:tcPr>
            <w:tcW w:type="dxa" w:w="1728"/>
          </w:tcPr>
          <w:p>
            <w:r>
              <w:t>[Link]</w:t>
            </w:r>
          </w:p>
        </w:tc>
        <w:tc>
          <w:tcPr>
            <w:tcW w:type="dxa" w:w="1728"/>
          </w:tcPr>
          <w:p>
            <w:r>
              <w:t>[Name]</w:t>
            </w:r>
          </w:p>
        </w:tc>
        <w:tc>
          <w:tcPr>
            <w:tcW w:type="dxa" w:w="1728"/>
          </w:tcPr>
          <w:p>
            <w:r>
              <w:t>[Date]</w:t>
            </w:r>
          </w:p>
        </w:tc>
      </w:tr>
      <w:tr>
        <w:tc>
          <w:tcPr>
            <w:tcW w:type="dxa" w:w="1728"/>
          </w:tcPr>
          <w:p>
            <w:r>
              <w:t>Residual risk approved</w:t>
            </w:r>
          </w:p>
        </w:tc>
        <w:tc>
          <w:tcPr>
            <w:tcW w:type="dxa" w:w="1728"/>
          </w:tcPr>
          <w:p>
            <w:r>
              <w:t>[Pass/Fail]</w:t>
            </w:r>
          </w:p>
        </w:tc>
        <w:tc>
          <w:tcPr>
            <w:tcW w:type="dxa" w:w="1728"/>
          </w:tcPr>
          <w:p>
            <w:r>
              <w:t>[Link]</w:t>
            </w:r>
          </w:p>
        </w:tc>
        <w:tc>
          <w:tcPr>
            <w:tcW w:type="dxa" w:w="1728"/>
          </w:tcPr>
          <w:p>
            <w:r>
              <w:t>[Name]</w:t>
            </w:r>
          </w:p>
        </w:tc>
        <w:tc>
          <w:tcPr>
            <w:tcW w:type="dxa" w:w="1728"/>
          </w:tcPr>
          <w:p>
            <w:r>
              <w:t>[Date]</w:t>
            </w:r>
          </w:p>
        </w:tc>
      </w:tr>
    </w:tbl>
    <w:p>
      <w:pPr>
        <w:pStyle w:val="ListBullet"/>
      </w:pPr>
      <w:r>
        <w:t>Approve release or use</w:t>
      </w:r>
    </w:p>
    <w:p>
      <w:r>
        <w:t>The Data Owner, Privacy Team, and Information Security must approve release where required by risk level, recipient type, or data sensitivity.</w:t>
      </w:r>
    </w:p>
    <w:p>
      <w:r>
        <w:t>Minimum approval requirements are:</w:t>
      </w:r>
    </w:p>
    <w:tbl>
      <w:tblPr>
        <w:tblStyle w:val="TableGrid"/>
        <w:tblW w:type="auto" w:w="0"/>
        <w:tblLook w:firstColumn="1" w:firstRow="1" w:lastColumn="0" w:lastRow="0" w:noHBand="0" w:noVBand="1" w:val="04A0"/>
      </w:tblPr>
      <w:tblGrid>
        <w:gridCol w:w="4320"/>
        <w:gridCol w:w="4320"/>
      </w:tblGrid>
      <w:tr>
        <w:tc>
          <w:tcPr>
            <w:tcW w:type="dxa" w:w="4320"/>
          </w:tcPr>
          <w:p>
            <w:r>
              <w:t>Scenario</w:t>
            </w:r>
          </w:p>
        </w:tc>
        <w:tc>
          <w:tcPr>
            <w:tcW w:type="dxa" w:w="4320"/>
          </w:tcPr>
          <w:p>
            <w:r>
              <w:t>Required Approval</w:t>
            </w:r>
          </w:p>
        </w:tc>
      </w:tr>
      <w:tr>
        <w:tc>
          <w:tcPr>
            <w:tcW w:type="dxa" w:w="4320"/>
          </w:tcPr>
          <w:p>
            <w:r>
              <w:t>Low-risk internal pseudonymised dataset</w:t>
            </w:r>
          </w:p>
        </w:tc>
        <w:tc>
          <w:tcPr>
            <w:tcW w:type="dxa" w:w="4320"/>
          </w:tcPr>
          <w:p>
            <w:r>
              <w:t>Data Owner and System Owner</w:t>
            </w:r>
          </w:p>
        </w:tc>
      </w:tr>
      <w:tr>
        <w:tc>
          <w:tcPr>
            <w:tcW w:type="dxa" w:w="4320"/>
          </w:tcPr>
          <w:p>
            <w:r>
              <w:t>Medium-risk internal pseudonymised dataset</w:t>
            </w:r>
          </w:p>
        </w:tc>
        <w:tc>
          <w:tcPr>
            <w:tcW w:type="dxa" w:w="4320"/>
          </w:tcPr>
          <w:p>
            <w:r>
              <w:t>Data Owner, Privacy Team, and Information Security</w:t>
            </w:r>
          </w:p>
        </w:tc>
      </w:tr>
      <w:tr>
        <w:tc>
          <w:tcPr>
            <w:tcW w:type="dxa" w:w="4320"/>
          </w:tcPr>
          <w:p>
            <w:r>
              <w:t>High-risk pseudonymised dataset</w:t>
            </w:r>
          </w:p>
        </w:tc>
        <w:tc>
          <w:tcPr>
            <w:tcW w:type="dxa" w:w="4320"/>
          </w:tcPr>
          <w:p>
            <w:r>
              <w:t>Data Owner, Privacy Team, Information Security, and Senior Risk Owner</w:t>
            </w:r>
          </w:p>
        </w:tc>
      </w:tr>
      <w:tr>
        <w:tc>
          <w:tcPr>
            <w:tcW w:type="dxa" w:w="4320"/>
          </w:tcPr>
          <w:p>
            <w:r>
              <w:t>Any dataset claimed as anonymised</w:t>
            </w:r>
          </w:p>
        </w:tc>
        <w:tc>
          <w:tcPr>
            <w:tcW w:type="dxa" w:w="4320"/>
          </w:tcPr>
          <w:p>
            <w:r>
              <w:t>Data Owner and Privacy Team</w:t>
            </w:r>
          </w:p>
        </w:tc>
      </w:tr>
      <w:tr>
        <w:tc>
          <w:tcPr>
            <w:tcW w:type="dxa" w:w="4320"/>
          </w:tcPr>
          <w:p>
            <w:r>
              <w:t>External sharing of de-identified data</w:t>
            </w:r>
          </w:p>
        </w:tc>
        <w:tc>
          <w:tcPr>
            <w:tcW w:type="dxa" w:w="4320"/>
          </w:tcPr>
          <w:p>
            <w:r>
              <w:t>Data Owner, Privacy Team, Legal, and Information Security</w:t>
            </w:r>
          </w:p>
        </w:tc>
      </w:tr>
      <w:tr>
        <w:tc>
          <w:tcPr>
            <w:tcW w:type="dxa" w:w="4320"/>
          </w:tcPr>
          <w:p>
            <w:r>
              <w:t>Public release of aggregate or anonymised data</w:t>
            </w:r>
          </w:p>
        </w:tc>
        <w:tc>
          <w:tcPr>
            <w:tcW w:type="dxa" w:w="4320"/>
          </w:tcPr>
          <w:p>
            <w:r>
              <w:t>Data Owner, Privacy Team, Legal, Communications where applicable, and Senior Risk Owner</w:t>
            </w:r>
          </w:p>
        </w:tc>
      </w:tr>
      <w:tr>
        <w:tc>
          <w:tcPr>
            <w:tcW w:type="dxa" w:w="4320"/>
          </w:tcPr>
          <w:p>
            <w:r>
              <w:t>Use of special category or other high-risk data</w:t>
            </w:r>
          </w:p>
        </w:tc>
        <w:tc>
          <w:tcPr>
            <w:tcW w:type="dxa" w:w="4320"/>
          </w:tcPr>
          <w:p>
            <w:r>
              <w:t>Data Owner, Privacy Team, and Information Security</w:t>
            </w:r>
          </w:p>
        </w:tc>
      </w:tr>
      <w:tr>
        <w:tc>
          <w:tcPr>
            <w:tcW w:type="dxa" w:w="4320"/>
          </w:tcPr>
          <w:p>
            <w:r>
              <w:t>Use in non-production environments</w:t>
            </w:r>
          </w:p>
        </w:tc>
        <w:tc>
          <w:tcPr>
            <w:tcW w:type="dxa" w:w="4320"/>
          </w:tcPr>
          <w:p>
            <w:r>
              <w:t>Data Owner, System Owner, and Information Security</w:t>
            </w:r>
          </w:p>
        </w:tc>
      </w:tr>
    </w:tbl>
    <w:p>
      <w:r>
        <w:t>Release must not occur until all required approvals are recorded.</w:t>
      </w:r>
    </w:p>
    <w:p>
      <w:pPr>
        <w:pStyle w:val="ListBullet"/>
      </w:pPr>
      <w:r>
        <w:t>Label and classify the output</w:t>
      </w:r>
    </w:p>
    <w:p>
      <w:r>
        <w:t>The Technical Owner must apply clear labelling to the transformed dataset, reports, exports, dashboards, or files.</w:t>
      </w:r>
    </w:p>
    <w:p>
      <w:r>
        <w:t>Labels must state:</w:t>
      </w:r>
    </w:p>
    <w:p>
      <w:pPr>
        <w:pStyle w:val="ListBullet"/>
      </w:pPr>
      <w:r>
        <w:t>Dataset name.</w:t>
      </w:r>
    </w:p>
    <w:p>
      <w:pPr>
        <w:pStyle w:val="ListBullet"/>
      </w:pPr>
      <w:r>
        <w:t>Transformation type: anonymised, pseudonymised, aggregated, masked, synthetic, or redacted.</w:t>
      </w:r>
    </w:p>
    <w:p>
      <w:pPr>
        <w:pStyle w:val="ListBullet"/>
      </w:pPr>
      <w:r>
        <w:t>Data classification.</w:t>
      </w:r>
    </w:p>
    <w:p>
      <w:pPr>
        <w:pStyle w:val="ListBullet"/>
      </w:pPr>
      <w:r>
        <w:t>Approved purpose.</w:t>
      </w:r>
    </w:p>
    <w:p>
      <w:pPr>
        <w:pStyle w:val="ListBullet"/>
      </w:pPr>
      <w:r>
        <w:t>Approved recipients or access groups.</w:t>
      </w:r>
    </w:p>
    <w:p>
      <w:pPr>
        <w:pStyle w:val="ListBullet"/>
      </w:pPr>
      <w:r>
        <w:t>Retention period.</w:t>
      </w:r>
    </w:p>
    <w:p>
      <w:pPr>
        <w:pStyle w:val="ListBullet"/>
      </w:pPr>
      <w:r>
        <w:t>Restrictions on re-identification, onward sharing, or reuse.</w:t>
      </w:r>
    </w:p>
    <w:p>
      <w:pPr>
        <w:pStyle w:val="ListBullet"/>
      </w:pPr>
      <w:r>
        <w:t>Contact point for questions.</w:t>
      </w:r>
    </w:p>
    <w:p>
      <w:r>
        <w:t>Pseudonymised data must retain a personal data classification appropriate to its sensitivity. Anonymised data may only be reclassified after approval by the Privacy Team.</w:t>
      </w:r>
    </w:p>
    <w:p>
      <w:pPr>
        <w:pStyle w:val="ListBullet"/>
      </w:pPr>
      <w:r>
        <w:t>Release or deploy through approved channels</w:t>
      </w:r>
    </w:p>
    <w:p>
      <w:r>
        <w:t>The System Owner must release the dataset or deploy the recurring transformation process using approved channels only.</w:t>
      </w:r>
    </w:p>
    <w:p>
      <w:r>
        <w:t>Acceptable channels include:</w:t>
      </w:r>
    </w:p>
    <w:p>
      <w:pPr>
        <w:pStyle w:val="ListBullet"/>
      </w:pPr>
      <w:r>
        <w:t>Approved data platform with role-based access controls.</w:t>
      </w:r>
    </w:p>
    <w:p>
      <w:pPr>
        <w:pStyle w:val="ListBullet"/>
      </w:pPr>
      <w:r>
        <w:t>Secure managed file transfer.</w:t>
      </w:r>
    </w:p>
    <w:p>
      <w:pPr>
        <w:pStyle w:val="ListBullet"/>
      </w:pPr>
      <w:r>
        <w:t>Approved encrypted storage location.</w:t>
      </w:r>
    </w:p>
    <w:p>
      <w:pPr>
        <w:pStyle w:val="ListBullet"/>
      </w:pPr>
      <w:r>
        <w:t>Approved API with authentication, authorisation, logging, and rate controls.</w:t>
      </w:r>
    </w:p>
    <w:p>
      <w:pPr>
        <w:pStyle w:val="ListBullet"/>
      </w:pPr>
      <w:r>
        <w:t>Controlled analytics workspace.</w:t>
      </w:r>
    </w:p>
    <w:p>
      <w:pPr>
        <w:pStyle w:val="ListBullet"/>
      </w:pPr>
      <w:r>
        <w:t>Approved secure research or development environment.</w:t>
      </w:r>
    </w:p>
    <w:p>
      <w:r>
        <w:t>The release record must include:</w:t>
      </w:r>
    </w:p>
    <w:p>
      <w:pPr>
        <w:pStyle w:val="ListBullet"/>
      </w:pPr>
      <w:r>
        <w:t>Release date and time.</w:t>
      </w:r>
    </w:p>
    <w:p>
      <w:pPr>
        <w:pStyle w:val="ListBullet"/>
      </w:pPr>
      <w:r>
        <w:t>Recipient or access group.</w:t>
      </w:r>
    </w:p>
    <w:p>
      <w:pPr>
        <w:pStyle w:val="ListBullet"/>
      </w:pPr>
      <w:r>
        <w:t>Dataset version.</w:t>
      </w:r>
    </w:p>
    <w:p>
      <w:pPr>
        <w:pStyle w:val="ListBullet"/>
      </w:pPr>
      <w:r>
        <w:t>Location or delivery method.</w:t>
      </w:r>
    </w:p>
    <w:p>
      <w:pPr>
        <w:pStyle w:val="ListBullet"/>
      </w:pPr>
      <w:r>
        <w:t>Approval reference.</w:t>
      </w:r>
    </w:p>
    <w:p>
      <w:pPr>
        <w:pStyle w:val="ListBullet"/>
      </w:pPr>
      <w:r>
        <w:t>Retention expiry date.</w:t>
      </w:r>
    </w:p>
    <w:p>
      <w:pPr>
        <w:pStyle w:val="ListBullet"/>
      </w:pPr>
      <w:r>
        <w:t>Any contractual or usage restrictions.</w:t>
      </w:r>
    </w:p>
    <w:p>
      <w:pPr>
        <w:pStyle w:val="ListBullet"/>
      </w:pPr>
      <w:r>
        <w:t>Manage re-identification requests</w:t>
      </w:r>
    </w:p>
    <w:p>
      <w:r>
        <w:t>Re-identification of pseudonymised data is prohibited unless there is an approved business, legal, security, compliance, or individual rights reason.</w:t>
      </w:r>
    </w:p>
    <w:p>
      <w:r>
        <w:t>The requester must submit a re-identification request including:</w:t>
      </w:r>
    </w:p>
    <w:p>
      <w:pPr>
        <w:pStyle w:val="ListBullet"/>
      </w:pPr>
      <w:r>
        <w:t>Reason for re-identification.</w:t>
      </w:r>
    </w:p>
    <w:p>
      <w:pPr>
        <w:pStyle w:val="ListBullet"/>
      </w:pPr>
      <w:r>
        <w:t>Dataset and pseudonym reference.</w:t>
      </w:r>
    </w:p>
    <w:p>
      <w:pPr>
        <w:pStyle w:val="ListBullet"/>
      </w:pPr>
      <w:r>
        <w:t>Individuals or records affected.</w:t>
      </w:r>
    </w:p>
    <w:p>
      <w:pPr>
        <w:pStyle w:val="ListBullet"/>
      </w:pPr>
      <w:r>
        <w:t>Legal or operational justification.</w:t>
      </w:r>
    </w:p>
    <w:p>
      <w:pPr>
        <w:pStyle w:val="ListBullet"/>
      </w:pPr>
      <w:r>
        <w:t>Requested recipient of re-identified information.</w:t>
      </w:r>
    </w:p>
    <w:p>
      <w:pPr>
        <w:pStyle w:val="ListBullet"/>
      </w:pPr>
      <w:r>
        <w:t>Time period for access.</w:t>
      </w:r>
    </w:p>
    <w:p>
      <w:pPr>
        <w:pStyle w:val="ListBullet"/>
      </w:pPr>
      <w:r>
        <w:t>Confirmation that the minimum necessary records will be re-identified.</w:t>
      </w:r>
    </w:p>
    <w:p>
      <w:r>
        <w:t>Approval is required from the Data Owner and Privacy Team. Information Security approval is required where mapping files, token vaults, encryption keys, or privileged access are involved.</w:t>
      </w:r>
    </w:p>
    <w:p>
      <w:r>
        <w:t>Emergency re-identification for incident response, safety, fraud prevention, or legal hold may be authorised by [Emergency Approver Role], but must be retrospectively reviewed by the Privacy Team within [Number] business days.</w:t>
      </w:r>
    </w:p>
    <w:p>
      <w:pPr>
        <w:pStyle w:val="ListBullet"/>
      </w:pPr>
      <w:r>
        <w:t>Monitor use and detect misuse</w:t>
      </w:r>
    </w:p>
    <w:p>
      <w:r>
        <w:t>The System Owner and Information Security must monitor access to transformed datasets and re-identification materials.</w:t>
      </w:r>
    </w:p>
    <w:p>
      <w:r>
        <w:t>Monitoring must include:</w:t>
      </w:r>
    </w:p>
    <w:p>
      <w:pPr>
        <w:pStyle w:val="ListBullet"/>
      </w:pPr>
      <w:r>
        <w:t>Access by users, privileged users, service accounts, and third parties.</w:t>
      </w:r>
    </w:p>
    <w:p>
      <w:pPr>
        <w:pStyle w:val="ListBullet"/>
      </w:pPr>
      <w:r>
        <w:t>Downloads, exports, bulk queries, and unusual query patterns.</w:t>
      </w:r>
    </w:p>
    <w:p>
      <w:pPr>
        <w:pStyle w:val="ListBullet"/>
      </w:pPr>
      <w:r>
        <w:t>Failed access attempts.</w:t>
      </w:r>
    </w:p>
    <w:p>
      <w:pPr>
        <w:pStyle w:val="ListBullet"/>
      </w:pPr>
      <w:r>
        <w:t>Changes to access groups.</w:t>
      </w:r>
    </w:p>
    <w:p>
      <w:pPr>
        <w:pStyle w:val="ListBullet"/>
      </w:pPr>
      <w:r>
        <w:t>Attempts to combine datasets beyond the approved purpose.</w:t>
      </w:r>
    </w:p>
    <w:p>
      <w:pPr>
        <w:pStyle w:val="ListBullet"/>
      </w:pPr>
      <w:r>
        <w:t>Use of pseudonymised data in unauthorised environments.</w:t>
      </w:r>
    </w:p>
    <w:p>
      <w:pPr>
        <w:pStyle w:val="ListBullet"/>
      </w:pPr>
      <w:r>
        <w:t>Access to mapping tables, keys, token vaults, and salt values.</w:t>
      </w:r>
    </w:p>
    <w:p>
      <w:pPr>
        <w:pStyle w:val="ListBullet"/>
      </w:pPr>
      <w:r>
        <w:t>Expired datasets that remain accessible.</w:t>
      </w:r>
    </w:p>
    <w:p>
      <w:r>
        <w:t>Suspected unauthorised re-identification, misuse, or disclosure must be handled as a security and privacy incident.</w:t>
      </w:r>
    </w:p>
    <w:p>
      <w:pPr>
        <w:pStyle w:val="ListBullet"/>
      </w:pPr>
      <w:r>
        <w:t>Retain and delete data according to approved periods</w:t>
      </w:r>
    </w:p>
    <w:p>
      <w:r>
        <w:t>The Data Owner and System Owner must ensure source, interim, transformed, and mapping data are retained only for approved periods.</w:t>
      </w:r>
    </w:p>
    <w:p>
      <w:r>
        <w:t>Retention rules must specify:</w:t>
      </w:r>
    </w:p>
    <w:p>
      <w:pPr>
        <w:pStyle w:val="ListBullet"/>
      </w:pPr>
      <w:r>
        <w:t>Source data retention.</w:t>
      </w:r>
    </w:p>
    <w:p>
      <w:pPr>
        <w:pStyle w:val="ListBullet"/>
      </w:pPr>
      <w:r>
        <w:t>Temporary extraction and staging retention.</w:t>
      </w:r>
    </w:p>
    <w:p>
      <w:pPr>
        <w:pStyle w:val="ListBullet"/>
      </w:pPr>
      <w:r>
        <w:t>Transformed dataset retention.</w:t>
      </w:r>
    </w:p>
    <w:p>
      <w:pPr>
        <w:pStyle w:val="ListBullet"/>
      </w:pPr>
      <w:r>
        <w:t>Mapping table or token vault retention.</w:t>
      </w:r>
    </w:p>
    <w:p>
      <w:pPr>
        <w:pStyle w:val="ListBullet"/>
      </w:pPr>
      <w:r>
        <w:t>Key, salt, and secret retention.</w:t>
      </w:r>
    </w:p>
    <w:p>
      <w:pPr>
        <w:pStyle w:val="ListBullet"/>
      </w:pPr>
      <w:r>
        <w:t>Log retention.</w:t>
      </w:r>
    </w:p>
    <w:p>
      <w:pPr>
        <w:pStyle w:val="ListBullet"/>
      </w:pPr>
      <w:r>
        <w:t>Backup retention.</w:t>
      </w:r>
    </w:p>
    <w:p>
      <w:pPr>
        <w:pStyle w:val="ListBullet"/>
      </w:pPr>
      <w:r>
        <w:t>Deletion or anonymisation trigger events.</w:t>
      </w:r>
    </w:p>
    <w:p>
      <w:r>
        <w:t>At the end of the retention period, data must be securely deleted, anonymised, or renewed through documented approval. Deletion must be recorded.</w:t>
      </w:r>
    </w:p>
    <w:p>
      <w:pPr>
        <w:pStyle w:val="ListBullet"/>
      </w:pPr>
      <w:r>
        <w:t>Maintain documentation and evidence</w:t>
      </w:r>
    </w:p>
    <w:p>
      <w:r>
        <w:t>The request owner and Technical Owner must ensure the complete record of the de-identification activity is retained in [Repository/System Name].</w:t>
      </w:r>
    </w:p>
    <w:p>
      <w:r>
        <w:t>Documentation must include:</w:t>
      </w:r>
    </w:p>
    <w:p>
      <w:pPr>
        <w:pStyle w:val="ListBullet"/>
      </w:pPr>
      <w:r>
        <w:t>Request and approvals.</w:t>
      </w:r>
    </w:p>
    <w:p>
      <w:pPr>
        <w:pStyle w:val="ListBullet"/>
      </w:pPr>
      <w:r>
        <w:t>Dataset inventory and field classification.</w:t>
      </w:r>
    </w:p>
    <w:p>
      <w:pPr>
        <w:pStyle w:val="ListBullet"/>
      </w:pPr>
      <w:r>
        <w:t>Risk assessment.</w:t>
      </w:r>
    </w:p>
    <w:p>
      <w:pPr>
        <w:pStyle w:val="ListBullet"/>
      </w:pPr>
      <w:r>
        <w:t>Transformation design.</w:t>
      </w:r>
    </w:p>
    <w:p>
      <w:pPr>
        <w:pStyle w:val="ListBullet"/>
      </w:pPr>
      <w:r>
        <w:t>Transformation scripts, tool configuration, or pipeline details.</w:t>
      </w:r>
    </w:p>
    <w:p>
      <w:pPr>
        <w:pStyle w:val="ListBullet"/>
      </w:pPr>
      <w:r>
        <w:t>Validation results.</w:t>
      </w:r>
    </w:p>
    <w:p>
      <w:pPr>
        <w:pStyle w:val="ListBullet"/>
      </w:pPr>
      <w:r>
        <w:t>Release record.</w:t>
      </w:r>
    </w:p>
    <w:p>
      <w:pPr>
        <w:pStyle w:val="ListBullet"/>
      </w:pPr>
      <w:r>
        <w:t>Access controls.</w:t>
      </w:r>
    </w:p>
    <w:p>
      <w:pPr>
        <w:pStyle w:val="ListBullet"/>
      </w:pPr>
      <w:r>
        <w:t>Retention and deletion evidence.</w:t>
      </w:r>
    </w:p>
    <w:p>
      <w:pPr>
        <w:pStyle w:val="ListBullet"/>
      </w:pPr>
      <w:r>
        <w:t>Contracts or recipient restrictions where applicable.</w:t>
      </w:r>
    </w:p>
    <w:p>
      <w:pPr>
        <w:pStyle w:val="ListBullet"/>
      </w:pPr>
      <w:r>
        <w:t>Exception approvals, if any.</w:t>
      </w:r>
    </w:p>
    <w:p>
      <w:pPr>
        <w:pStyle w:val="ListBullet"/>
      </w:pPr>
      <w:r>
        <w:t>Review recurring transformations</w:t>
      </w:r>
    </w:p>
    <w:p>
      <w:r>
        <w:t>For recurring feeds, dashboards, pipelines, or shared datasets, the Data Owner must review the process at least every [Review Frequency] and when material changes occur.</w:t>
      </w:r>
    </w:p>
    <w:p>
      <w:r>
        <w:t>Triggers for review include:</w:t>
      </w:r>
    </w:p>
    <w:p>
      <w:pPr>
        <w:pStyle w:val="ListBullet"/>
      </w:pPr>
      <w:r>
        <w:t>Addition of new data fields.</w:t>
      </w:r>
    </w:p>
    <w:p>
      <w:pPr>
        <w:pStyle w:val="ListBullet"/>
      </w:pPr>
      <w:r>
        <w:t>Change in purpose.</w:t>
      </w:r>
    </w:p>
    <w:p>
      <w:pPr>
        <w:pStyle w:val="ListBullet"/>
      </w:pPr>
      <w:r>
        <w:t>New recipient or new external sharing arrangement.</w:t>
      </w:r>
    </w:p>
    <w:p>
      <w:pPr>
        <w:pStyle w:val="ListBullet"/>
      </w:pPr>
      <w:r>
        <w:t>Change in source system.</w:t>
      </w:r>
    </w:p>
    <w:p>
      <w:pPr>
        <w:pStyle w:val="ListBullet"/>
      </w:pPr>
      <w:r>
        <w:t>Change in transformation method.</w:t>
      </w:r>
    </w:p>
    <w:p>
      <w:pPr>
        <w:pStyle w:val="ListBullet"/>
      </w:pPr>
      <w:r>
        <w:t>Change in threat environment or known re-identification techniques.</w:t>
      </w:r>
    </w:p>
    <w:p>
      <w:pPr>
        <w:pStyle w:val="ListBullet"/>
      </w:pPr>
      <w:r>
        <w:t>Security incident or privacy incident.</w:t>
      </w:r>
    </w:p>
    <w:p>
      <w:pPr>
        <w:pStyle w:val="ListBullet"/>
      </w:pPr>
      <w:r>
        <w:t>Change in retention period.</w:t>
      </w:r>
    </w:p>
    <w:p>
      <w:pPr>
        <w:pStyle w:val="ListBullet"/>
      </w:pPr>
      <w:r>
        <w:t>New linkage to other datasets.</w:t>
      </w:r>
    </w:p>
    <w:p>
      <w:pPr>
        <w:pStyle w:val="ListBullet"/>
      </w:pPr>
      <w:r>
        <w:t>Material change in applicable legal, contractual, or business requirements.</w:t>
      </w:r>
    </w:p>
    <w:p>
      <w:pPr>
        <w:pStyle w:val="Heading2"/>
      </w:pPr>
      <w:r>
        <w:t>Roles &amp; RACI</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Activity</w:t>
            </w:r>
          </w:p>
        </w:tc>
        <w:tc>
          <w:tcPr>
            <w:tcW w:type="dxa" w:w="960"/>
          </w:tcPr>
          <w:p>
            <w:r>
              <w:t>Request Owner</w:t>
            </w:r>
          </w:p>
        </w:tc>
        <w:tc>
          <w:tcPr>
            <w:tcW w:type="dxa" w:w="960"/>
          </w:tcPr>
          <w:p>
            <w:r>
              <w:t>Data Owner</w:t>
            </w:r>
          </w:p>
        </w:tc>
        <w:tc>
          <w:tcPr>
            <w:tcW w:type="dxa" w:w="960"/>
          </w:tcPr>
          <w:p>
            <w:r>
              <w:t>Technical Owner</w:t>
            </w:r>
          </w:p>
        </w:tc>
        <w:tc>
          <w:tcPr>
            <w:tcW w:type="dxa" w:w="960"/>
          </w:tcPr>
          <w:p>
            <w:r>
              <w:t>System Owner</w:t>
            </w:r>
          </w:p>
        </w:tc>
        <w:tc>
          <w:tcPr>
            <w:tcW w:type="dxa" w:w="960"/>
          </w:tcPr>
          <w:p>
            <w:r>
              <w:t>Privacy Team / DPO</w:t>
            </w:r>
          </w:p>
        </w:tc>
        <w:tc>
          <w:tcPr>
            <w:tcW w:type="dxa" w:w="960"/>
          </w:tcPr>
          <w:p>
            <w:r>
              <w:t>Information Security</w:t>
            </w:r>
          </w:p>
        </w:tc>
        <w:tc>
          <w:tcPr>
            <w:tcW w:type="dxa" w:w="960"/>
          </w:tcPr>
          <w:p>
            <w:r>
              <w:t>Legal</w:t>
            </w:r>
          </w:p>
        </w:tc>
        <w:tc>
          <w:tcPr>
            <w:tcW w:type="dxa" w:w="960"/>
          </w:tcPr>
          <w:p>
            <w:r>
              <w:t>Senior Risk Owner</w:t>
            </w:r>
          </w:p>
        </w:tc>
      </w:tr>
      <w:tr>
        <w:tc>
          <w:tcPr>
            <w:tcW w:type="dxa" w:w="960"/>
          </w:tcPr>
          <w:p>
            <w:r>
              <w:t>Submit de-identification request</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Confirm business purpose and necessity</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c>
          <w:tcPr>
            <w:tcW w:type="dxa" w:w="960"/>
          </w:tcPr>
          <w:p>
            <w:r>
              <w:t>I</w:t>
            </w:r>
          </w:p>
        </w:tc>
      </w:tr>
      <w:tr>
        <w:tc>
          <w:tcPr>
            <w:tcW w:type="dxa" w:w="960"/>
          </w:tcPr>
          <w:p>
            <w:r>
              <w:t>Identify data fields and identifiers</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r>
      <w:tr>
        <w:tc>
          <w:tcPr>
            <w:tcW w:type="dxa" w:w="960"/>
          </w:tcPr>
          <w:p>
            <w:r>
              <w:t>Confirm anonymisation or pseudonymisation target</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A/R</w:t>
            </w:r>
          </w:p>
        </w:tc>
        <w:tc>
          <w:tcPr>
            <w:tcW w:type="dxa" w:w="960"/>
          </w:tcPr>
          <w:p>
            <w:r>
              <w:t>C</w:t>
            </w:r>
          </w:p>
        </w:tc>
        <w:tc>
          <w:tcPr>
            <w:tcW w:type="dxa" w:w="960"/>
          </w:tcPr>
          <w:p>
            <w:r>
              <w:t>C</w:t>
            </w:r>
          </w:p>
        </w:tc>
        <w:tc>
          <w:tcPr>
            <w:tcW w:type="dxa" w:w="960"/>
          </w:tcPr>
          <w:p>
            <w:r>
              <w:t>I</w:t>
            </w:r>
          </w:p>
        </w:tc>
      </w:tr>
      <w:tr>
        <w:tc>
          <w:tcPr>
            <w:tcW w:type="dxa" w:w="960"/>
          </w:tcPr>
          <w:p>
            <w:r>
              <w:t>Perform re-identification risk assessment</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I</w:t>
            </w:r>
          </w:p>
        </w:tc>
      </w:tr>
      <w:tr>
        <w:tc>
          <w:tcPr>
            <w:tcW w:type="dxa" w:w="960"/>
          </w:tcPr>
          <w:p>
            <w:r>
              <w:t>Select transformation method</w:t>
            </w:r>
          </w:p>
        </w:tc>
        <w:tc>
          <w:tcPr>
            <w:tcW w:type="dxa" w:w="960"/>
          </w:tcPr>
          <w:p>
            <w:r>
              <w:t>I</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C</w:t>
            </w:r>
          </w:p>
        </w:tc>
        <w:tc>
          <w:tcPr>
            <w:tcW w:type="dxa" w:w="960"/>
          </w:tcPr>
          <w:p>
            <w:r>
              <w:t>I</w:t>
            </w:r>
          </w:p>
        </w:tc>
        <w:tc>
          <w:tcPr>
            <w:tcW w:type="dxa" w:w="960"/>
          </w:tcPr>
          <w:p>
            <w:r>
              <w:t>I</w:t>
            </w:r>
          </w:p>
        </w:tc>
      </w:tr>
      <w:tr>
        <w:tc>
          <w:tcPr>
            <w:tcW w:type="dxa" w:w="960"/>
          </w:tcPr>
          <w:p>
            <w:r>
              <w:t>Implement transformation</w:t>
            </w:r>
          </w:p>
        </w:tc>
        <w:tc>
          <w:tcPr>
            <w:tcW w:type="dxa" w:w="960"/>
          </w:tcPr>
          <w:p>
            <w:r>
              <w:t>I</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I</w:t>
            </w:r>
          </w:p>
        </w:tc>
      </w:tr>
      <w:tr>
        <w:tc>
          <w:tcPr>
            <w:tcW w:type="dxa" w:w="960"/>
          </w:tcPr>
          <w:p>
            <w:r>
              <w:t>Secure keys, salts, token vaults, or mapping tables</w:t>
            </w:r>
          </w:p>
        </w:tc>
        <w:tc>
          <w:tcPr>
            <w:tcW w:type="dxa" w:w="960"/>
          </w:tcPr>
          <w:p>
            <w:r>
              <w:t>I</w:t>
            </w:r>
          </w:p>
        </w:tc>
        <w:tc>
          <w:tcPr>
            <w:tcW w:type="dxa" w:w="960"/>
          </w:tcPr>
          <w:p>
            <w:r>
              <w:t>C</w:t>
            </w:r>
          </w:p>
        </w:tc>
        <w:tc>
          <w:tcPr>
            <w:tcW w:type="dxa" w:w="960"/>
          </w:tcPr>
          <w:p>
            <w:r>
              <w:t>R</w:t>
            </w:r>
          </w:p>
        </w:tc>
        <w:tc>
          <w:tcPr>
            <w:tcW w:type="dxa" w:w="960"/>
          </w:tcPr>
          <w:p>
            <w:r>
              <w:t>R</w:t>
            </w:r>
          </w:p>
        </w:tc>
        <w:tc>
          <w:tcPr>
            <w:tcW w:type="dxa" w:w="960"/>
          </w:tcPr>
          <w:p>
            <w:r>
              <w:t>C</w:t>
            </w:r>
          </w:p>
        </w:tc>
        <w:tc>
          <w:tcPr>
            <w:tcW w:type="dxa" w:w="960"/>
          </w:tcPr>
          <w:p>
            <w:r>
              <w:t>A/R</w:t>
            </w:r>
          </w:p>
        </w:tc>
        <w:tc>
          <w:tcPr>
            <w:tcW w:type="dxa" w:w="960"/>
          </w:tcPr>
          <w:p>
            <w:r>
              <w:t>I</w:t>
            </w:r>
          </w:p>
        </w:tc>
        <w:tc>
          <w:tcPr>
            <w:tcW w:type="dxa" w:w="960"/>
          </w:tcPr>
          <w:p>
            <w:r>
              <w:t>I</w:t>
            </w:r>
          </w:p>
        </w:tc>
      </w:tr>
      <w:tr>
        <w:tc>
          <w:tcPr>
            <w:tcW w:type="dxa" w:w="960"/>
          </w:tcPr>
          <w:p>
            <w:r>
              <w:t>Validate transformed dataset</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R</w:t>
            </w:r>
          </w:p>
        </w:tc>
        <w:tc>
          <w:tcPr>
            <w:tcW w:type="dxa" w:w="960"/>
          </w:tcPr>
          <w:p>
            <w:r>
              <w:t>C</w:t>
            </w:r>
          </w:p>
        </w:tc>
        <w:tc>
          <w:tcPr>
            <w:tcW w:type="dxa" w:w="960"/>
          </w:tcPr>
          <w:p>
            <w:r>
              <w:t>I</w:t>
            </w:r>
          </w:p>
        </w:tc>
        <w:tc>
          <w:tcPr>
            <w:tcW w:type="dxa" w:w="960"/>
          </w:tcPr>
          <w:p>
            <w:r>
              <w:t>I</w:t>
            </w:r>
          </w:p>
        </w:tc>
      </w:tr>
      <w:tr>
        <w:tc>
          <w:tcPr>
            <w:tcW w:type="dxa" w:w="960"/>
          </w:tcPr>
          <w:p>
            <w:r>
              <w:t>Approve release</w:t>
            </w:r>
          </w:p>
        </w:tc>
        <w:tc>
          <w:tcPr>
            <w:tcW w:type="dxa" w:w="960"/>
          </w:tcPr>
          <w:p>
            <w:r>
              <w:t>I</w:t>
            </w:r>
          </w:p>
        </w:tc>
        <w:tc>
          <w:tcPr>
            <w:tcW w:type="dxa" w:w="960"/>
          </w:tcPr>
          <w:p>
            <w:r>
              <w:t>A/R</w:t>
            </w:r>
          </w:p>
        </w:tc>
        <w:tc>
          <w:tcPr>
            <w:tcW w:type="dxa" w:w="960"/>
          </w:tcPr>
          <w:p>
            <w:r>
              <w:t>C</w:t>
            </w:r>
          </w:p>
        </w:tc>
        <w:tc>
          <w:tcPr>
            <w:tcW w:type="dxa" w:w="960"/>
          </w:tcPr>
          <w:p>
            <w:r>
              <w:t>C</w:t>
            </w:r>
          </w:p>
        </w:tc>
        <w:tc>
          <w:tcPr>
            <w:tcW w:type="dxa" w:w="960"/>
          </w:tcPr>
          <w:p>
            <w:r>
              <w:t>R</w:t>
            </w:r>
          </w:p>
        </w:tc>
        <w:tc>
          <w:tcPr>
            <w:tcW w:type="dxa" w:w="960"/>
          </w:tcPr>
          <w:p>
            <w:r>
              <w:t>R</w:t>
            </w:r>
          </w:p>
        </w:tc>
        <w:tc>
          <w:tcPr>
            <w:tcW w:type="dxa" w:w="960"/>
          </w:tcPr>
          <w:p>
            <w:r>
              <w:t>C</w:t>
            </w:r>
          </w:p>
        </w:tc>
        <w:tc>
          <w:tcPr>
            <w:tcW w:type="dxa" w:w="960"/>
          </w:tcPr>
          <w:p>
            <w:r>
              <w:t>A where high risk</w:t>
            </w:r>
          </w:p>
        </w:tc>
      </w:tr>
      <w:tr>
        <w:tc>
          <w:tcPr>
            <w:tcW w:type="dxa" w:w="960"/>
          </w:tcPr>
          <w:p>
            <w:r>
              <w:t>Approve external sharing</w:t>
            </w:r>
          </w:p>
        </w:tc>
        <w:tc>
          <w:tcPr>
            <w:tcW w:type="dxa" w:w="960"/>
          </w:tcPr>
          <w:p>
            <w:r>
              <w:t>I</w:t>
            </w:r>
          </w:p>
        </w:tc>
        <w:tc>
          <w:tcPr>
            <w:tcW w:type="dxa" w:w="960"/>
          </w:tcPr>
          <w:p>
            <w:r>
              <w:t>A/R</w:t>
            </w:r>
          </w:p>
        </w:tc>
        <w:tc>
          <w:tcPr>
            <w:tcW w:type="dxa" w:w="960"/>
          </w:tcPr>
          <w:p>
            <w:r>
              <w:t>C</w:t>
            </w:r>
          </w:p>
        </w:tc>
        <w:tc>
          <w:tcPr>
            <w:tcW w:type="dxa" w:w="960"/>
          </w:tcPr>
          <w:p>
            <w:r>
              <w:t>C</w:t>
            </w:r>
          </w:p>
        </w:tc>
        <w:tc>
          <w:tcPr>
            <w:tcW w:type="dxa" w:w="960"/>
          </w:tcPr>
          <w:p>
            <w:r>
              <w:t>R</w:t>
            </w:r>
          </w:p>
        </w:tc>
        <w:tc>
          <w:tcPr>
            <w:tcW w:type="dxa" w:w="960"/>
          </w:tcPr>
          <w:p>
            <w:r>
              <w:t>R</w:t>
            </w:r>
          </w:p>
        </w:tc>
        <w:tc>
          <w:tcPr>
            <w:tcW w:type="dxa" w:w="960"/>
          </w:tcPr>
          <w:p>
            <w:r>
              <w:t>R</w:t>
            </w:r>
          </w:p>
        </w:tc>
        <w:tc>
          <w:tcPr>
            <w:tcW w:type="dxa" w:w="960"/>
          </w:tcPr>
          <w:p>
            <w:r>
              <w:t>A where high risk</w:t>
            </w:r>
          </w:p>
        </w:tc>
      </w:tr>
      <w:tr>
        <w:tc>
          <w:tcPr>
            <w:tcW w:type="dxa" w:w="960"/>
          </w:tcPr>
          <w:p>
            <w:r>
              <w:t>Manage access controls</w:t>
            </w:r>
          </w:p>
        </w:tc>
        <w:tc>
          <w:tcPr>
            <w:tcW w:type="dxa" w:w="960"/>
          </w:tcPr>
          <w:p>
            <w:r>
              <w:t>I</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R</w:t>
            </w:r>
          </w:p>
        </w:tc>
        <w:tc>
          <w:tcPr>
            <w:tcW w:type="dxa" w:w="960"/>
          </w:tcPr>
          <w:p>
            <w:r>
              <w:t>I</w:t>
            </w:r>
          </w:p>
        </w:tc>
        <w:tc>
          <w:tcPr>
            <w:tcW w:type="dxa" w:w="960"/>
          </w:tcPr>
          <w:p>
            <w:r>
              <w:t>I</w:t>
            </w:r>
          </w:p>
        </w:tc>
      </w:tr>
      <w:tr>
        <w:tc>
          <w:tcPr>
            <w:tcW w:type="dxa" w:w="960"/>
          </w:tcPr>
          <w:p>
            <w:r>
              <w:t>Approve re-identification</w:t>
            </w:r>
          </w:p>
        </w:tc>
        <w:tc>
          <w:tcPr>
            <w:tcW w:type="dxa" w:w="960"/>
          </w:tcPr>
          <w:p>
            <w:r>
              <w:t>C</w:t>
            </w:r>
          </w:p>
        </w:tc>
        <w:tc>
          <w:tcPr>
            <w:tcW w:type="dxa" w:w="960"/>
          </w:tcPr>
          <w:p>
            <w:r>
              <w:t>A/R</w:t>
            </w:r>
          </w:p>
        </w:tc>
        <w:tc>
          <w:tcPr>
            <w:tcW w:type="dxa" w:w="960"/>
          </w:tcPr>
          <w:p>
            <w:r>
              <w:t>C</w:t>
            </w:r>
          </w:p>
        </w:tc>
        <w:tc>
          <w:tcPr>
            <w:tcW w:type="dxa" w:w="960"/>
          </w:tcPr>
          <w:p>
            <w:r>
              <w:t>C</w:t>
            </w:r>
          </w:p>
        </w:tc>
        <w:tc>
          <w:tcPr>
            <w:tcW w:type="dxa" w:w="960"/>
          </w:tcPr>
          <w:p>
            <w:r>
              <w:t>A/R</w:t>
            </w:r>
          </w:p>
        </w:tc>
        <w:tc>
          <w:tcPr>
            <w:tcW w:type="dxa" w:w="960"/>
          </w:tcPr>
          <w:p>
            <w:r>
              <w:t>R where technical access required</w:t>
            </w:r>
          </w:p>
        </w:tc>
        <w:tc>
          <w:tcPr>
            <w:tcW w:type="dxa" w:w="960"/>
          </w:tcPr>
          <w:p>
            <w:r>
              <w:t>C</w:t>
            </w:r>
          </w:p>
        </w:tc>
        <w:tc>
          <w:tcPr>
            <w:tcW w:type="dxa" w:w="960"/>
          </w:tcPr>
          <w:p>
            <w:r>
              <w:t>I</w:t>
            </w:r>
          </w:p>
        </w:tc>
      </w:tr>
      <w:tr>
        <w:tc>
          <w:tcPr>
            <w:tcW w:type="dxa" w:w="960"/>
          </w:tcPr>
          <w:p>
            <w:r>
              <w:t>Monitor use and misuse</w:t>
            </w:r>
          </w:p>
        </w:tc>
        <w:tc>
          <w:tcPr>
            <w:tcW w:type="dxa" w:w="960"/>
          </w:tcPr>
          <w:p>
            <w:r>
              <w:t>I</w:t>
            </w:r>
          </w:p>
        </w:tc>
        <w:tc>
          <w:tcPr>
            <w:tcW w:type="dxa" w:w="960"/>
          </w:tcPr>
          <w:p>
            <w:r>
              <w:t>C</w:t>
            </w:r>
          </w:p>
        </w:tc>
        <w:tc>
          <w:tcPr>
            <w:tcW w:type="dxa" w:w="960"/>
          </w:tcPr>
          <w:p>
            <w:r>
              <w:t>C</w:t>
            </w:r>
          </w:p>
        </w:tc>
        <w:tc>
          <w:tcPr>
            <w:tcW w:type="dxa" w:w="960"/>
          </w:tcPr>
          <w:p>
            <w:r>
              <w:t>A/R</w:t>
            </w:r>
          </w:p>
        </w:tc>
        <w:tc>
          <w:tcPr>
            <w:tcW w:type="dxa" w:w="960"/>
          </w:tcPr>
          <w:p>
            <w:r>
              <w:t>C</w:t>
            </w:r>
          </w:p>
        </w:tc>
        <w:tc>
          <w:tcPr>
            <w:tcW w:type="dxa" w:w="960"/>
          </w:tcPr>
          <w:p>
            <w:r>
              <w:t>R</w:t>
            </w:r>
          </w:p>
        </w:tc>
        <w:tc>
          <w:tcPr>
            <w:tcW w:type="dxa" w:w="960"/>
          </w:tcPr>
          <w:p>
            <w:r>
              <w:t>I</w:t>
            </w:r>
          </w:p>
        </w:tc>
        <w:tc>
          <w:tcPr>
            <w:tcW w:type="dxa" w:w="960"/>
          </w:tcPr>
          <w:p>
            <w:r>
              <w:t>I</w:t>
            </w:r>
          </w:p>
        </w:tc>
      </w:tr>
      <w:tr>
        <w:tc>
          <w:tcPr>
            <w:tcW w:type="dxa" w:w="960"/>
          </w:tcPr>
          <w:p>
            <w:r>
              <w:t>Retain and delete data</w:t>
            </w:r>
          </w:p>
        </w:tc>
        <w:tc>
          <w:tcPr>
            <w:tcW w:type="dxa" w:w="960"/>
          </w:tcPr>
          <w:p>
            <w:r>
              <w:t>I</w:t>
            </w:r>
          </w:p>
        </w:tc>
        <w:tc>
          <w:tcPr>
            <w:tcW w:type="dxa" w:w="960"/>
          </w:tcPr>
          <w:p>
            <w:r>
              <w:t>A/R</w:t>
            </w:r>
          </w:p>
        </w:tc>
        <w:tc>
          <w:tcPr>
            <w:tcW w:type="dxa" w:w="960"/>
          </w:tcPr>
          <w:p>
            <w:r>
              <w:t>C</w:t>
            </w:r>
          </w:p>
        </w:tc>
        <w:tc>
          <w:tcPr>
            <w:tcW w:type="dxa" w:w="960"/>
          </w:tcPr>
          <w:p>
            <w:r>
              <w:t>R</w:t>
            </w:r>
          </w:p>
        </w:tc>
        <w:tc>
          <w:tcPr>
            <w:tcW w:type="dxa" w:w="960"/>
          </w:tcPr>
          <w:p>
            <w:r>
              <w:t>C</w:t>
            </w:r>
          </w:p>
        </w:tc>
        <w:tc>
          <w:tcPr>
            <w:tcW w:type="dxa" w:w="960"/>
          </w:tcPr>
          <w:p>
            <w:r>
              <w:t>C</w:t>
            </w:r>
          </w:p>
        </w:tc>
        <w:tc>
          <w:tcPr>
            <w:tcW w:type="dxa" w:w="960"/>
          </w:tcPr>
          <w:p>
            <w:r>
              <w:t>I</w:t>
            </w:r>
          </w:p>
        </w:tc>
        <w:tc>
          <w:tcPr>
            <w:tcW w:type="dxa" w:w="960"/>
          </w:tcPr>
          <w:p>
            <w:r>
              <w:t>I</w:t>
            </w:r>
          </w:p>
        </w:tc>
      </w:tr>
      <w:tr>
        <w:tc>
          <w:tcPr>
            <w:tcW w:type="dxa" w:w="960"/>
          </w:tcPr>
          <w:p>
            <w:r>
              <w:t>Maintain records</w:t>
            </w:r>
          </w:p>
        </w:tc>
        <w:tc>
          <w:tcPr>
            <w:tcW w:type="dxa" w:w="960"/>
          </w:tcPr>
          <w:p>
            <w:r>
              <w:t>R</w:t>
            </w:r>
          </w:p>
        </w:tc>
        <w:tc>
          <w:tcPr>
            <w:tcW w:type="dxa" w:w="960"/>
          </w:tcPr>
          <w:p>
            <w:r>
              <w:t>A</w:t>
            </w:r>
          </w:p>
        </w:tc>
        <w:tc>
          <w:tcPr>
            <w:tcW w:type="dxa" w:w="960"/>
          </w:tcPr>
          <w:p>
            <w:r>
              <w:t>R</w:t>
            </w:r>
          </w:p>
        </w:tc>
        <w:tc>
          <w:tcPr>
            <w:tcW w:type="dxa" w:w="960"/>
          </w:tcPr>
          <w:p>
            <w:r>
              <w:t>C</w:t>
            </w:r>
          </w:p>
        </w:tc>
        <w:tc>
          <w:tcPr>
            <w:tcW w:type="dxa" w:w="960"/>
          </w:tcPr>
          <w:p>
            <w:r>
              <w:t>C</w:t>
            </w:r>
          </w:p>
        </w:tc>
        <w:tc>
          <w:tcPr>
            <w:tcW w:type="dxa" w:w="960"/>
          </w:tcPr>
          <w:p>
            <w:r>
              <w:t>C</w:t>
            </w:r>
          </w:p>
        </w:tc>
        <w:tc>
          <w:tcPr>
            <w:tcW w:type="dxa" w:w="960"/>
          </w:tcPr>
          <w:p>
            <w:r>
              <w:t>C</w:t>
            </w:r>
          </w:p>
        </w:tc>
        <w:tc>
          <w:tcPr>
            <w:tcW w:type="dxa" w:w="960"/>
          </w:tcPr>
          <w:p>
            <w:r>
              <w:t>I</w:t>
            </w:r>
          </w:p>
        </w:tc>
      </w:tr>
      <w:tr>
        <w:tc>
          <w:tcPr>
            <w:tcW w:type="dxa" w:w="960"/>
          </w:tcPr>
          <w:p>
            <w:r>
              <w:t>Review recurring transformations</w:t>
            </w:r>
          </w:p>
        </w:tc>
        <w:tc>
          <w:tcPr>
            <w:tcW w:type="dxa" w:w="960"/>
          </w:tcPr>
          <w:p>
            <w:r>
              <w:t>C</w:t>
            </w:r>
          </w:p>
        </w:tc>
        <w:tc>
          <w:tcPr>
            <w:tcW w:type="dxa" w:w="960"/>
          </w:tcPr>
          <w:p>
            <w:r>
              <w:t>A/R</w:t>
            </w:r>
          </w:p>
        </w:tc>
        <w:tc>
          <w:tcPr>
            <w:tcW w:type="dxa" w:w="960"/>
          </w:tcPr>
          <w:p>
            <w:r>
              <w:t>R</w:t>
            </w:r>
          </w:p>
        </w:tc>
        <w:tc>
          <w:tcPr>
            <w:tcW w:type="dxa" w:w="960"/>
          </w:tcPr>
          <w:p>
            <w:r>
              <w:t>C</w:t>
            </w:r>
          </w:p>
        </w:tc>
        <w:tc>
          <w:tcPr>
            <w:tcW w:type="dxa" w:w="960"/>
          </w:tcPr>
          <w:p>
            <w:r>
              <w:t>R</w:t>
            </w:r>
          </w:p>
        </w:tc>
        <w:tc>
          <w:tcPr>
            <w:tcW w:type="dxa" w:w="960"/>
          </w:tcPr>
          <w:p>
            <w:r>
              <w:t>R</w:t>
            </w:r>
          </w:p>
        </w:tc>
        <w:tc>
          <w:tcPr>
            <w:tcW w:type="dxa" w:w="960"/>
          </w:tcPr>
          <w:p>
            <w:r>
              <w:t>C</w:t>
            </w:r>
          </w:p>
        </w:tc>
        <w:tc>
          <w:tcPr>
            <w:tcW w:type="dxa" w:w="960"/>
          </w:tcPr>
          <w:p>
            <w:r>
              <w:t>I</w:t>
            </w:r>
          </w:p>
        </w:tc>
      </w:tr>
    </w:tbl>
    <w:p>
      <w:r>
        <w:t>RACI key:</w:t>
      </w:r>
    </w:p>
    <w:p>
      <w:pPr>
        <w:pStyle w:val="ListBullet"/>
      </w:pPr>
      <w:r>
        <w:t>R - Responsible for performing the activity.</w:t>
      </w:r>
    </w:p>
    <w:p>
      <w:pPr>
        <w:pStyle w:val="ListBullet"/>
      </w:pPr>
      <w:r>
        <w:t>A - Accountable for the outcome and approval.</w:t>
      </w:r>
    </w:p>
    <w:p>
      <w:pPr>
        <w:pStyle w:val="ListBullet"/>
      </w:pPr>
      <w:r>
        <w:t>C - Consulted before or during the activity.</w:t>
      </w:r>
    </w:p>
    <w:p>
      <w:pPr>
        <w:pStyle w:val="ListBullet"/>
      </w:pPr>
      <w:r>
        <w:t>I - Informed of the activity or outcome.</w:t>
      </w:r>
    </w:p>
    <w:p>
      <w:pPr>
        <w:pStyle w:val="Heading2"/>
      </w:pPr>
      <w:r>
        <w:t>Records &amp; Outputs</w:t>
      </w:r>
    </w:p>
    <w:p>
      <w:r>
        <w:t>The following records must be created and retained for each anonymisation or pseudonymisation activity.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Retention</w:t>
            </w:r>
          </w:p>
        </w:tc>
      </w:tr>
      <w:tr>
        <w:tc>
          <w:tcPr>
            <w:tcW w:type="dxa" w:w="2160"/>
          </w:tcPr>
          <w:p>
            <w:r>
              <w:t>De-identification request</w:t>
            </w:r>
          </w:p>
        </w:tc>
        <w:tc>
          <w:tcPr>
            <w:tcW w:type="dxa" w:w="2160"/>
          </w:tcPr>
          <w:p>
            <w:r>
              <w:t>Original request including purpose, dataset, recipient, environment, and frequency.</w:t>
            </w:r>
          </w:p>
        </w:tc>
        <w:tc>
          <w:tcPr>
            <w:tcW w:type="dxa" w:w="2160"/>
          </w:tcPr>
          <w:p>
            <w:r>
              <w:t>Request Owner</w:t>
            </w:r>
          </w:p>
        </w:tc>
        <w:tc>
          <w:tcPr>
            <w:tcW w:type="dxa" w:w="2160"/>
          </w:tcPr>
          <w:p>
            <w:r>
              <w:t>[Retention Period]</w:t>
            </w:r>
          </w:p>
        </w:tc>
      </w:tr>
      <w:tr>
        <w:tc>
          <w:tcPr>
            <w:tcW w:type="dxa" w:w="2160"/>
          </w:tcPr>
          <w:p>
            <w:r>
              <w:t>Dataset inventory</w:t>
            </w:r>
          </w:p>
        </w:tc>
        <w:tc>
          <w:tcPr>
            <w:tcW w:type="dxa" w:w="2160"/>
          </w:tcPr>
          <w:p>
            <w:r>
              <w:t>Source systems, data fields, data types, volume, and classification.</w:t>
            </w:r>
          </w:p>
        </w:tc>
        <w:tc>
          <w:tcPr>
            <w:tcW w:type="dxa" w:w="2160"/>
          </w:tcPr>
          <w:p>
            <w:r>
              <w:t>Data Owner</w:t>
            </w:r>
          </w:p>
        </w:tc>
        <w:tc>
          <w:tcPr>
            <w:tcW w:type="dxa" w:w="2160"/>
          </w:tcPr>
          <w:p>
            <w:r>
              <w:t>[Retention Period]</w:t>
            </w:r>
          </w:p>
        </w:tc>
      </w:tr>
      <w:tr>
        <w:tc>
          <w:tcPr>
            <w:tcW w:type="dxa" w:w="2160"/>
          </w:tcPr>
          <w:p>
            <w:r>
              <w:t>Field classification</w:t>
            </w:r>
          </w:p>
        </w:tc>
        <w:tc>
          <w:tcPr>
            <w:tcW w:type="dxa" w:w="2160"/>
          </w:tcPr>
          <w:p>
            <w:r>
              <w:t>Identification of direct identifiers, indirect identifiers, sensitive fields, and linkage fields.</w:t>
            </w:r>
          </w:p>
        </w:tc>
        <w:tc>
          <w:tcPr>
            <w:tcW w:type="dxa" w:w="2160"/>
          </w:tcPr>
          <w:p>
            <w:r>
              <w:t>Technical Owner</w:t>
            </w:r>
          </w:p>
        </w:tc>
        <w:tc>
          <w:tcPr>
            <w:tcW w:type="dxa" w:w="2160"/>
          </w:tcPr>
          <w:p>
            <w:r>
              <w:t>[Retention Period]</w:t>
            </w:r>
          </w:p>
        </w:tc>
      </w:tr>
      <w:tr>
        <w:tc>
          <w:tcPr>
            <w:tcW w:type="dxa" w:w="2160"/>
          </w:tcPr>
          <w:p>
            <w:r>
              <w:t>Necessity and minimisation review</w:t>
            </w:r>
          </w:p>
        </w:tc>
        <w:tc>
          <w:tcPr>
            <w:tcW w:type="dxa" w:w="2160"/>
          </w:tcPr>
          <w:p>
            <w:r>
              <w:t>Evidence that fields and records were reduced to the minimum required.</w:t>
            </w:r>
          </w:p>
        </w:tc>
        <w:tc>
          <w:tcPr>
            <w:tcW w:type="dxa" w:w="2160"/>
          </w:tcPr>
          <w:p>
            <w:r>
              <w:t>Data Owner</w:t>
            </w:r>
          </w:p>
        </w:tc>
        <w:tc>
          <w:tcPr>
            <w:tcW w:type="dxa" w:w="2160"/>
          </w:tcPr>
          <w:p>
            <w:r>
              <w:t>[Retention Period]</w:t>
            </w:r>
          </w:p>
        </w:tc>
      </w:tr>
      <w:tr>
        <w:tc>
          <w:tcPr>
            <w:tcW w:type="dxa" w:w="2160"/>
          </w:tcPr>
          <w:p>
            <w:r>
              <w:t>Re-identification risk assessment</w:t>
            </w:r>
          </w:p>
        </w:tc>
        <w:tc>
          <w:tcPr>
            <w:tcW w:type="dxa" w:w="2160"/>
          </w:tcPr>
          <w:p>
            <w:r>
              <w:t>Documented assessment of likelihood, impact, controls, and residual risk.</w:t>
            </w:r>
          </w:p>
        </w:tc>
        <w:tc>
          <w:tcPr>
            <w:tcW w:type="dxa" w:w="2160"/>
          </w:tcPr>
          <w:p>
            <w:r>
              <w:t>Privacy Team</w:t>
            </w:r>
          </w:p>
        </w:tc>
        <w:tc>
          <w:tcPr>
            <w:tcW w:type="dxa" w:w="2160"/>
          </w:tcPr>
          <w:p>
            <w:r>
              <w:t>[Retention Period]</w:t>
            </w:r>
          </w:p>
        </w:tc>
      </w:tr>
      <w:tr>
        <w:tc>
          <w:tcPr>
            <w:tcW w:type="dxa" w:w="2160"/>
          </w:tcPr>
          <w:p>
            <w:r>
              <w:t>Transformation design</w:t>
            </w:r>
          </w:p>
        </w:tc>
        <w:tc>
          <w:tcPr>
            <w:tcW w:type="dxa" w:w="2160"/>
          </w:tcPr>
          <w:p>
            <w:r>
              <w:t>Description of selected techniques, algorithms, parameters, tools, and logic.</w:t>
            </w:r>
          </w:p>
        </w:tc>
        <w:tc>
          <w:tcPr>
            <w:tcW w:type="dxa" w:w="2160"/>
          </w:tcPr>
          <w:p>
            <w:r>
              <w:t>Technical Owner</w:t>
            </w:r>
          </w:p>
        </w:tc>
        <w:tc>
          <w:tcPr>
            <w:tcW w:type="dxa" w:w="2160"/>
          </w:tcPr>
          <w:p>
            <w:r>
              <w:t>[Retention Period]</w:t>
            </w:r>
          </w:p>
        </w:tc>
      </w:tr>
      <w:tr>
        <w:tc>
          <w:tcPr>
            <w:tcW w:type="dxa" w:w="2160"/>
          </w:tcPr>
          <w:p>
            <w:r>
              <w:t>Approved scripts or configuration</w:t>
            </w:r>
          </w:p>
        </w:tc>
        <w:tc>
          <w:tcPr>
            <w:tcW w:type="dxa" w:w="2160"/>
          </w:tcPr>
          <w:p>
            <w:r>
              <w:t>Version-controlled scripts, code review evidence, tool configuration, and change records.</w:t>
            </w:r>
          </w:p>
        </w:tc>
        <w:tc>
          <w:tcPr>
            <w:tcW w:type="dxa" w:w="2160"/>
          </w:tcPr>
          <w:p>
            <w:r>
              <w:t>Technical Owner</w:t>
            </w:r>
          </w:p>
        </w:tc>
        <w:tc>
          <w:tcPr>
            <w:tcW w:type="dxa" w:w="2160"/>
          </w:tcPr>
          <w:p>
            <w:r>
              <w:t>[Retention Period]</w:t>
            </w:r>
          </w:p>
        </w:tc>
      </w:tr>
      <w:tr>
        <w:tc>
          <w:tcPr>
            <w:tcW w:type="dxa" w:w="2160"/>
          </w:tcPr>
          <w:p>
            <w:r>
              <w:t>Validation checklist</w:t>
            </w:r>
          </w:p>
        </w:tc>
        <w:tc>
          <w:tcPr>
            <w:tcW w:type="dxa" w:w="2160"/>
          </w:tcPr>
          <w:p>
            <w:r>
              <w:t>Evidence that transformation was tested and approved before release.</w:t>
            </w:r>
          </w:p>
        </w:tc>
        <w:tc>
          <w:tcPr>
            <w:tcW w:type="dxa" w:w="2160"/>
          </w:tcPr>
          <w:p>
            <w:r>
              <w:t>Technical Owner</w:t>
            </w:r>
          </w:p>
        </w:tc>
        <w:tc>
          <w:tcPr>
            <w:tcW w:type="dxa" w:w="2160"/>
          </w:tcPr>
          <w:p>
            <w:r>
              <w:t>[Retention Period]</w:t>
            </w:r>
          </w:p>
        </w:tc>
      </w:tr>
      <w:tr>
        <w:tc>
          <w:tcPr>
            <w:tcW w:type="dxa" w:w="2160"/>
          </w:tcPr>
          <w:p>
            <w:r>
              <w:t>Approval record</w:t>
            </w:r>
          </w:p>
        </w:tc>
        <w:tc>
          <w:tcPr>
            <w:tcW w:type="dxa" w:w="2160"/>
          </w:tcPr>
          <w:p>
            <w:r>
              <w:t>Data Owner, Privacy, Security, Legal, or senior risk approvals as applicable.</w:t>
            </w:r>
          </w:p>
        </w:tc>
        <w:tc>
          <w:tcPr>
            <w:tcW w:type="dxa" w:w="2160"/>
          </w:tcPr>
          <w:p>
            <w:r>
              <w:t>Data Owner</w:t>
            </w:r>
          </w:p>
        </w:tc>
        <w:tc>
          <w:tcPr>
            <w:tcW w:type="dxa" w:w="2160"/>
          </w:tcPr>
          <w:p>
            <w:r>
              <w:t>[Retention Period]</w:t>
            </w:r>
          </w:p>
        </w:tc>
      </w:tr>
      <w:tr>
        <w:tc>
          <w:tcPr>
            <w:tcW w:type="dxa" w:w="2160"/>
          </w:tcPr>
          <w:p>
            <w:r>
              <w:t>Release record</w:t>
            </w:r>
          </w:p>
        </w:tc>
        <w:tc>
          <w:tcPr>
            <w:tcW w:type="dxa" w:w="2160"/>
          </w:tcPr>
          <w:p>
            <w:r>
              <w:t>Date, recipient, location, dataset version, access group, and restrictions.</w:t>
            </w:r>
          </w:p>
        </w:tc>
        <w:tc>
          <w:tcPr>
            <w:tcW w:type="dxa" w:w="2160"/>
          </w:tcPr>
          <w:p>
            <w:r>
              <w:t>System Owner</w:t>
            </w:r>
          </w:p>
        </w:tc>
        <w:tc>
          <w:tcPr>
            <w:tcW w:type="dxa" w:w="2160"/>
          </w:tcPr>
          <w:p>
            <w:r>
              <w:t>[Retention Period]</w:t>
            </w:r>
          </w:p>
        </w:tc>
      </w:tr>
      <w:tr>
        <w:tc>
          <w:tcPr>
            <w:tcW w:type="dxa" w:w="2160"/>
          </w:tcPr>
          <w:p>
            <w:r>
              <w:t>Access control record</w:t>
            </w:r>
          </w:p>
        </w:tc>
        <w:tc>
          <w:tcPr>
            <w:tcW w:type="dxa" w:w="2160"/>
          </w:tcPr>
          <w:p>
            <w:r>
              <w:t>Users, roles, service accounts, privileged access, and review evidence.</w:t>
            </w:r>
          </w:p>
        </w:tc>
        <w:tc>
          <w:tcPr>
            <w:tcW w:type="dxa" w:w="2160"/>
          </w:tcPr>
          <w:p>
            <w:r>
              <w:t>System Owner</w:t>
            </w:r>
          </w:p>
        </w:tc>
        <w:tc>
          <w:tcPr>
            <w:tcW w:type="dxa" w:w="2160"/>
          </w:tcPr>
          <w:p>
            <w:r>
              <w:t>[Retention Period]</w:t>
            </w:r>
          </w:p>
        </w:tc>
      </w:tr>
      <w:tr>
        <w:tc>
          <w:tcPr>
            <w:tcW w:type="dxa" w:w="2160"/>
          </w:tcPr>
          <w:p>
            <w:r>
              <w:t>Mapping/key management record</w:t>
            </w:r>
          </w:p>
        </w:tc>
        <w:tc>
          <w:tcPr>
            <w:tcW w:type="dxa" w:w="2160"/>
          </w:tcPr>
          <w:p>
            <w:r>
              <w:t>Location, owner, access controls, rotation, and audit trail for re-identification materials.</w:t>
            </w:r>
          </w:p>
        </w:tc>
        <w:tc>
          <w:tcPr>
            <w:tcW w:type="dxa" w:w="2160"/>
          </w:tcPr>
          <w:p>
            <w:r>
              <w:t>Information Security</w:t>
            </w:r>
          </w:p>
        </w:tc>
        <w:tc>
          <w:tcPr>
            <w:tcW w:type="dxa" w:w="2160"/>
          </w:tcPr>
          <w:p>
            <w:r>
              <w:t>[Retention Period]</w:t>
            </w:r>
          </w:p>
        </w:tc>
      </w:tr>
      <w:tr>
        <w:tc>
          <w:tcPr>
            <w:tcW w:type="dxa" w:w="2160"/>
          </w:tcPr>
          <w:p>
            <w:r>
              <w:t>Re-identification request record</w:t>
            </w:r>
          </w:p>
        </w:tc>
        <w:tc>
          <w:tcPr>
            <w:tcW w:type="dxa" w:w="2160"/>
          </w:tcPr>
          <w:p>
            <w:r>
              <w:t>Requests, approvals, outputs, and audit logs for re-identification events.</w:t>
            </w:r>
          </w:p>
        </w:tc>
        <w:tc>
          <w:tcPr>
            <w:tcW w:type="dxa" w:w="2160"/>
          </w:tcPr>
          <w:p>
            <w:r>
              <w:t>Privacy Team</w:t>
            </w:r>
          </w:p>
        </w:tc>
        <w:tc>
          <w:tcPr>
            <w:tcW w:type="dxa" w:w="2160"/>
          </w:tcPr>
          <w:p>
            <w:r>
              <w:t>[Retention Period]</w:t>
            </w:r>
          </w:p>
        </w:tc>
      </w:tr>
      <w:tr>
        <w:tc>
          <w:tcPr>
            <w:tcW w:type="dxa" w:w="2160"/>
          </w:tcPr>
          <w:p>
            <w:r>
              <w:t>Recipient restrictions</w:t>
            </w:r>
          </w:p>
        </w:tc>
        <w:tc>
          <w:tcPr>
            <w:tcW w:type="dxa" w:w="2160"/>
          </w:tcPr>
          <w:p>
            <w:r>
              <w:t>Contractual, confidentiality, data sharing, or usage restrictions.</w:t>
            </w:r>
          </w:p>
        </w:tc>
        <w:tc>
          <w:tcPr>
            <w:tcW w:type="dxa" w:w="2160"/>
          </w:tcPr>
          <w:p>
            <w:r>
              <w:t>Legal</w:t>
            </w:r>
          </w:p>
        </w:tc>
        <w:tc>
          <w:tcPr>
            <w:tcW w:type="dxa" w:w="2160"/>
          </w:tcPr>
          <w:p>
            <w:r>
              <w:t>[Retention Period]</w:t>
            </w:r>
          </w:p>
        </w:tc>
      </w:tr>
      <w:tr>
        <w:tc>
          <w:tcPr>
            <w:tcW w:type="dxa" w:w="2160"/>
          </w:tcPr>
          <w:p>
            <w:r>
              <w:t>Retention and deletion evidence</w:t>
            </w:r>
          </w:p>
        </w:tc>
        <w:tc>
          <w:tcPr>
            <w:tcW w:type="dxa" w:w="2160"/>
          </w:tcPr>
          <w:p>
            <w:r>
              <w:t>Evidence of expiry, deletion, anonymisation, or approved extension.</w:t>
            </w:r>
          </w:p>
        </w:tc>
        <w:tc>
          <w:tcPr>
            <w:tcW w:type="dxa" w:w="2160"/>
          </w:tcPr>
          <w:p>
            <w:r>
              <w:t>Data Owner / System Owner</w:t>
            </w:r>
          </w:p>
        </w:tc>
        <w:tc>
          <w:tcPr>
            <w:tcW w:type="dxa" w:w="2160"/>
          </w:tcPr>
          <w:p>
            <w:r>
              <w:t>[Retention Period]</w:t>
            </w:r>
          </w:p>
        </w:tc>
      </w:tr>
      <w:tr>
        <w:tc>
          <w:tcPr>
            <w:tcW w:type="dxa" w:w="2160"/>
          </w:tcPr>
          <w:p>
            <w:r>
              <w:t>Review record</w:t>
            </w:r>
          </w:p>
        </w:tc>
        <w:tc>
          <w:tcPr>
            <w:tcW w:type="dxa" w:w="2160"/>
          </w:tcPr>
          <w:p>
            <w:r>
              <w:t>Periodic review of recurring transformations and any required remediation.</w:t>
            </w:r>
          </w:p>
        </w:tc>
        <w:tc>
          <w:tcPr>
            <w:tcW w:type="dxa" w:w="2160"/>
          </w:tcPr>
          <w:p>
            <w:r>
              <w:t>Data Owner</w:t>
            </w:r>
          </w:p>
        </w:tc>
        <w:tc>
          <w:tcPr>
            <w:tcW w:type="dxa" w:w="2160"/>
          </w:tcPr>
          <w:p>
            <w:r>
              <w:t>[Retention Period]</w:t>
            </w:r>
          </w:p>
        </w:tc>
      </w:tr>
      <w:tr>
        <w:tc>
          <w:tcPr>
            <w:tcW w:type="dxa" w:w="2160"/>
          </w:tcPr>
          <w:p>
            <w:r>
              <w:t>Exception record</w:t>
            </w:r>
          </w:p>
        </w:tc>
        <w:tc>
          <w:tcPr>
            <w:tcW w:type="dxa" w:w="2160"/>
          </w:tcPr>
          <w:p>
            <w:r>
              <w:t>Approved deviations, compensating controls, expiry date, and risk acceptance.</w:t>
            </w:r>
          </w:p>
        </w:tc>
        <w:tc>
          <w:tcPr>
            <w:tcW w:type="dxa" w:w="2160"/>
          </w:tcPr>
          <w:p>
            <w:r>
              <w:t>Privacy Team</w:t>
            </w:r>
          </w:p>
        </w:tc>
        <w:tc>
          <w:tcPr>
            <w:tcW w:type="dxa" w:w="2160"/>
          </w:tcPr>
          <w:p>
            <w:r>
              <w:t>[Retention Period]</w:t>
            </w:r>
          </w:p>
        </w:tc>
      </w:tr>
    </w:tbl>
    <w:p>
      <w:r>
        <w:t>Required outputs may include:</w:t>
      </w:r>
    </w:p>
    <w:p>
      <w:pPr>
        <w:pStyle w:val="ListBullet"/>
      </w:pPr>
      <w:r>
        <w:t>Anonymised dataset.</w:t>
      </w:r>
    </w:p>
    <w:p>
      <w:pPr>
        <w:pStyle w:val="ListBullet"/>
      </w:pPr>
      <w:r>
        <w:t>Pseudonymised dataset.</w:t>
      </w:r>
    </w:p>
    <w:p>
      <w:pPr>
        <w:pStyle w:val="ListBullet"/>
      </w:pPr>
      <w:r>
        <w:t>Aggregated report.</w:t>
      </w:r>
    </w:p>
    <w:p>
      <w:pPr>
        <w:pStyle w:val="ListBullet"/>
      </w:pPr>
      <w:r>
        <w:t>Masked dataset.</w:t>
      </w:r>
    </w:p>
    <w:p>
      <w:pPr>
        <w:pStyle w:val="ListBullet"/>
      </w:pPr>
      <w:r>
        <w:t>Redacted document set.</w:t>
      </w:r>
    </w:p>
    <w:p>
      <w:pPr>
        <w:pStyle w:val="ListBullet"/>
      </w:pPr>
      <w:r>
        <w:t>Synthetic dataset.</w:t>
      </w:r>
    </w:p>
    <w:p>
      <w:pPr>
        <w:pStyle w:val="ListBullet"/>
      </w:pPr>
      <w:r>
        <w:t>Tokenised or encrypted data extract.</w:t>
      </w:r>
    </w:p>
    <w:p>
      <w:pPr>
        <w:pStyle w:val="ListBullet"/>
      </w:pPr>
      <w:r>
        <w:t>Validated dashboard or analytics workspace.</w:t>
      </w:r>
    </w:p>
    <w:p>
      <w:pPr>
        <w:pStyle w:val="ListBullet"/>
      </w:pPr>
      <w:r>
        <w:t>Secure data feed or API output.</w:t>
      </w:r>
    </w:p>
    <w:p>
      <w:pPr>
        <w:pStyle w:val="ListBullet"/>
      </w:pPr>
      <w:r>
        <w:t>Re-identification output, where separately approved.</w:t>
      </w:r>
    </w:p>
    <w:p>
      <w:r>
        <w:t>All records must be stored in [Repository/System Name] with access limited to authorised personnel.</w:t>
      </w:r>
    </w:p>
    <w:p>
      <w:pPr>
        <w:pStyle w:val="Heading2"/>
      </w:pPr>
      <w:r>
        <w:t>Exceptions &amp; Escalation</w:t>
      </w:r>
    </w:p>
    <w:p>
      <w:r>
        <w:t>Exceptions to this procedure are permitted only where there is a documented business need and the associated privacy and security risks have been assessed and approved.</w:t>
      </w:r>
    </w:p>
    <w:p>
      <w:r>
        <w:t>Examples of exceptions include:</w:t>
      </w:r>
    </w:p>
    <w:p>
      <w:pPr>
        <w:pStyle w:val="ListBullet"/>
      </w:pPr>
      <w:r>
        <w:t>Use of identifiable production data in a non-production environment.</w:t>
      </w:r>
    </w:p>
    <w:p>
      <w:pPr>
        <w:pStyle w:val="ListBullet"/>
      </w:pPr>
      <w:r>
        <w:t>Release of pseudonymised data without full validation.</w:t>
      </w:r>
    </w:p>
    <w:p>
      <w:pPr>
        <w:pStyle w:val="ListBullet"/>
      </w:pPr>
      <w:r>
        <w:t>Retention of mapping files beyond the approved period.</w:t>
      </w:r>
    </w:p>
    <w:p>
      <w:pPr>
        <w:pStyle w:val="ListBullet"/>
      </w:pPr>
      <w:r>
        <w:t>Access to both pseudonymised data and re-identification materials by the same user or team.</w:t>
      </w:r>
    </w:p>
    <w:p>
      <w:pPr>
        <w:pStyle w:val="ListBullet"/>
      </w:pPr>
      <w:r>
        <w:t>Use of deterministic tokens across multiple purposes without approval.</w:t>
      </w:r>
    </w:p>
    <w:p>
      <w:pPr>
        <w:pStyle w:val="ListBullet"/>
      </w:pPr>
      <w:r>
        <w:t>External sharing where contractual restrictions are not yet finalised.</w:t>
      </w:r>
    </w:p>
    <w:p>
      <w:pPr>
        <w:pStyle w:val="ListBullet"/>
      </w:pPr>
      <w:r>
        <w:t>Use of free-text data without complete redaction.</w:t>
      </w:r>
    </w:p>
    <w:p>
      <w:pPr>
        <w:pStyle w:val="ListBullet"/>
      </w:pPr>
      <w:r>
        <w:t>Delayed deletion of transformed datasets.</w:t>
      </w:r>
    </w:p>
    <w:p>
      <w:pPr>
        <w:pStyle w:val="ListBullet"/>
      </w:pPr>
      <w:r>
        <w:t>Emergency re-identification before standard approval is completed.</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title</w:t>
            </w:r>
          </w:p>
        </w:tc>
        <w:tc>
          <w:tcPr>
            <w:tcW w:type="dxa" w:w="4320"/>
          </w:tcPr>
          <w:p>
            <w:r>
              <w:t>Short description of the requested deviation</w:t>
            </w:r>
          </w:p>
        </w:tc>
      </w:tr>
      <w:tr>
        <w:tc>
          <w:tcPr>
            <w:tcW w:type="dxa" w:w="4320"/>
          </w:tcPr>
          <w:p>
            <w:r>
              <w:t>Procedure requirement affected</w:t>
            </w:r>
          </w:p>
        </w:tc>
        <w:tc>
          <w:tcPr>
            <w:tcW w:type="dxa" w:w="4320"/>
          </w:tcPr>
          <w:p>
            <w:r>
              <w:t>Description of the requirement that cannot be met</w:t>
            </w:r>
          </w:p>
        </w:tc>
      </w:tr>
      <w:tr>
        <w:tc>
          <w:tcPr>
            <w:tcW w:type="dxa" w:w="4320"/>
          </w:tcPr>
          <w:p>
            <w:r>
              <w:t>Business justification</w:t>
            </w:r>
          </w:p>
        </w:tc>
        <w:tc>
          <w:tcPr>
            <w:tcW w:type="dxa" w:w="4320"/>
          </w:tcPr>
          <w:p>
            <w:r>
              <w:t>Why the exception is necessary</w:t>
            </w:r>
          </w:p>
        </w:tc>
      </w:tr>
      <w:tr>
        <w:tc>
          <w:tcPr>
            <w:tcW w:type="dxa" w:w="4320"/>
          </w:tcPr>
          <w:p>
            <w:r>
              <w:t>Dataset and individuals affected</w:t>
            </w:r>
          </w:p>
        </w:tc>
        <w:tc>
          <w:tcPr>
            <w:tcW w:type="dxa" w:w="4320"/>
          </w:tcPr>
          <w:p>
            <w:r>
              <w:t>Scope and sensitivity of the data</w:t>
            </w:r>
          </w:p>
        </w:tc>
      </w:tr>
      <w:tr>
        <w:tc>
          <w:tcPr>
            <w:tcW w:type="dxa" w:w="4320"/>
          </w:tcPr>
          <w:p>
            <w:r>
              <w:t>Risk assessment</w:t>
            </w:r>
          </w:p>
        </w:tc>
        <w:tc>
          <w:tcPr>
            <w:tcW w:type="dxa" w:w="4320"/>
          </w:tcPr>
          <w:p>
            <w:r>
              <w:t>Privacy, security, operational, and legal risk</w:t>
            </w:r>
          </w:p>
        </w:tc>
      </w:tr>
      <w:tr>
        <w:tc>
          <w:tcPr>
            <w:tcW w:type="dxa" w:w="4320"/>
          </w:tcPr>
          <w:p>
            <w:r>
              <w:t>Compensating controls</w:t>
            </w:r>
          </w:p>
        </w:tc>
        <w:tc>
          <w:tcPr>
            <w:tcW w:type="dxa" w:w="4320"/>
          </w:tcPr>
          <w:p>
            <w:r>
              <w:t>Measures to reduce risk during the exception period</w:t>
            </w:r>
          </w:p>
        </w:tc>
      </w:tr>
      <w:tr>
        <w:tc>
          <w:tcPr>
            <w:tcW w:type="dxa" w:w="4320"/>
          </w:tcPr>
          <w:p>
            <w:r>
              <w:t>Duration</w:t>
            </w:r>
          </w:p>
        </w:tc>
        <w:tc>
          <w:tcPr>
            <w:tcW w:type="dxa" w:w="4320"/>
          </w:tcPr>
          <w:p>
            <w:r>
              <w:t>Start date and expiry date</w:t>
            </w:r>
          </w:p>
        </w:tc>
      </w:tr>
      <w:tr>
        <w:tc>
          <w:tcPr>
            <w:tcW w:type="dxa" w:w="4320"/>
          </w:tcPr>
          <w:p>
            <w:r>
              <w:t>Approval required</w:t>
            </w:r>
          </w:p>
        </w:tc>
        <w:tc>
          <w:tcPr>
            <w:tcW w:type="dxa" w:w="4320"/>
          </w:tcPr>
          <w:p>
            <w:r>
              <w:t>Roles required to approve the exception</w:t>
            </w:r>
          </w:p>
        </w:tc>
      </w:tr>
      <w:tr>
        <w:tc>
          <w:tcPr>
            <w:tcW w:type="dxa" w:w="4320"/>
          </w:tcPr>
          <w:p>
            <w:r>
              <w:t>Review plan</w:t>
            </w:r>
          </w:p>
        </w:tc>
        <w:tc>
          <w:tcPr>
            <w:tcW w:type="dxa" w:w="4320"/>
          </w:tcPr>
          <w:p>
            <w:r>
              <w:t>How and when the exception will be reviewed or closed</w:t>
            </w:r>
          </w:p>
        </w:tc>
      </w:tr>
    </w:tbl>
    <w:p>
      <w:r>
        <w:t>Approval requirements:</w:t>
      </w:r>
    </w:p>
    <w:p>
      <w:pPr>
        <w:pStyle w:val="ListBullet"/>
      </w:pPr>
      <w:r>
        <w:t>Low-risk exceptions require approval from the Data Owner and Privacy Team.</w:t>
      </w:r>
    </w:p>
    <w:p>
      <w:pPr>
        <w:pStyle w:val="ListBullet"/>
      </w:pPr>
      <w:r>
        <w:t>Medium-risk exceptions require approval from the Data Owner, Privacy Team, and Information Security.</w:t>
      </w:r>
    </w:p>
    <w:p>
      <w:pPr>
        <w:pStyle w:val="ListBullet"/>
      </w:pPr>
      <w:r>
        <w:t>High-risk exceptions require approval from the Senior Risk Owner, with input from the Data Protection Officer, Information Security, and Legal.</w:t>
      </w:r>
    </w:p>
    <w:p>
      <w:pPr>
        <w:pStyle w:val="ListBullet"/>
      </w:pPr>
      <w:r>
        <w:t>Exceptions involving external disclosure, public release, high-risk data, or possible significant impact to individuals must be escalated to [Executive Committee/Risk Committee Name].</w:t>
      </w:r>
    </w:p>
    <w:p>
      <w:r>
        <w:t>Escalation must occur immediately where:</w:t>
      </w:r>
    </w:p>
    <w:p>
      <w:pPr>
        <w:pStyle w:val="ListBullet"/>
      </w:pPr>
      <w:r>
        <w:t>Re-identification occurs without approval.</w:t>
      </w:r>
    </w:p>
    <w:p>
      <w:pPr>
        <w:pStyle w:val="ListBullet"/>
      </w:pPr>
      <w:r>
        <w:t>Anonymised data is suspected to be re-identifiable.</w:t>
      </w:r>
    </w:p>
    <w:p>
      <w:pPr>
        <w:pStyle w:val="ListBullet"/>
      </w:pPr>
      <w:r>
        <w:t>Mapping files, keys, salts, or token vaults are exposed.</w:t>
      </w:r>
    </w:p>
    <w:p>
      <w:pPr>
        <w:pStyle w:val="ListBullet"/>
      </w:pPr>
      <w:r>
        <w:t>Transformed data is shared with an unauthorised recipient.</w:t>
      </w:r>
    </w:p>
    <w:p>
      <w:pPr>
        <w:pStyle w:val="ListBullet"/>
      </w:pPr>
      <w:r>
        <w:t>A recipient breaches usage restrictions.</w:t>
      </w:r>
    </w:p>
    <w:p>
      <w:pPr>
        <w:pStyle w:val="ListBullet"/>
      </w:pPr>
      <w:r>
        <w:t>Data is used for a purpose not approved in the request.</w:t>
      </w:r>
    </w:p>
    <w:p>
      <w:pPr>
        <w:pStyle w:val="ListBullet"/>
      </w:pPr>
      <w:r>
        <w:t>A dataset is lost, stolen, or accessed by an unauthorised party.</w:t>
      </w:r>
    </w:p>
    <w:p>
      <w:pPr>
        <w:pStyle w:val="ListBullet"/>
      </w:pPr>
      <w:r>
        <w:t>Individual rights cannot be fulfilled due to incomplete transformation records.</w:t>
      </w:r>
    </w:p>
    <w:p>
      <w:pPr>
        <w:pStyle w:val="ListBullet"/>
      </w:pPr>
      <w:r>
        <w:t>A high residual risk remains unresolved.</w:t>
      </w:r>
    </w:p>
    <w:p>
      <w:r>
        <w:t>Suspected privacy or security incidents must be reported through [Incident Reporting Channel] immediately and handled under the organisation’s incident management and breach response procedures.</w:t>
      </w:r>
    </w:p>
    <w:p>
      <w:pPr>
        <w:pStyle w:val="Heading2"/>
      </w:pPr>
      <w:r>
        <w:t>Review</w:t>
      </w:r>
    </w:p>
    <w:p>
      <w:r>
        <w:t>This procedure must be reviewed at least annually by the Data Protection Officer, Privacy Team, Information Security, and relevant Data Owners.</w:t>
      </w:r>
    </w:p>
    <w:p>
      <w:r>
        <w:t>The review must confirm that:</w:t>
      </w:r>
    </w:p>
    <w:p>
      <w:pPr>
        <w:pStyle w:val="ListBullet"/>
      </w:pPr>
      <w:r>
        <w:t>The procedure remains aligned with organisational processing activities.</w:t>
      </w:r>
    </w:p>
    <w:p>
      <w:pPr>
        <w:pStyle w:val="ListBullet"/>
      </w:pPr>
      <w:r>
        <w:t>Transformation techniques remain effective against current re-identification risks.</w:t>
      </w:r>
    </w:p>
    <w:p>
      <w:pPr>
        <w:pStyle w:val="ListBullet"/>
      </w:pPr>
      <w:r>
        <w:t>Approved tools and scripts remain secure and supported.</w:t>
      </w:r>
    </w:p>
    <w:p>
      <w:pPr>
        <w:pStyle w:val="ListBullet"/>
      </w:pPr>
      <w:r>
        <w:t>Access controls and segregation of duties remain appropriate.</w:t>
      </w:r>
    </w:p>
    <w:p>
      <w:pPr>
        <w:pStyle w:val="ListBullet"/>
      </w:pPr>
      <w:r>
        <w:t>Mapping files, keys, salts, and token vaults are properly protected.</w:t>
      </w:r>
    </w:p>
    <w:p>
      <w:pPr>
        <w:pStyle w:val="ListBullet"/>
      </w:pPr>
      <w:r>
        <w:t>Recurring transformations are reviewed and re-approved as required.</w:t>
      </w:r>
    </w:p>
    <w:p>
      <w:pPr>
        <w:pStyle w:val="ListBullet"/>
      </w:pPr>
      <w:r>
        <w:t>Records are complete and retained according to approved periods.</w:t>
      </w:r>
    </w:p>
    <w:p>
      <w:pPr>
        <w:pStyle w:val="ListBullet"/>
      </w:pPr>
      <w:r>
        <w:t>Exceptions are closed or renewed with valid justification.</w:t>
      </w:r>
    </w:p>
    <w:p>
      <w:pPr>
        <w:pStyle w:val="ListBullet"/>
      </w:pPr>
      <w:r>
        <w:t>Lessons learned from incidents, audits, data subject requests, and third-party reviews are incorporated.</w:t>
      </w:r>
    </w:p>
    <w:p>
      <w:pPr>
        <w:pStyle w:val="ListBullet"/>
      </w:pPr>
      <w:r>
        <w:t>Training and awareness materials remain current.</w:t>
      </w:r>
    </w:p>
    <w:p>
      <w:r>
        <w:t>A review must also be performed when:</w:t>
      </w:r>
    </w:p>
    <w:p>
      <w:pPr>
        <w:pStyle w:val="ListBullet"/>
      </w:pPr>
      <w:r>
        <w:t>New processing activities require large-scale anonymisation or pseudonymisation.</w:t>
      </w:r>
    </w:p>
    <w:p>
      <w:pPr>
        <w:pStyle w:val="ListBullet"/>
      </w:pPr>
      <w:r>
        <w:t>New high-risk datasets are introduced.</w:t>
      </w:r>
    </w:p>
    <w:p>
      <w:pPr>
        <w:pStyle w:val="ListBullet"/>
      </w:pPr>
      <w:r>
        <w:t>Existing datasets are linked in a new way.</w:t>
      </w:r>
    </w:p>
    <w:p>
      <w:pPr>
        <w:pStyle w:val="ListBullet"/>
      </w:pPr>
      <w:r>
        <w:t>Data is shared with a new category of recipient.</w:t>
      </w:r>
    </w:p>
    <w:p>
      <w:pPr>
        <w:pStyle w:val="ListBullet"/>
      </w:pPr>
      <w:r>
        <w:t>A new anonymisation, tokenisation, encryption, masking, or synthetic data tool is implemented.</w:t>
      </w:r>
    </w:p>
    <w:p>
      <w:pPr>
        <w:pStyle w:val="ListBullet"/>
      </w:pPr>
      <w:r>
        <w:t>A significant privacy or security incident occurs.</w:t>
      </w:r>
    </w:p>
    <w:p>
      <w:pPr>
        <w:pStyle w:val="ListBullet"/>
      </w:pPr>
      <w:r>
        <w:t>Material changes are made to systems, data architecture, analytics platforms, or cloud services.</w:t>
      </w:r>
    </w:p>
    <w:p>
      <w:pPr>
        <w:pStyle w:val="ListBullet"/>
      </w:pPr>
      <w:r>
        <w:t>Legal, regulatory, contractual, or business requirements materially change.</w:t>
      </w:r>
    </w:p>
    <w:p>
      <w:r>
        <w:t>Review outcomes must be documented in [Repository/System Name], including decisions, required updates, assigned actions, owners, and due 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