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Encryption &amp; Decryption Policy</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[POL-ENC-001]</w:t>
            </w:r>
          </w:p>
        </w:tc>
      </w:tr>
      <w:tr>
        <w:tc>
          <w:tcPr>
            <w:tcW w:type="dxa" w:w="4320"/>
          </w:tcPr>
          <w:p>
            <w:r>
              <w:t>Version</w:t>
            </w:r>
          </w:p>
        </w:tc>
        <w:tc>
          <w:tcPr>
            <w:tcW w:type="dxa" w:w="4320"/>
          </w:tcPr>
          <w:p>
            <w:r>
              <w:t>1.0</w:t>
            </w:r>
          </w:p>
        </w:tc>
      </w:tr>
      <w:tr>
        <w:tc>
          <w:tcPr>
            <w:tcW w:type="dxa" w:w="4320"/>
          </w:tcPr>
          <w:p>
            <w:r>
              <w:t>Owner</w:t>
            </w:r>
          </w:p>
        </w:tc>
        <w:tc>
          <w:tcPr>
            <w:tcW w:type="dxa" w:w="4320"/>
          </w:tcPr>
          <w:p>
            <w:r>
              <w:t>[Information Security Officer]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HIPAA</w:t>
            </w:r>
          </w:p>
        </w:tc>
      </w:tr>
      <w:tr>
        <w:tc>
          <w:tcPr>
            <w:tcW w:type="dxa" w:w="4320"/>
          </w:tcPr>
          <w:p>
            <w:r>
              <w:t>Classification</w:t>
            </w:r>
          </w:p>
        </w:tc>
        <w:tc>
          <w:tcPr>
            <w:tcW w:type="dxa" w:w="4320"/>
          </w:tcPr>
          <w:p>
            <w:r>
              <w:t>Internal</w:t>
            </w:r>
          </w:p>
        </w:tc>
      </w:tr>
    </w:tbl>
    <w:p>
      <w:pPr>
        <w:pStyle w:val="Heading2"/>
      </w:pPr>
      <w:r>
        <w:t>Purpose</w:t>
      </w:r>
    </w:p>
    <w:p>
      <w:r>
        <w:t>This Policy establishes mandatory requirements for the encryption and decryption of electronic protected health information (ePHI) to preserve its confidentiality, integrity, and availability. It defines how ePHI shall be protected when stored, processed, transmitted, backed up, accessed remotely, or handled by workforce members, systems, applications, vendors, and business associates.</w:t>
      </w:r>
    </w:p>
    <w:p>
      <w:r>
        <w:t>The purpose of this Policy is to reduce the risk of unauthorized access, disclosure, alteration, or loss of ePHI by requiring the use of approved encryption methods and controlled decryption processes across the organization’s technology environment.</w:t>
      </w:r>
    </w:p>
    <w:p>
      <w:pPr>
        <w:pStyle w:val="Heading2"/>
      </w:pPr>
      <w:r>
        <w:t>Scope</w:t>
      </w:r>
    </w:p>
    <w:p>
      <w:r>
        <w:t>This Policy applies to:</w:t>
      </w:r>
    </w:p>
    <w:p>
      <w:pPr>
        <w:pStyle w:val="ListBullet"/>
      </w:pPr>
      <w:r>
        <w:t>All workforce members, including employees, contractors, temporary personnel, interns, volunteers, and other individuals who access, process, transmit, administer, or support systems containing ePHI.</w:t>
      </w:r>
    </w:p>
    <w:p>
      <w:pPr>
        <w:pStyle w:val="ListBullet"/>
      </w:pPr>
      <w:r>
        <w:t>All information systems, applications, databases, endpoints, servers, mobile devices, removable media, cloud services, network infrastructure, messaging platforms, backup systems, and storage repositories that create, receive, maintain, process, store, or transmit ePHI.</w:t>
      </w:r>
    </w:p>
    <w:p>
      <w:pPr>
        <w:pStyle w:val="ListBullet"/>
      </w:pPr>
      <w:r>
        <w:t>All ePHI at rest, in transit, and within backups, archives, exports, reports, logs, file transfers, integrations, and data exchanges.</w:t>
      </w:r>
    </w:p>
    <w:p>
      <w:pPr>
        <w:pStyle w:val="ListBullet"/>
      </w:pPr>
      <w:r>
        <w:t>All vendors, subcontractors, managed service providers, cloud service providers, and business associates that create, receive, maintain, process, store, transmit, or otherwise access ePHI on behalf of the organization.</w:t>
      </w:r>
    </w:p>
    <w:p>
      <w:pPr>
        <w:pStyle w:val="ListBullet"/>
      </w:pPr>
      <w:r>
        <w:t>All environments, including production, non-production, test, development, disaster recovery, remote work, and third-party hosted environments, where ePHI is present or may reasonably be present.</w:t>
      </w:r>
    </w:p>
    <w:p>
      <w:r>
        <w:t>This Policy applies regardless of device ownership, network location, hosting model, or transmission method.</w:t>
      </w:r>
    </w:p>
    <w:p>
      <w:pPr>
        <w:pStyle w:val="Heading2"/>
      </w:pPr>
      <w:r>
        <w:t>Policy Statements</w:t>
      </w:r>
    </w:p>
    <w:p>
      <w:pPr>
        <w:pStyle w:val="ListBullet"/>
      </w:pPr>
      <w:r>
        <w:t>The organization shall encrypt ePHI at rest and in transit using encryption technologies, protocols, configurations, and key lengths approved by [Information Security].</w:t>
      </w:r>
    </w:p>
    <w:p>
      <w:pPr>
        <w:pStyle w:val="ListBullet"/>
      </w:pPr>
      <w:r>
        <w:t>The organization shall ensure encryption is implemented wherever ePHI is stored, including but not limited to databases, file shares, application storage, servers, endpoints, mobile devices, removable media, backups, archives, cloud storage, and replicated environments.</w:t>
      </w:r>
    </w:p>
    <w:p>
      <w:pPr>
        <w:pStyle w:val="ListBullet"/>
      </w:pPr>
      <w:r>
        <w:t>The organization shall ensure encryption is implemented wherever ePHI is transmitted over any network, including internal networks, external networks, wireless networks, remote access connections, application programming interfaces, email systems, file transfer services, third-party integrations, and internet-facing services.</w:t>
      </w:r>
    </w:p>
    <w:p>
      <w:pPr>
        <w:pStyle w:val="ListBullet"/>
      </w:pPr>
      <w:r>
        <w:t>The organization shall use encryption algorithms and protocols that are widely accepted as secure for healthcare information protection and shall prohibit deprecated, weak, obsolete, or unsupported encryption methods.</w:t>
      </w:r>
    </w:p>
    <w:p>
      <w:pPr>
        <w:pStyle w:val="ListBullet"/>
      </w:pPr>
      <w:r>
        <w:t>The organization shall maintain an approved encryption standard that defines permitted algorithms, protocols, cipher suites, key lengths, certificate requirements, key management practices, and configuration baselines.</w:t>
      </w:r>
    </w:p>
    <w:p>
      <w:pPr>
        <w:pStyle w:val="ListBullet"/>
      </w:pPr>
      <w:r>
        <w:t>The organization shall prohibit the storage, transmission, or sharing of ePHI in clear text unless an approved exception is documented, risk assessed, time-bound, and authorized in accordance with this Policy.</w:t>
      </w:r>
    </w:p>
    <w:p>
      <w:pPr>
        <w:pStyle w:val="ListBullet"/>
      </w:pPr>
      <w:r>
        <w:t>The organization shall require full-disk encryption or equivalent protection on laptops, tablets, smartphones, portable workstations, and other mobile computing devices that store or may access ePHI.</w:t>
      </w:r>
    </w:p>
    <w:p>
      <w:pPr>
        <w:pStyle w:val="ListBullet"/>
      </w:pPr>
      <w:r>
        <w:t>The organization shall require encryption of removable media containing ePHI, including USB drives, external hard drives, optical media, memory cards, and other portable storage devices.</w:t>
      </w:r>
    </w:p>
    <w:p>
      <w:pPr>
        <w:pStyle w:val="ListBullet"/>
      </w:pPr>
      <w:r>
        <w:t>The organization shall prohibit workforce members from storing ePHI on personally owned removable media or unmanaged personal devices unless explicitly authorized through an approved security exception and protected by organization-approved safeguards.</w:t>
      </w:r>
    </w:p>
    <w:p>
      <w:pPr>
        <w:pStyle w:val="ListBullet"/>
      </w:pPr>
      <w:r>
        <w:t>The organization shall require ePHI stored in cloud environments to be encrypted at rest and in transit using organization-approved configurations, with appropriate controls over encryption keys, administrative access, and service-provider responsibilities.</w:t>
      </w:r>
    </w:p>
    <w:p>
      <w:pPr>
        <w:pStyle w:val="ListBullet"/>
      </w:pPr>
      <w:r>
        <w:t>The organization shall ensure that backups containing ePHI are encrypted before storage, replication, transfer, or offsite retention.</w:t>
      </w:r>
    </w:p>
    <w:p>
      <w:pPr>
        <w:pStyle w:val="ListBullet"/>
      </w:pPr>
      <w:r>
        <w:t>The organization shall ensure that archived ePHI remains encrypted for the duration of its retention period and is decrypted only for authorized business, treatment, payment, healthcare operations, legal, compliance, or recovery purposes.</w:t>
      </w:r>
    </w:p>
    <w:p>
      <w:pPr>
        <w:pStyle w:val="ListBullet"/>
      </w:pPr>
      <w:r>
        <w:t>The organization shall require encrypted transmission for email messages containing ePHI unless the message is sent through an approved secure messaging service, secure portal, or other approved protected communication method.</w:t>
      </w:r>
    </w:p>
    <w:p>
      <w:pPr>
        <w:pStyle w:val="ListBullet"/>
      </w:pPr>
      <w:r>
        <w:t>The organization shall prohibit sending ePHI through consumer messaging applications, personal email accounts, unapproved file-sharing services, or other communication channels not approved for ePHI transmission.</w:t>
      </w:r>
    </w:p>
    <w:p>
      <w:pPr>
        <w:pStyle w:val="ListBullet"/>
      </w:pPr>
      <w:r>
        <w:t>The organization shall require secure file transfer mechanisms for bulk ePHI transfers, recurring data feeds, claims files, eligibility files, clinical data exchanges, reports, and other structured or unstructured data transmissions.</w:t>
      </w:r>
    </w:p>
    <w:p>
      <w:pPr>
        <w:pStyle w:val="ListBullet"/>
      </w:pPr>
      <w:r>
        <w:t>The organization shall ensure that remote access to systems containing ePHI uses encrypted connections and approved authentication methods.</w:t>
      </w:r>
    </w:p>
    <w:p>
      <w:pPr>
        <w:pStyle w:val="ListBullet"/>
      </w:pPr>
      <w:r>
        <w:t>The organization shall require wireless networks used to access or transmit ePHI to use approved encryption and authentication methods.</w:t>
      </w:r>
    </w:p>
    <w:p>
      <w:pPr>
        <w:pStyle w:val="ListBullet"/>
      </w:pPr>
      <w:r>
        <w:t>The organization shall prohibit the use of open, guest, or untrusted wireless networks for direct access to ePHI unless access occurs through an approved encrypted remote access solution.</w:t>
      </w:r>
    </w:p>
    <w:p>
      <w:pPr>
        <w:pStyle w:val="ListBullet"/>
      </w:pPr>
      <w:r>
        <w:t>The organization shall ensure that application sessions used to access ePHI are protected using encrypted transport protocols and secure session management.</w:t>
      </w:r>
    </w:p>
    <w:p>
      <w:pPr>
        <w:pStyle w:val="ListBullet"/>
      </w:pPr>
      <w:r>
        <w:t>The organization shall ensure that APIs, interfaces, and system integrations transmitting ePHI use approved encryption, authentication, authorization, and certificate validation controls.</w:t>
      </w:r>
    </w:p>
    <w:p>
      <w:pPr>
        <w:pStyle w:val="ListBullet"/>
      </w:pPr>
      <w:r>
        <w:t>The organization shall require systems that store or process ePHI to encrypt sensitive fields, files, databases, volumes, or storage layers based on risk, architecture, and system capability.</w:t>
      </w:r>
    </w:p>
    <w:p>
      <w:pPr>
        <w:pStyle w:val="ListBullet"/>
      </w:pPr>
      <w:r>
        <w:t>The organization shall ensure that encryption controls are applied consistently in production and non-production environments where ePHI is present.</w:t>
      </w:r>
    </w:p>
    <w:p>
      <w:pPr>
        <w:pStyle w:val="ListBullet"/>
      </w:pPr>
      <w:r>
        <w:t>The organization shall prohibit the use of production ePHI in development, testing, training, or demonstration environments unless the environment is approved for ePHI, encrypted, access-controlled, and subject to equivalent safeguards.</w:t>
      </w:r>
    </w:p>
    <w:p>
      <w:pPr>
        <w:pStyle w:val="ListBullet"/>
      </w:pPr>
      <w:r>
        <w:t>The organization shall use de-identified or synthetic data for testing and training wherever practical.</w:t>
      </w:r>
    </w:p>
    <w:p>
      <w:pPr>
        <w:pStyle w:val="ListBullet"/>
      </w:pPr>
      <w:r>
        <w:t>The organization shall restrict decryption of ePHI to authorized users, applications, systems, and processes with a legitimate business need.</w:t>
      </w:r>
    </w:p>
    <w:p>
      <w:pPr>
        <w:pStyle w:val="ListBullet"/>
      </w:pPr>
      <w:r>
        <w:t>The organization shall ensure that decryption capabilities are protected by strong access controls, logging, monitoring, and administrative oversight.</w:t>
      </w:r>
    </w:p>
    <w:p>
      <w:pPr>
        <w:pStyle w:val="ListBullet"/>
      </w:pPr>
      <w:r>
        <w:t>The organization shall prohibit workforce members from attempting to bypass, disable, weaken, or remove encryption controls without prior written authorization from [Information Security].</w:t>
      </w:r>
    </w:p>
    <w:p>
      <w:pPr>
        <w:pStyle w:val="ListBullet"/>
      </w:pPr>
      <w:r>
        <w:t>The organization shall ensure encryption keys, private keys, certificates, passphrases, recovery keys, and related secrets are protected from unauthorized access, disclosure, alteration, destruction, or misuse.</w:t>
      </w:r>
    </w:p>
    <w:p>
      <w:pPr>
        <w:pStyle w:val="ListBullet"/>
      </w:pPr>
      <w:r>
        <w:t>The organization shall require encryption keys to be generated, stored, distributed, rotated, revoked, archived, recovered, and destroyed using approved key management processes.</w:t>
      </w:r>
    </w:p>
    <w:p>
      <w:pPr>
        <w:pStyle w:val="ListBullet"/>
      </w:pPr>
      <w:r>
        <w:t>The organization shall prohibit encryption keys from being stored in the same location or system as the encrypted ePHI unless protected by an approved key management solution or compensating control.</w:t>
      </w:r>
    </w:p>
    <w:p>
      <w:pPr>
        <w:pStyle w:val="ListBullet"/>
      </w:pPr>
      <w:r>
        <w:t>The organization shall require administrative access to encryption key management systems to be limited to authorized personnel and protected through strong authentication, segregation of duties, and logging.</w:t>
      </w:r>
    </w:p>
    <w:p>
      <w:pPr>
        <w:pStyle w:val="ListBullet"/>
      </w:pPr>
      <w:r>
        <w:t>The organization shall require recovery keys and emergency decryption methods to be protected, documented, tested, and accessible only to authorized personnel under controlled conditions.</w:t>
      </w:r>
    </w:p>
    <w:p>
      <w:pPr>
        <w:pStyle w:val="ListBullet"/>
      </w:pPr>
      <w:r>
        <w:t>The organization shall require certificates used to protect ePHI transmission to be issued, renewed, replaced, and revoked through approved certificate management practices.</w:t>
      </w:r>
    </w:p>
    <w:p>
      <w:pPr>
        <w:pStyle w:val="ListBullet"/>
      </w:pPr>
      <w:r>
        <w:t>The organization shall prohibit the use of expired, self-signed, untrusted, misconfigured, or weak certificates for systems transmitting ePHI unless explicitly approved for a controlled internal use case and risk assessed.</w:t>
      </w:r>
    </w:p>
    <w:p>
      <w:pPr>
        <w:pStyle w:val="ListBullet"/>
      </w:pPr>
      <w:r>
        <w:t>The organization shall ensure that encryption status is considered during system acquisition, design, implementation, change management, vendor onboarding, cloud service approval, and security review activities.</w:t>
      </w:r>
    </w:p>
    <w:p>
      <w:pPr>
        <w:pStyle w:val="ListBullet"/>
      </w:pPr>
      <w:r>
        <w:t>The organization shall require encryption requirements to be included in contracts, service agreements, business associate agreements, data exchange agreements, and procurement documentation where vendors or business associates handle ePHI.</w:t>
      </w:r>
    </w:p>
    <w:p>
      <w:pPr>
        <w:pStyle w:val="ListBullet"/>
      </w:pPr>
      <w:r>
        <w:t>The organization shall require vendors and business associates that handle ePHI to use encryption methods that meet or exceed the organization’s requirements unless an approved exception is granted.</w:t>
      </w:r>
    </w:p>
    <w:p>
      <w:pPr>
        <w:pStyle w:val="ListBullet"/>
      </w:pPr>
      <w:r>
        <w:t>The organization shall maintain an inventory of systems, repositories, services, and data flows that store, process, transmit, or back up ePHI and shall identify the encryption status for each.</w:t>
      </w:r>
    </w:p>
    <w:p>
      <w:pPr>
        <w:pStyle w:val="ListBullet"/>
      </w:pPr>
      <w:r>
        <w:t>The organization shall verify encryption controls before systems containing ePHI are placed into production or approved for operational use.</w:t>
      </w:r>
    </w:p>
    <w:p>
      <w:pPr>
        <w:pStyle w:val="ListBullet"/>
      </w:pPr>
      <w:r>
        <w:t>The organization shall monitor encryption configurations for unauthorized changes, weakened settings, expired certificates, disabled encryption, failed encryption jobs, and other conditions that could expose ePHI.</w:t>
      </w:r>
    </w:p>
    <w:p>
      <w:pPr>
        <w:pStyle w:val="ListBullet"/>
      </w:pPr>
      <w:r>
        <w:t>The organization shall log security-relevant encryption and decryption events where technically feasible, including administrative changes, key access, certificate changes, failed secure connections, and exceptional decryption activity.</w:t>
      </w:r>
    </w:p>
    <w:p>
      <w:pPr>
        <w:pStyle w:val="ListBullet"/>
      </w:pPr>
      <w:r>
        <w:t>The organization shall protect encryption and decryption logs from unauthorized alteration or deletion and retain them in accordance with the organization’s log retention requirements.</w:t>
      </w:r>
    </w:p>
    <w:p>
      <w:pPr>
        <w:pStyle w:val="ListBullet"/>
      </w:pPr>
      <w:r>
        <w:t>The organization shall investigate suspected or confirmed failures of encryption controls that may affect ePHI.</w:t>
      </w:r>
    </w:p>
    <w:p>
      <w:pPr>
        <w:pStyle w:val="ListBullet"/>
      </w:pPr>
      <w:r>
        <w:t>The organization shall assess whether an incident involving unencrypted or improperly encrypted ePHI requires breach analysis, notification, corrective action, or other response activities.</w:t>
      </w:r>
    </w:p>
    <w:p>
      <w:pPr>
        <w:pStyle w:val="ListBullet"/>
      </w:pPr>
      <w:r>
        <w:t>The organization shall ensure that workforce members receive appropriate training on secure handling of ePHI, encrypted communication methods, prohibited transmission channels, removable media restrictions, and reporting obligations.</w:t>
      </w:r>
    </w:p>
    <w:p>
      <w:pPr>
        <w:pStyle w:val="ListBullet"/>
      </w:pPr>
      <w:r>
        <w:t>The organization shall require workforce members to promptly report lost or stolen devices, removable media, suspected exposure of ePHI, failed encryption controls, unauthorized decryption, or attempted circumvention of this Policy.</w:t>
      </w:r>
    </w:p>
    <w:p>
      <w:pPr>
        <w:pStyle w:val="ListBullet"/>
      </w:pPr>
      <w:r>
        <w:t>The organization shall require encryption controls to support business continuity and disaster recovery objectives without creating unauthorized access to ePHI.</w:t>
      </w:r>
    </w:p>
    <w:p>
      <w:pPr>
        <w:pStyle w:val="ListBullet"/>
      </w:pPr>
      <w:r>
        <w:t>The organization shall ensure that encryption does not prevent authorized access to ePHI during emergency operations, recovery scenarios, patient care needs, legal requirements, or compliance obligations, provided access is controlled and auditable.</w:t>
      </w:r>
    </w:p>
    <w:p>
      <w:pPr>
        <w:pStyle w:val="ListBullet"/>
      </w:pPr>
      <w:r>
        <w:t>The organization shall apply compensating safeguards when encryption is not technically feasible, including documented risk analysis, restricted access, network segmentation, enhanced monitoring, physical safeguards, data minimization, and time-bound remediation.</w:t>
      </w:r>
    </w:p>
    <w:p>
      <w:pPr>
        <w:pStyle w:val="ListBullet"/>
      </w:pPr>
      <w:r>
        <w:t>The organization shall document encryption decisions, exceptions, risk acceptances, and compensating controls in a manner sufficient to demonstrate compliance with this Policy.</w:t>
      </w:r>
    </w:p>
    <w:p>
      <w:r>
        <w:t>The following encryption baseline shall be maintained and updated by [Information Security]:</w:t>
      </w:r>
    </w:p>
    <w:tbl>
      <w:tblPr>
        <w:tblStyle w:val="TableGrid"/>
        <w:tblW w:type="auto" w:w="0"/>
        <w:tblLook w:firstColumn="1" w:firstRow="1" w:lastColumn="0" w:lastRow="0" w:noHBand="0" w:noVBand="1" w:val="04A0"/>
      </w:tblPr>
      <w:tblGrid>
        <w:gridCol w:w="4320"/>
        <w:gridCol w:w="4320"/>
      </w:tblGrid>
      <w:tr>
        <w:tc>
          <w:tcPr>
            <w:tcW w:type="dxa" w:w="4320"/>
          </w:tcPr>
          <w:p>
            <w:r>
              <w:t>Area</w:t>
            </w:r>
          </w:p>
        </w:tc>
        <w:tc>
          <w:tcPr>
            <w:tcW w:type="dxa" w:w="4320"/>
          </w:tcPr>
          <w:p>
            <w:r>
              <w:t>Minimum Requirement</w:t>
            </w:r>
          </w:p>
        </w:tc>
      </w:tr>
      <w:tr>
        <w:tc>
          <w:tcPr>
            <w:tcW w:type="dxa" w:w="4320"/>
          </w:tcPr>
          <w:p>
            <w:r>
              <w:t>Data at rest</w:t>
            </w:r>
          </w:p>
        </w:tc>
        <w:tc>
          <w:tcPr>
            <w:tcW w:type="dxa" w:w="4320"/>
          </w:tcPr>
          <w:p>
            <w:r>
              <w:t>Encryption enabled for systems, databases, storage volumes, endpoints, backups, archives, and removable media containing ePHI</w:t>
            </w:r>
          </w:p>
        </w:tc>
      </w:tr>
      <w:tr>
        <w:tc>
          <w:tcPr>
            <w:tcW w:type="dxa" w:w="4320"/>
          </w:tcPr>
          <w:p>
            <w:r>
              <w:t>Data in transit</w:t>
            </w:r>
          </w:p>
        </w:tc>
        <w:tc>
          <w:tcPr>
            <w:tcW w:type="dxa" w:w="4320"/>
          </w:tcPr>
          <w:p>
            <w:r>
              <w:t>Encrypted transport required for all ePHI transmissions over internal, external, wireless, public, and third-party networks</w:t>
            </w:r>
          </w:p>
        </w:tc>
      </w:tr>
      <w:tr>
        <w:tc>
          <w:tcPr>
            <w:tcW w:type="dxa" w:w="4320"/>
          </w:tcPr>
          <w:p>
            <w:r>
              <w:t>Mobile devices</w:t>
            </w:r>
          </w:p>
        </w:tc>
        <w:tc>
          <w:tcPr>
            <w:tcW w:type="dxa" w:w="4320"/>
          </w:tcPr>
          <w:p>
            <w:r>
              <w:t>Full-device encryption or approved container encryption required where ePHI may be stored or accessed</w:t>
            </w:r>
          </w:p>
        </w:tc>
      </w:tr>
      <w:tr>
        <w:tc>
          <w:tcPr>
            <w:tcW w:type="dxa" w:w="4320"/>
          </w:tcPr>
          <w:p>
            <w:r>
              <w:t>Removable media</w:t>
            </w:r>
          </w:p>
        </w:tc>
        <w:tc>
          <w:tcPr>
            <w:tcW w:type="dxa" w:w="4320"/>
          </w:tcPr>
          <w:p>
            <w:r>
              <w:t>Encryption required before ePHI is written, copied, stored, transported, or transferred</w:t>
            </w:r>
          </w:p>
        </w:tc>
      </w:tr>
      <w:tr>
        <w:tc>
          <w:tcPr>
            <w:tcW w:type="dxa" w:w="4320"/>
          </w:tcPr>
          <w:p>
            <w:r>
              <w:t>Email containing ePHI</w:t>
            </w:r>
          </w:p>
        </w:tc>
        <w:tc>
          <w:tcPr>
            <w:tcW w:type="dxa" w:w="4320"/>
          </w:tcPr>
          <w:p>
            <w:r>
              <w:t>Approved encrypted email, secure messaging, secure portal, or secure file exchange required</w:t>
            </w:r>
          </w:p>
        </w:tc>
      </w:tr>
      <w:tr>
        <w:tc>
          <w:tcPr>
            <w:tcW w:type="dxa" w:w="4320"/>
          </w:tcPr>
          <w:p>
            <w:r>
              <w:t>APIs and integrations</w:t>
            </w:r>
          </w:p>
        </w:tc>
        <w:tc>
          <w:tcPr>
            <w:tcW w:type="dxa" w:w="4320"/>
          </w:tcPr>
          <w:p>
            <w:r>
              <w:t>Encrypted transport, certificate validation, and approved authentication required</w:t>
            </w:r>
          </w:p>
        </w:tc>
      </w:tr>
      <w:tr>
        <w:tc>
          <w:tcPr>
            <w:tcW w:type="dxa" w:w="4320"/>
          </w:tcPr>
          <w:p>
            <w:r>
              <w:t>Backups and replication</w:t>
            </w:r>
          </w:p>
        </w:tc>
        <w:tc>
          <w:tcPr>
            <w:tcW w:type="dxa" w:w="4320"/>
          </w:tcPr>
          <w:p>
            <w:r>
              <w:t>Encryption required before storage, transfer, offsite retention, or replication</w:t>
            </w:r>
          </w:p>
        </w:tc>
      </w:tr>
      <w:tr>
        <w:tc>
          <w:tcPr>
            <w:tcW w:type="dxa" w:w="4320"/>
          </w:tcPr>
          <w:p>
            <w:r>
              <w:t>Key management</w:t>
            </w:r>
          </w:p>
        </w:tc>
        <w:tc>
          <w:tcPr>
            <w:tcW w:type="dxa" w:w="4320"/>
          </w:tcPr>
          <w:p>
            <w:r>
              <w:t>Keys managed through approved tools and processes with restricted access and audit logging</w:t>
            </w:r>
          </w:p>
        </w:tc>
      </w:tr>
      <w:tr>
        <w:tc>
          <w:tcPr>
            <w:tcW w:type="dxa" w:w="4320"/>
          </w:tcPr>
          <w:p>
            <w:r>
              <w:t>Certificates</w:t>
            </w:r>
          </w:p>
        </w:tc>
        <w:tc>
          <w:tcPr>
            <w:tcW w:type="dxa" w:w="4320"/>
          </w:tcPr>
          <w:p>
            <w:r>
              <w:t>Certificates issued, renewed, protected, and revoked using approved processes</w:t>
            </w:r>
          </w:p>
        </w:tc>
      </w:tr>
      <w:tr>
        <w:tc>
          <w:tcPr>
            <w:tcW w:type="dxa" w:w="4320"/>
          </w:tcPr>
          <w:p>
            <w:r>
              <w:t>Non-production environments</w:t>
            </w:r>
          </w:p>
        </w:tc>
        <w:tc>
          <w:tcPr>
            <w:tcW w:type="dxa" w:w="4320"/>
          </w:tcPr>
          <w:p>
            <w:r>
              <w:t>ePHI prohibited unless approved and protected by equivalent encryption and access controls</w:t>
            </w:r>
          </w:p>
        </w:tc>
      </w:tr>
    </w:tbl>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Executive Leadership</w:t>
            </w:r>
          </w:p>
        </w:tc>
        <w:tc>
          <w:tcPr>
            <w:tcW w:type="dxa" w:w="4320"/>
          </w:tcPr>
          <w:p>
            <w:r>
              <w:t>Support enforcement of this Policy; provide resources for encryption technologies, key management, monitoring, and remediation; ensure encryption risks are addressed as part of organizational risk management.</w:t>
            </w:r>
          </w:p>
        </w:tc>
      </w:tr>
      <w:tr>
        <w:tc>
          <w:tcPr>
            <w:tcW w:type="dxa" w:w="4320"/>
          </w:tcPr>
          <w:p>
            <w:r>
              <w:t>[Information Security Officer]</w:t>
            </w:r>
          </w:p>
        </w:tc>
        <w:tc>
          <w:tcPr>
            <w:tcW w:type="dxa" w:w="4320"/>
          </w:tcPr>
          <w:p>
            <w:r>
              <w:t>Own this Policy; define approved encryption standards; approve encryption architectures; review exceptions; monitor compliance; advise on risk treatment for encryption gaps.</w:t>
            </w:r>
          </w:p>
        </w:tc>
      </w:tr>
      <w:tr>
        <w:tc>
          <w:tcPr>
            <w:tcW w:type="dxa" w:w="4320"/>
          </w:tcPr>
          <w:p>
            <w:r>
              <w:t>[Privacy Officer]</w:t>
            </w:r>
          </w:p>
        </w:tc>
        <w:tc>
          <w:tcPr>
            <w:tcW w:type="dxa" w:w="4320"/>
          </w:tcPr>
          <w:p>
            <w:r>
              <w:t>Advise on ePHI handling requirements; support breach analysis where encryption failures may involve ePHI; coordinate privacy-related corrective actions.</w:t>
            </w:r>
          </w:p>
        </w:tc>
      </w:tr>
      <w:tr>
        <w:tc>
          <w:tcPr>
            <w:tcW w:type="dxa" w:w="4320"/>
          </w:tcPr>
          <w:p>
            <w:r>
              <w:t>IT Infrastructure Team</w:t>
            </w:r>
          </w:p>
        </w:tc>
        <w:tc>
          <w:tcPr>
            <w:tcW w:type="dxa" w:w="4320"/>
          </w:tcPr>
          <w:p>
            <w:r>
              <w:t>Implement and maintain encryption for servers, endpoints, storage, networks, backups, certificates, remote access, and enterprise platforms; remediate configuration weaknesses.</w:t>
            </w:r>
          </w:p>
        </w:tc>
      </w:tr>
      <w:tr>
        <w:tc>
          <w:tcPr>
            <w:tcW w:type="dxa" w:w="4320"/>
          </w:tcPr>
          <w:p>
            <w:r>
              <w:t>Application Owners</w:t>
            </w:r>
          </w:p>
        </w:tc>
        <w:tc>
          <w:tcPr>
            <w:tcW w:type="dxa" w:w="4320"/>
          </w:tcPr>
          <w:p>
            <w:r>
              <w:t>Ensure applications that store, process, or transmit ePHI use approved encryption; document data flows; validate encryption during design, implementation, testing, and change activities.</w:t>
            </w:r>
          </w:p>
        </w:tc>
      </w:tr>
      <w:tr>
        <w:tc>
          <w:tcPr>
            <w:tcW w:type="dxa" w:w="4320"/>
          </w:tcPr>
          <w:p>
            <w:r>
              <w:t>Database Administrators</w:t>
            </w:r>
          </w:p>
        </w:tc>
        <w:tc>
          <w:tcPr>
            <w:tcW w:type="dxa" w:w="4320"/>
          </w:tcPr>
          <w:p>
            <w:r>
              <w:t>Implement approved database, storage, backup, and field-level encryption where required; protect encryption-related credentials and keys; monitor encryption status.</w:t>
            </w:r>
          </w:p>
        </w:tc>
      </w:tr>
      <w:tr>
        <w:tc>
          <w:tcPr>
            <w:tcW w:type="dxa" w:w="4320"/>
          </w:tcPr>
          <w:p>
            <w:r>
              <w:t>Network Team</w:t>
            </w:r>
          </w:p>
        </w:tc>
        <w:tc>
          <w:tcPr>
            <w:tcW w:type="dxa" w:w="4320"/>
          </w:tcPr>
          <w:p>
            <w:r>
              <w:t>Ensure encrypted network transmission for ePHI; maintain secure remote access, wireless encryption, secure transport configurations, and network monitoring.</w:t>
            </w:r>
          </w:p>
        </w:tc>
      </w:tr>
      <w:tr>
        <w:tc>
          <w:tcPr>
            <w:tcW w:type="dxa" w:w="4320"/>
          </w:tcPr>
          <w:p>
            <w:r>
              <w:t>Endpoint Management Team</w:t>
            </w:r>
          </w:p>
        </w:tc>
        <w:tc>
          <w:tcPr>
            <w:tcW w:type="dxa" w:w="4320"/>
          </w:tcPr>
          <w:p>
            <w:r>
              <w:t>Deploy and monitor endpoint encryption; maintain recovery processes; report devices that are unencrypted, non-compliant, lost, or stolen.</w:t>
            </w:r>
          </w:p>
        </w:tc>
      </w:tr>
      <w:tr>
        <w:tc>
          <w:tcPr>
            <w:tcW w:type="dxa" w:w="4320"/>
          </w:tcPr>
          <w:p>
            <w:r>
              <w:t>Cloud Service Administrators</w:t>
            </w:r>
          </w:p>
        </w:tc>
        <w:tc>
          <w:tcPr>
            <w:tcW w:type="dxa" w:w="4320"/>
          </w:tcPr>
          <w:p>
            <w:r>
              <w:t>Configure approved encryption for cloud services containing ePHI; manage cloud key settings in accordance with organization requirements; monitor cloud encryption posture.</w:t>
            </w:r>
          </w:p>
        </w:tc>
      </w:tr>
      <w:tr>
        <w:tc>
          <w:tcPr>
            <w:tcW w:type="dxa" w:w="4320"/>
          </w:tcPr>
          <w:p>
            <w:r>
              <w:t>Procurement and Vendor Management</w:t>
            </w:r>
          </w:p>
        </w:tc>
        <w:tc>
          <w:tcPr>
            <w:tcW w:type="dxa" w:w="4320"/>
          </w:tcPr>
          <w:p>
            <w:r>
              <w:t>Ensure encryption and ePHI protection requirements are included in vendor due diligence, contracts, service agreements, and business associate agreements.</w:t>
            </w:r>
          </w:p>
        </w:tc>
      </w:tr>
      <w:tr>
        <w:tc>
          <w:tcPr>
            <w:tcW w:type="dxa" w:w="4320"/>
          </w:tcPr>
          <w:p>
            <w:r>
              <w:t>Business Owners</w:t>
            </w:r>
          </w:p>
        </w:tc>
        <w:tc>
          <w:tcPr>
            <w:tcW w:type="dxa" w:w="4320"/>
          </w:tcPr>
          <w:p>
            <w:r>
              <w:t>Identify business processes involving ePHI; ensure approved encrypted tools are used; support remediation of non-compliant workflows.</w:t>
            </w:r>
          </w:p>
        </w:tc>
      </w:tr>
      <w:tr>
        <w:tc>
          <w:tcPr>
            <w:tcW w:type="dxa" w:w="4320"/>
          </w:tcPr>
          <w:p>
            <w:r>
              <w:t>Workforce Members</w:t>
            </w:r>
          </w:p>
        </w:tc>
        <w:tc>
          <w:tcPr>
            <w:tcW w:type="dxa" w:w="4320"/>
          </w:tcPr>
          <w:p>
            <w:r>
              <w:t>Use only approved encrypted systems and transmission methods for ePHI; protect devices and credentials; report suspected encryption failures, lost devices, or unauthorized disclosure immediately.</w:t>
            </w:r>
          </w:p>
        </w:tc>
      </w:tr>
      <w:tr>
        <w:tc>
          <w:tcPr>
            <w:tcW w:type="dxa" w:w="4320"/>
          </w:tcPr>
          <w:p>
            <w:r>
              <w:t>Business Associates and Vendors</w:t>
            </w:r>
          </w:p>
        </w:tc>
        <w:tc>
          <w:tcPr>
            <w:tcW w:type="dxa" w:w="4320"/>
          </w:tcPr>
          <w:p>
            <w:r>
              <w:t>Encrypt ePHI at rest and in transit in accordance with contractual and organizational requirements; report security incidents and encryption failures within required timeframes.</w:t>
            </w:r>
          </w:p>
        </w:tc>
      </w:tr>
      <w:tr>
        <w:tc>
          <w:tcPr>
            <w:tcW w:type="dxa" w:w="4320"/>
          </w:tcPr>
          <w:p>
            <w:r>
              <w:t>Compliance/Internal Audit</w:t>
            </w:r>
          </w:p>
        </w:tc>
        <w:tc>
          <w:tcPr>
            <w:tcW w:type="dxa" w:w="4320"/>
          </w:tcPr>
          <w:p>
            <w:r>
              <w:t>Assess adherence to this Policy; review evidence of encryption controls, exceptions, and remediation; report findings to appropriate governance bodies.</w:t>
            </w:r>
          </w:p>
        </w:tc>
      </w:tr>
    </w:tbl>
    <w:p>
      <w:pPr>
        <w:pStyle w:val="Heading2"/>
      </w:pPr>
      <w:r>
        <w:t>Compliance, Monitoring &amp; Enforcement</w:t>
      </w:r>
    </w:p>
    <w:p>
      <w:r>
        <w:t>The organization shall monitor compliance with this Policy through technical, administrative, and operational controls. Monitoring activities shall be risk-based and shall include validation of encryption coverage, review of configurations, assessment of exceptions, and verification of corrective actions.</w:t>
      </w:r>
    </w:p>
    <w:p>
      <w:r>
        <w:t>Compliance monitoring shall include, as applicable: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Responsible Role</w:t>
            </w:r>
          </w:p>
        </w:tc>
        <w:tc>
          <w:tcPr>
            <w:tcW w:type="dxa" w:w="2160"/>
          </w:tcPr>
          <w:p>
            <w:r>
              <w:t>Evidence</w:t>
            </w:r>
          </w:p>
        </w:tc>
      </w:tr>
      <w:tr>
        <w:tc>
          <w:tcPr>
            <w:tcW w:type="dxa" w:w="2160"/>
          </w:tcPr>
          <w:p>
            <w:r>
              <w:t>Endpoint encryption compliance review</w:t>
            </w:r>
          </w:p>
        </w:tc>
        <w:tc>
          <w:tcPr>
            <w:tcW w:type="dxa" w:w="2160"/>
          </w:tcPr>
          <w:p>
            <w:r>
              <w:t>Monthly</w:t>
            </w:r>
          </w:p>
        </w:tc>
        <w:tc>
          <w:tcPr>
            <w:tcW w:type="dxa" w:w="2160"/>
          </w:tcPr>
          <w:p>
            <w:r>
              <w:t>Endpoint Management Team</w:t>
            </w:r>
          </w:p>
        </w:tc>
        <w:tc>
          <w:tcPr>
            <w:tcW w:type="dxa" w:w="2160"/>
          </w:tcPr>
          <w:p>
            <w:r>
              <w:t>Device encryption report, remediation tickets</w:t>
            </w:r>
          </w:p>
        </w:tc>
      </w:tr>
      <w:tr>
        <w:tc>
          <w:tcPr>
            <w:tcW w:type="dxa" w:w="2160"/>
          </w:tcPr>
          <w:p>
            <w:r>
              <w:t>Server and storage encryption review</w:t>
            </w:r>
          </w:p>
        </w:tc>
        <w:tc>
          <w:tcPr>
            <w:tcW w:type="dxa" w:w="2160"/>
          </w:tcPr>
          <w:p>
            <w:r>
              <w:t>Quarterly</w:t>
            </w:r>
          </w:p>
        </w:tc>
        <w:tc>
          <w:tcPr>
            <w:tcW w:type="dxa" w:w="2160"/>
          </w:tcPr>
          <w:p>
            <w:r>
              <w:t>IT Infrastructure Team</w:t>
            </w:r>
          </w:p>
        </w:tc>
        <w:tc>
          <w:tcPr>
            <w:tcW w:type="dxa" w:w="2160"/>
          </w:tcPr>
          <w:p>
            <w:r>
              <w:t>Configuration report, asset inventory updates</w:t>
            </w:r>
          </w:p>
        </w:tc>
      </w:tr>
      <w:tr>
        <w:tc>
          <w:tcPr>
            <w:tcW w:type="dxa" w:w="2160"/>
          </w:tcPr>
          <w:p>
            <w:r>
              <w:t>Database encryption review</w:t>
            </w:r>
          </w:p>
        </w:tc>
        <w:tc>
          <w:tcPr>
            <w:tcW w:type="dxa" w:w="2160"/>
          </w:tcPr>
          <w:p>
            <w:r>
              <w:t>Quarterly</w:t>
            </w:r>
          </w:p>
        </w:tc>
        <w:tc>
          <w:tcPr>
            <w:tcW w:type="dxa" w:w="2160"/>
          </w:tcPr>
          <w:p>
            <w:r>
              <w:t>Database Administrators</w:t>
            </w:r>
          </w:p>
        </w:tc>
        <w:tc>
          <w:tcPr>
            <w:tcW w:type="dxa" w:w="2160"/>
          </w:tcPr>
          <w:p>
            <w:r>
              <w:t>Database encryption status, backup encryption validation</w:t>
            </w:r>
          </w:p>
        </w:tc>
      </w:tr>
      <w:tr>
        <w:tc>
          <w:tcPr>
            <w:tcW w:type="dxa" w:w="2160"/>
          </w:tcPr>
          <w:p>
            <w:r>
              <w:t>Cloud encryption posture review</w:t>
            </w:r>
          </w:p>
        </w:tc>
        <w:tc>
          <w:tcPr>
            <w:tcW w:type="dxa" w:w="2160"/>
          </w:tcPr>
          <w:p>
            <w:r>
              <w:t>Monthly</w:t>
            </w:r>
          </w:p>
        </w:tc>
        <w:tc>
          <w:tcPr>
            <w:tcW w:type="dxa" w:w="2160"/>
          </w:tcPr>
          <w:p>
            <w:r>
              <w:t>Cloud Service Administrators</w:t>
            </w:r>
          </w:p>
        </w:tc>
        <w:tc>
          <w:tcPr>
            <w:tcW w:type="dxa" w:w="2160"/>
          </w:tcPr>
          <w:p>
            <w:r>
              <w:t>Cloud configuration reports, security posture findings</w:t>
            </w:r>
          </w:p>
        </w:tc>
      </w:tr>
      <w:tr>
        <w:tc>
          <w:tcPr>
            <w:tcW w:type="dxa" w:w="2160"/>
          </w:tcPr>
          <w:p>
            <w:r>
              <w:t>Certificate expiration and configuration review</w:t>
            </w:r>
          </w:p>
        </w:tc>
        <w:tc>
          <w:tcPr>
            <w:tcW w:type="dxa" w:w="2160"/>
          </w:tcPr>
          <w:p>
            <w:r>
              <w:t>Monthly</w:t>
            </w:r>
          </w:p>
        </w:tc>
        <w:tc>
          <w:tcPr>
            <w:tcW w:type="dxa" w:w="2160"/>
          </w:tcPr>
          <w:p>
            <w:r>
              <w:t>Network Team / Application Owners</w:t>
            </w:r>
          </w:p>
        </w:tc>
        <w:tc>
          <w:tcPr>
            <w:tcW w:type="dxa" w:w="2160"/>
          </w:tcPr>
          <w:p>
            <w:r>
              <w:t>Certificate inventory, renewal records</w:t>
            </w:r>
          </w:p>
        </w:tc>
      </w:tr>
      <w:tr>
        <w:tc>
          <w:tcPr>
            <w:tcW w:type="dxa" w:w="2160"/>
          </w:tcPr>
          <w:p>
            <w:r>
              <w:t>Secure transmission configuration review</w:t>
            </w:r>
          </w:p>
        </w:tc>
        <w:tc>
          <w:tcPr>
            <w:tcW w:type="dxa" w:w="2160"/>
          </w:tcPr>
          <w:p>
            <w:r>
              <w:t>Quarterly</w:t>
            </w:r>
          </w:p>
        </w:tc>
        <w:tc>
          <w:tcPr>
            <w:tcW w:type="dxa" w:w="2160"/>
          </w:tcPr>
          <w:p>
            <w:r>
              <w:t>Information Security / Network Team</w:t>
            </w:r>
          </w:p>
        </w:tc>
        <w:tc>
          <w:tcPr>
            <w:tcW w:type="dxa" w:w="2160"/>
          </w:tcPr>
          <w:p>
            <w:r>
              <w:t>Protocol scans, configuration baselines</w:t>
            </w:r>
          </w:p>
        </w:tc>
      </w:tr>
      <w:tr>
        <w:tc>
          <w:tcPr>
            <w:tcW w:type="dxa" w:w="2160"/>
          </w:tcPr>
          <w:p>
            <w:r>
              <w:t>Backup encryption validation</w:t>
            </w:r>
          </w:p>
        </w:tc>
        <w:tc>
          <w:tcPr>
            <w:tcW w:type="dxa" w:w="2160"/>
          </w:tcPr>
          <w:p>
            <w:r>
              <w:t>Quarterly</w:t>
            </w:r>
          </w:p>
        </w:tc>
        <w:tc>
          <w:tcPr>
            <w:tcW w:type="dxa" w:w="2160"/>
          </w:tcPr>
          <w:p>
            <w:r>
              <w:t>IT Infrastructure Team</w:t>
            </w:r>
          </w:p>
        </w:tc>
        <w:tc>
          <w:tcPr>
            <w:tcW w:type="dxa" w:w="2160"/>
          </w:tcPr>
          <w:p>
            <w:r>
              <w:t>Backup job reports, restore test evidence</w:t>
            </w:r>
          </w:p>
        </w:tc>
      </w:tr>
      <w:tr>
        <w:tc>
          <w:tcPr>
            <w:tcW w:type="dxa" w:w="2160"/>
          </w:tcPr>
          <w:p>
            <w:r>
              <w:t>ePHI data flow and encryption inventory review</w:t>
            </w:r>
          </w:p>
        </w:tc>
        <w:tc>
          <w:tcPr>
            <w:tcW w:type="dxa" w:w="2160"/>
          </w:tcPr>
          <w:p>
            <w:r>
              <w:t>Semi-annually</w:t>
            </w:r>
          </w:p>
        </w:tc>
        <w:tc>
          <w:tcPr>
            <w:tcW w:type="dxa" w:w="2160"/>
          </w:tcPr>
          <w:p>
            <w:r>
              <w:t>Application Owners / Information Security</w:t>
            </w:r>
          </w:p>
        </w:tc>
        <w:tc>
          <w:tcPr>
            <w:tcW w:type="dxa" w:w="2160"/>
          </w:tcPr>
          <w:p>
            <w:r>
              <w:t>Data flow inventory, encryption status register</w:t>
            </w:r>
          </w:p>
        </w:tc>
      </w:tr>
      <w:tr>
        <w:tc>
          <w:tcPr>
            <w:tcW w:type="dxa" w:w="2160"/>
          </w:tcPr>
          <w:p>
            <w:r>
              <w:t>Vendor encryption compliance review</w:t>
            </w:r>
          </w:p>
        </w:tc>
        <w:tc>
          <w:tcPr>
            <w:tcW w:type="dxa" w:w="2160"/>
          </w:tcPr>
          <w:p>
            <w:r>
              <w:t>Annually or upon material change</w:t>
            </w:r>
          </w:p>
        </w:tc>
        <w:tc>
          <w:tcPr>
            <w:tcW w:type="dxa" w:w="2160"/>
          </w:tcPr>
          <w:p>
            <w:r>
              <w:t>Vendor Management</w:t>
            </w:r>
          </w:p>
        </w:tc>
        <w:tc>
          <w:tcPr>
            <w:tcW w:type="dxa" w:w="2160"/>
          </w:tcPr>
          <w:p>
            <w:r>
              <w:t>Due diligence records, contract terms, assurance evidence</w:t>
            </w:r>
          </w:p>
        </w:tc>
      </w:tr>
      <w:tr>
        <w:tc>
          <w:tcPr>
            <w:tcW w:type="dxa" w:w="2160"/>
          </w:tcPr>
          <w:p>
            <w:r>
              <w:t>Policy exception review</w:t>
            </w:r>
          </w:p>
        </w:tc>
        <w:tc>
          <w:tcPr>
            <w:tcW w:type="dxa" w:w="2160"/>
          </w:tcPr>
          <w:p>
            <w:r>
              <w:t>Quarterly</w:t>
            </w:r>
          </w:p>
        </w:tc>
        <w:tc>
          <w:tcPr>
            <w:tcW w:type="dxa" w:w="2160"/>
          </w:tcPr>
          <w:p>
            <w:r>
              <w:t>Information Security Officer</w:t>
            </w:r>
          </w:p>
        </w:tc>
        <w:tc>
          <w:tcPr>
            <w:tcW w:type="dxa" w:w="2160"/>
          </w:tcPr>
          <w:p>
            <w:r>
              <w:t>Exception register, risk review records</w:t>
            </w:r>
          </w:p>
        </w:tc>
      </w:tr>
      <w:tr>
        <w:tc>
          <w:tcPr>
            <w:tcW w:type="dxa" w:w="2160"/>
          </w:tcPr>
          <w:p>
            <w:r>
              <w:t>Security incident review involving encryption</w:t>
            </w:r>
          </w:p>
        </w:tc>
        <w:tc>
          <w:tcPr>
            <w:tcW w:type="dxa" w:w="2160"/>
          </w:tcPr>
          <w:p>
            <w:r>
              <w:t>As needed</w:t>
            </w:r>
          </w:p>
        </w:tc>
        <w:tc>
          <w:tcPr>
            <w:tcW w:type="dxa" w:w="2160"/>
          </w:tcPr>
          <w:p>
            <w:r>
              <w:t>Information Security / Privacy Officer</w:t>
            </w:r>
          </w:p>
        </w:tc>
        <w:tc>
          <w:tcPr>
            <w:tcW w:type="dxa" w:w="2160"/>
          </w:tcPr>
          <w:p>
            <w:r>
              <w:t>Incident records, breach analysis, corrective actions</w:t>
            </w:r>
          </w:p>
        </w:tc>
      </w:tr>
    </w:tbl>
    <w:p>
      <w:r>
        <w:t>The organization shall maintain evidence sufficient to demonstrate that encryption controls are implemented, operating, monitored, and remediated when deficiencies are identified.</w:t>
      </w:r>
    </w:p>
    <w:p>
      <w:r>
        <w:t>Non-compliance with this Policy may result in corrective action, including but not limited to:</w:t>
      </w:r>
    </w:p>
    <w:p>
      <w:pPr>
        <w:pStyle w:val="ListBullet"/>
      </w:pPr>
      <w:r>
        <w:t>Required security retraining.</w:t>
      </w:r>
    </w:p>
    <w:p>
      <w:pPr>
        <w:pStyle w:val="ListBullet"/>
      </w:pPr>
      <w:r>
        <w:t>Revocation or restriction of system access.</w:t>
      </w:r>
    </w:p>
    <w:p>
      <w:pPr>
        <w:pStyle w:val="ListBullet"/>
      </w:pPr>
      <w:r>
        <w:t>Device quarantine or removal from the network.</w:t>
      </w:r>
    </w:p>
    <w:p>
      <w:pPr>
        <w:pStyle w:val="ListBullet"/>
      </w:pPr>
      <w:r>
        <w:t>Suspension of unapproved data transfers or integrations.</w:t>
      </w:r>
    </w:p>
    <w:p>
      <w:pPr>
        <w:pStyle w:val="ListBullet"/>
      </w:pPr>
      <w:r>
        <w:t>Required technical remediation.</w:t>
      </w:r>
    </w:p>
    <w:p>
      <w:pPr>
        <w:pStyle w:val="ListBullet"/>
      </w:pPr>
      <w:r>
        <w:t>Vendor corrective action plans.</w:t>
      </w:r>
    </w:p>
    <w:p>
      <w:pPr>
        <w:pStyle w:val="ListBullet"/>
      </w:pPr>
      <w:r>
        <w:t>Contractual remedies for vendor or business associate non-compliance.</w:t>
      </w:r>
    </w:p>
    <w:p>
      <w:pPr>
        <w:pStyle w:val="ListBullet"/>
      </w:pPr>
      <w:r>
        <w:t>Workforce disciplinary action, up to and including termination, in accordance with organizational policies.</w:t>
      </w:r>
    </w:p>
    <w:p>
      <w:pPr>
        <w:pStyle w:val="ListBullet"/>
      </w:pPr>
      <w:r>
        <w:t>Legal or regulatory action where required.</w:t>
      </w:r>
    </w:p>
    <w:p>
      <w:r>
        <w:t>Suspected violations shall be reported to [Information Security], [Privacy Officer], [Compliance], or through [Incident Reporting Channel]. Confirmed or suspected exposure of unencrypted ePHI shall be handled through the organization’s security incident response and breach assessment processes.</w:t>
      </w:r>
    </w:p>
    <w:p>
      <w:pPr>
        <w:pStyle w:val="Heading2"/>
      </w:pPr>
      <w:r>
        <w:t>Exceptions</w:t>
      </w:r>
    </w:p>
    <w:p>
      <w:r>
        <w:t>Exceptions to this Policy shall be permitted only when encryption is not technically feasible, would create a documented and unacceptable operational impact, or is subject to a specific approved business, clinical, legal, or technical constraint. Convenience, user preference, cost avoidance, or lack of planning shall not be sufficient justification for an exception.</w:t>
      </w:r>
    </w:p>
    <w:p>
      <w:r>
        <w:t>All exceptions shall be documented, risk assessed, approved, time-bound, and supported by compensating safeguards. Exceptions shall not be implemented until approval is granted unless immediate action is required to protect patient safety or maintain critical operations; in such cases, the exception shall be submitted for review as soon as practicable.</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Requestor</w:t>
            </w:r>
          </w:p>
        </w:tc>
        <w:tc>
          <w:tcPr>
            <w:tcW w:type="dxa" w:w="4320"/>
          </w:tcPr>
          <w:p>
            <w:r>
              <w:t>Name, role, department, and contact information</w:t>
            </w:r>
          </w:p>
        </w:tc>
      </w:tr>
      <w:tr>
        <w:tc>
          <w:tcPr>
            <w:tcW w:type="dxa" w:w="4320"/>
          </w:tcPr>
          <w:p>
            <w:r>
              <w:t>System or process</w:t>
            </w:r>
          </w:p>
        </w:tc>
        <w:tc>
          <w:tcPr>
            <w:tcW w:type="dxa" w:w="4320"/>
          </w:tcPr>
          <w:p>
            <w:r>
              <w:t>Affected application, device, data flow, vendor, service, or business process</w:t>
            </w:r>
          </w:p>
        </w:tc>
      </w:tr>
      <w:tr>
        <w:tc>
          <w:tcPr>
            <w:tcW w:type="dxa" w:w="4320"/>
          </w:tcPr>
          <w:p>
            <w:r>
              <w:t>ePHI involved</w:t>
            </w:r>
          </w:p>
        </w:tc>
        <w:tc>
          <w:tcPr>
            <w:tcW w:type="dxa" w:w="4320"/>
          </w:tcPr>
          <w:p>
            <w:r>
              <w:t>Type, sensitivity, volume, and location of ePHI</w:t>
            </w:r>
          </w:p>
        </w:tc>
      </w:tr>
      <w:tr>
        <w:tc>
          <w:tcPr>
            <w:tcW w:type="dxa" w:w="4320"/>
          </w:tcPr>
          <w:p>
            <w:r>
              <w:t>Encryption gap</w:t>
            </w:r>
          </w:p>
        </w:tc>
        <w:tc>
          <w:tcPr>
            <w:tcW w:type="dxa" w:w="4320"/>
          </w:tcPr>
          <w:p>
            <w:r>
              <w:t>Description of the unmet encryption requirement</w:t>
            </w:r>
          </w:p>
        </w:tc>
      </w:tr>
      <w:tr>
        <w:tc>
          <w:tcPr>
            <w:tcW w:type="dxa" w:w="4320"/>
          </w:tcPr>
          <w:p>
            <w:r>
              <w:t>Business justification</w:t>
            </w:r>
          </w:p>
        </w:tc>
        <w:tc>
          <w:tcPr>
            <w:tcW w:type="dxa" w:w="4320"/>
          </w:tcPr>
          <w:p>
            <w:r>
              <w:t>Reason encryption cannot be implemented as required</w:t>
            </w:r>
          </w:p>
        </w:tc>
      </w:tr>
      <w:tr>
        <w:tc>
          <w:tcPr>
            <w:tcW w:type="dxa" w:w="4320"/>
          </w:tcPr>
          <w:p>
            <w:r>
              <w:t>Risk assessment</w:t>
            </w:r>
          </w:p>
        </w:tc>
        <w:tc>
          <w:tcPr>
            <w:tcW w:type="dxa" w:w="4320"/>
          </w:tcPr>
          <w:p>
            <w:r>
              <w:t>Likelihood, impact, threat scenarios, and affected individuals or operations</w:t>
            </w:r>
          </w:p>
        </w:tc>
      </w:tr>
      <w:tr>
        <w:tc>
          <w:tcPr>
            <w:tcW w:type="dxa" w:w="4320"/>
          </w:tcPr>
          <w:p>
            <w:r>
              <w:t>Compensating controls</w:t>
            </w:r>
          </w:p>
        </w:tc>
        <w:tc>
          <w:tcPr>
            <w:tcW w:type="dxa" w:w="4320"/>
          </w:tcPr>
          <w:p>
            <w:r>
              <w:t>Safeguards to reduce risk during the exception period</w:t>
            </w:r>
          </w:p>
        </w:tc>
      </w:tr>
      <w:tr>
        <w:tc>
          <w:tcPr>
            <w:tcW w:type="dxa" w:w="4320"/>
          </w:tcPr>
          <w:p>
            <w:r>
              <w:t>Remediation plan</w:t>
            </w:r>
          </w:p>
        </w:tc>
        <w:tc>
          <w:tcPr>
            <w:tcW w:type="dxa" w:w="4320"/>
          </w:tcPr>
          <w:p>
            <w:r>
              <w:t>Steps, owner, milestones, and target date to achieve compliance</w:t>
            </w:r>
          </w:p>
        </w:tc>
      </w:tr>
      <w:tr>
        <w:tc>
          <w:tcPr>
            <w:tcW w:type="dxa" w:w="4320"/>
          </w:tcPr>
          <w:p>
            <w:r>
              <w:t>Requested duration</w:t>
            </w:r>
          </w:p>
        </w:tc>
        <w:tc>
          <w:tcPr>
            <w:tcW w:type="dxa" w:w="4320"/>
          </w:tcPr>
          <w:p>
            <w:r>
              <w:t>Start date and expiration date</w:t>
            </w:r>
          </w:p>
        </w:tc>
      </w:tr>
      <w:tr>
        <w:tc>
          <w:tcPr>
            <w:tcW w:type="dxa" w:w="4320"/>
          </w:tcPr>
          <w:p>
            <w:r>
              <w:t>Required approvals</w:t>
            </w:r>
          </w:p>
        </w:tc>
        <w:tc>
          <w:tcPr>
            <w:tcW w:type="dxa" w:w="4320"/>
          </w:tcPr>
          <w:p>
            <w:r>
              <w:t>Business owner, system owner, [Information Security Officer], [Privacy Officer] where applicable</w:t>
            </w:r>
          </w:p>
        </w:tc>
      </w:tr>
    </w:tbl>
    <w:p>
      <w:r>
        <w:t>Approved exceptions shall be recorded in the exception register and reviewed at least quarterly. Exceptions shall expire automatically on the approved expiration date unless renewed through a new risk review and approval. Long-term exceptions shall require documented senior leadership acceptance and periodic reassessment.</w:t>
      </w:r>
    </w:p>
    <w:p>
      <w:r>
        <w:t>Examples of compensating controls may include:</w:t>
      </w:r>
    </w:p>
    <w:p>
      <w:pPr>
        <w:pStyle w:val="ListBullet"/>
      </w:pPr>
      <w:r>
        <w:t>Strict access restrictions based on job role and need to know.</w:t>
      </w:r>
    </w:p>
    <w:p>
      <w:pPr>
        <w:pStyle w:val="ListBullet"/>
      </w:pPr>
      <w:r>
        <w:t>Network segmentation and isolation.</w:t>
      </w:r>
    </w:p>
    <w:p>
      <w:pPr>
        <w:pStyle w:val="ListBullet"/>
      </w:pPr>
      <w:r>
        <w:t>Enhanced logging and monitoring.</w:t>
      </w:r>
    </w:p>
    <w:p>
      <w:pPr>
        <w:pStyle w:val="ListBullet"/>
      </w:pPr>
      <w:r>
        <w:t>Data minimization or tokenization.</w:t>
      </w:r>
    </w:p>
    <w:p>
      <w:pPr>
        <w:pStyle w:val="ListBullet"/>
      </w:pPr>
      <w:r>
        <w:t>Use of de-identified data where feasible.</w:t>
      </w:r>
    </w:p>
    <w:p>
      <w:pPr>
        <w:pStyle w:val="ListBullet"/>
      </w:pPr>
      <w:r>
        <w:t>Additional physical safeguards.</w:t>
      </w:r>
    </w:p>
    <w:p>
      <w:pPr>
        <w:pStyle w:val="ListBullet"/>
      </w:pPr>
      <w:r>
        <w:t>Increased review frequency.</w:t>
      </w:r>
    </w:p>
    <w:p>
      <w:pPr>
        <w:pStyle w:val="ListBullet"/>
      </w:pPr>
      <w:r>
        <w:t>Manual reconciliation or transfer validation.</w:t>
      </w:r>
    </w:p>
    <w:p>
      <w:pPr>
        <w:pStyle w:val="ListBullet"/>
      </w:pPr>
      <w:r>
        <w:t>Temporary suspension of non-essential data movement.</w:t>
      </w:r>
    </w:p>
    <w:p>
      <w:pPr>
        <w:pStyle w:val="ListBullet"/>
      </w:pPr>
      <w:r>
        <w:t>Accelerated remediation milestones.</w:t>
      </w:r>
    </w:p>
    <w:p>
      <w:pPr>
        <w:pStyle w:val="Heading2"/>
      </w:pPr>
      <w:r>
        <w:t>Review &amp; Maintenance</w:t>
      </w:r>
    </w:p>
    <w:p>
      <w:r>
        <w:t>This Policy shall be reviewed at least annually and whenever there are material changes to legal requirements, organizational risk, technology architecture, encryption standards, ePHI systems, business operations, vendor arrangements, or security incidents involving encryption.</w:t>
      </w:r>
    </w:p>
    <w:p>
      <w:r>
        <w:t>The [Information Security Officer] shall coordinate review and maintenance of this Policy with input from [Privacy Officer], IT, Compliance, Legal, application owners, business owners, and other stakeholders as appropriate.</w:t>
      </w:r>
    </w:p>
    <w:p>
      <w:r>
        <w:t>Policy review activities shall include:</w:t>
      </w:r>
    </w:p>
    <w:tbl>
      <w:tblPr>
        <w:tblStyle w:val="TableGrid"/>
        <w:tblW w:type="auto" w:w="0"/>
        <w:tblLook w:firstColumn="1" w:firstRow="1" w:lastColumn="0" w:lastRow="0" w:noHBand="0" w:noVBand="1" w:val="04A0"/>
      </w:tblPr>
      <w:tblGrid>
        <w:gridCol w:w="4320"/>
        <w:gridCol w:w="4320"/>
      </w:tblGrid>
      <w:tr>
        <w:tc>
          <w:tcPr>
            <w:tcW w:type="dxa" w:w="4320"/>
          </w:tcPr>
          <w:p>
            <w:r>
              <w:t>Review Trigger</w:t>
            </w:r>
          </w:p>
        </w:tc>
        <w:tc>
          <w:tcPr>
            <w:tcW w:type="dxa" w:w="4320"/>
          </w:tcPr>
          <w:p>
            <w:r>
              <w:t>Required Action</w:t>
            </w:r>
          </w:p>
        </w:tc>
      </w:tr>
      <w:tr>
        <w:tc>
          <w:tcPr>
            <w:tcW w:type="dxa" w:w="4320"/>
          </w:tcPr>
          <w:p>
            <w:r>
              <w:t>Annual policy review cycle</w:t>
            </w:r>
          </w:p>
        </w:tc>
        <w:tc>
          <w:tcPr>
            <w:tcW w:type="dxa" w:w="4320"/>
          </w:tcPr>
          <w:p>
            <w:r>
              <w:t>Validate policy accuracy, ownership, scope, and alignment with current operations</w:t>
            </w:r>
          </w:p>
        </w:tc>
      </w:tr>
      <w:tr>
        <w:tc>
          <w:tcPr>
            <w:tcW w:type="dxa" w:w="4320"/>
          </w:tcPr>
          <w:p>
            <w:r>
              <w:t>New or changed ePHI system</w:t>
            </w:r>
          </w:p>
        </w:tc>
        <w:tc>
          <w:tcPr>
            <w:tcW w:type="dxa" w:w="4320"/>
          </w:tcPr>
          <w:p>
            <w:r>
              <w:t>Confirm encryption requirements are addressed before go-live</w:t>
            </w:r>
          </w:p>
        </w:tc>
      </w:tr>
      <w:tr>
        <w:tc>
          <w:tcPr>
            <w:tcW w:type="dxa" w:w="4320"/>
          </w:tcPr>
          <w:p>
            <w:r>
              <w:t>New vendor or business associate handling ePHI</w:t>
            </w:r>
          </w:p>
        </w:tc>
        <w:tc>
          <w:tcPr>
            <w:tcW w:type="dxa" w:w="4320"/>
          </w:tcPr>
          <w:p>
            <w:r>
              <w:t>Validate contractual and technical encryption requirements</w:t>
            </w:r>
          </w:p>
        </w:tc>
      </w:tr>
      <w:tr>
        <w:tc>
          <w:tcPr>
            <w:tcW w:type="dxa" w:w="4320"/>
          </w:tcPr>
          <w:p>
            <w:r>
              <w:t>Security incident involving ePHI exposure</w:t>
            </w:r>
          </w:p>
        </w:tc>
        <w:tc>
          <w:tcPr>
            <w:tcW w:type="dxa" w:w="4320"/>
          </w:tcPr>
          <w:p>
            <w:r>
              <w:t>Assess whether policy updates or control improvements are required</w:t>
            </w:r>
          </w:p>
        </w:tc>
      </w:tr>
      <w:tr>
        <w:tc>
          <w:tcPr>
            <w:tcW w:type="dxa" w:w="4320"/>
          </w:tcPr>
          <w:p>
            <w:r>
              <w:t>Encryption weakness or deprecated technology identified</w:t>
            </w:r>
          </w:p>
        </w:tc>
        <w:tc>
          <w:tcPr>
            <w:tcW w:type="dxa" w:w="4320"/>
          </w:tcPr>
          <w:p>
            <w:r>
              <w:t>Update approved encryption standard and remediation expectations</w:t>
            </w:r>
          </w:p>
        </w:tc>
      </w:tr>
      <w:tr>
        <w:tc>
          <w:tcPr>
            <w:tcW w:type="dxa" w:w="4320"/>
          </w:tcPr>
          <w:p>
            <w:r>
              <w:t>Major infrastructure, cloud, or application change</w:t>
            </w:r>
          </w:p>
        </w:tc>
        <w:tc>
          <w:tcPr>
            <w:tcW w:type="dxa" w:w="4320"/>
          </w:tcPr>
          <w:p>
            <w:r>
              <w:t>Reassess encryption architecture and key management requirements</w:t>
            </w:r>
          </w:p>
        </w:tc>
      </w:tr>
      <w:tr>
        <w:tc>
          <w:tcPr>
            <w:tcW w:type="dxa" w:w="4320"/>
          </w:tcPr>
          <w:p>
            <w:r>
              <w:t>Audit or assessment finding</w:t>
            </w:r>
          </w:p>
        </w:tc>
        <w:tc>
          <w:tcPr>
            <w:tcW w:type="dxa" w:w="4320"/>
          </w:tcPr>
          <w:p>
            <w:r>
              <w:t>Update policy, standards, procedures, or monitoring as needed</w:t>
            </w:r>
          </w:p>
        </w:tc>
      </w:tr>
      <w:tr>
        <w:tc>
          <w:tcPr>
            <w:tcW w:type="dxa" w:w="4320"/>
          </w:tcPr>
          <w:p>
            <w:r>
              <w:t>Change in organizational risk appetite</w:t>
            </w:r>
          </w:p>
        </w:tc>
        <w:tc>
          <w:tcPr>
            <w:tcW w:type="dxa" w:w="4320"/>
          </w:tcPr>
          <w:p>
            <w:r>
              <w:t>Reassess exception handling and minimum safeguards</w:t>
            </w:r>
          </w:p>
        </w:tc>
      </w:tr>
    </w:tbl>
    <w:p>
      <w:r>
        <w:t>Revisions to this Policy shall be approved by [Approving Authority]. Superseded versions shall be retained in accordance with the organization’s document retention requirements. The current approved version shall be made available to all workforce members and relevant third parties who are required to comply with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