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Logging &amp; Monitoring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[POL-LOG-001]</w:t>
            </w:r>
          </w:p>
        </w:tc>
        <w:tc>
          <w:tcPr>
            <w:tcW w:type="dxa" w:w="1440"/>
          </w:tcPr>
          <w:p>
            <w:r>
              <w:t>1.0</w:t>
            </w:r>
          </w:p>
        </w:tc>
        <w:tc>
          <w:tcPr>
            <w:tcW w:type="dxa" w:w="1440"/>
          </w:tcPr>
          <w:p>
            <w:r>
              <w:t>[Security Operations Manager]</w:t>
            </w:r>
          </w:p>
        </w:tc>
        <w:tc>
          <w:tcPr>
            <w:tcW w:type="dxa" w:w="1440"/>
          </w:tcPr>
          <w:p>
            <w:r>
              <w:t>[YYYY-MM-DD]</w:t>
            </w:r>
          </w:p>
        </w:tc>
        <w:tc>
          <w:tcPr>
            <w:tcW w:type="dxa" w:w="1440"/>
          </w:tcPr>
          <w:p>
            <w:r>
              <w:t>PCI DSS v4.0.1</w:t>
            </w:r>
          </w:p>
        </w:tc>
        <w:tc>
          <w:tcPr>
            <w:tcW w:type="dxa" w:w="1440"/>
          </w:tcPr>
          <w:p>
            <w:r>
              <w:t>Internal</w:t>
            </w:r>
          </w:p>
        </w:tc>
      </w:tr>
    </w:tbl>
    <w:p>
      <w:pPr>
        <w:pStyle w:val="Heading2"/>
      </w:pPr>
      <w:r>
        <w:t>Purpose</w:t>
      </w:r>
    </w:p>
    <w:p>
      <w:r>
        <w:t>This Logging &amp; Monitoring Policy establishes mandatory requirements for generating, protecting, retaining, reviewing, and responding to security logs for systems, applications, networks, and processes that store, process, transmit, or can impact the security of payment card data.</w:t>
      </w:r>
    </w:p>
    <w:p>
      <w:r>
        <w:t>The purpose of this policy is to ensure that the organisation can:</w:t>
      </w:r>
    </w:p>
    <w:p>
      <w:pPr>
        <w:pStyle w:val="ListBullet"/>
      </w:pPr>
      <w:r>
        <w:t>Detect unauthorised access, suspicious activity, configuration changes, and security events in a timely manner.</w:t>
      </w:r>
    </w:p>
    <w:p>
      <w:pPr>
        <w:pStyle w:val="ListBullet"/>
      </w:pPr>
      <w:r>
        <w:t>Support investigation, incident response, and forensic analysis.</w:t>
      </w:r>
    </w:p>
    <w:p>
      <w:pPr>
        <w:pStyle w:val="ListBullet"/>
      </w:pPr>
      <w:r>
        <w:t>Maintain a reliable audit trail of activity affecting cardholder data and the cardholder data environment.</w:t>
      </w:r>
    </w:p>
    <w:p>
      <w:pPr>
        <w:pStyle w:val="ListBullet"/>
      </w:pPr>
      <w:r>
        <w:t>Demonstrate that logging and monitoring controls are operating effectively and consistently.</w:t>
      </w:r>
    </w:p>
    <w:p>
      <w:pPr>
        <w:pStyle w:val="Heading2"/>
      </w:pPr>
      <w:r>
        <w:t>Scope</w:t>
      </w:r>
    </w:p>
    <w:p>
      <w:r>
        <w:t>This policy applies to all personnel, contractors, service providers, systems, applications, infrastructure, and processes that are within or can affect the security of the cardholder data environment.</w:t>
      </w:r>
    </w:p>
    <w:p>
      <w:r>
        <w:t>In scope systems include, but are not limited to:</w:t>
      </w:r>
    </w:p>
    <w:p>
      <w:pPr>
        <w:pStyle w:val="ListBullet"/>
      </w:pPr>
      <w:r>
        <w:t>Systems that store, process, transmit, or can access cardholder data or sensitive authentication data.</w:t>
      </w:r>
    </w:p>
    <w:p>
      <w:pPr>
        <w:pStyle w:val="ListBullet"/>
      </w:pPr>
      <w:r>
        <w:t>Network devices including firewalls, routers, switches, wireless controllers, load balancers, and security appliances.</w:t>
      </w:r>
    </w:p>
    <w:p>
      <w:pPr>
        <w:pStyle w:val="ListBullet"/>
      </w:pPr>
      <w:r>
        <w:t>Servers, endpoints, hypervisors, containers, databases, and cloud services supporting payment operations.</w:t>
      </w:r>
    </w:p>
    <w:p>
      <w:pPr>
        <w:pStyle w:val="ListBullet"/>
      </w:pPr>
      <w:r>
        <w:t>Authentication, identity, directory, privileged access, and remote access systems.</w:t>
      </w:r>
    </w:p>
    <w:p>
      <w:pPr>
        <w:pStyle w:val="ListBullet"/>
      </w:pPr>
      <w:r>
        <w:t>Payment applications, payment gateways, e-commerce platforms, APIs, and administrative interfaces.</w:t>
      </w:r>
    </w:p>
    <w:p>
      <w:pPr>
        <w:pStyle w:val="ListBullet"/>
      </w:pPr>
      <w:r>
        <w:t>Security monitoring tools, logging platforms, file integrity monitoring tools, and alerting systems.</w:t>
      </w:r>
    </w:p>
    <w:p>
      <w:pPr>
        <w:pStyle w:val="ListBullet"/>
      </w:pPr>
      <w:r>
        <w:t>Systems used by personnel or service providers to administer or support the cardholder data environment.</w:t>
      </w:r>
    </w:p>
    <w:p>
      <w:pPr>
        <w:pStyle w:val="ListBullet"/>
      </w:pPr>
      <w:r>
        <w:t>Time synchronisation services used by in-scope systems.</w:t>
      </w:r>
    </w:p>
    <w:p>
      <w:r>
        <w:t>This policy applies to production environments and, where non-production environments store, process, transmit, or are connected to systems that can impact payment data security, those environments are also in scope.</w:t>
      </w:r>
    </w:p>
    <w:p>
      <w:pPr>
        <w:pStyle w:val="Heading2"/>
      </w:pPr>
      <w:r>
        <w:t>Policy Statements</w:t>
      </w:r>
    </w:p>
    <w:p>
      <w:pPr>
        <w:pStyle w:val="ListBullet"/>
      </w:pPr>
      <w:r>
        <w:t>The organisation shall maintain centralised logging and monitoring capabilities for all systems that store, process, transmit, or can impact the security of cardholder data.</w:t>
      </w:r>
    </w:p>
    <w:p>
      <w:pPr>
        <w:pStyle w:val="ListBullet"/>
      </w:pPr>
      <w:r>
        <w:t>In-scope systems shall generate audit logs sufficient to reconstruct user activity, administrative activity, access to payment data, security events, and system changes.</w:t>
      </w:r>
    </w:p>
    <w:p>
      <w:pPr>
        <w:pStyle w:val="ListBullet"/>
      </w:pPr>
      <w:r>
        <w:t>Audit logs shall capture, at a minimum, the following event details where technically supported:</w:t>
      </w:r>
    </w:p>
    <w:tbl>
      <w:tblPr>
        <w:tblStyle w:val="TableGrid"/>
        <w:tblW w:type="auto" w:w="0"/>
        <w:tblLook w:firstColumn="1" w:firstRow="1" w:lastColumn="0" w:lastRow="0" w:noHBand="0" w:noVBand="1" w:val="04A0"/>
      </w:tblPr>
      <w:tblGrid>
        <w:gridCol w:w="4320"/>
        <w:gridCol w:w="4320"/>
      </w:tblGrid>
      <w:tr>
        <w:tc>
          <w:tcPr>
            <w:tcW w:type="dxa" w:w="4320"/>
          </w:tcPr>
          <w:p>
            <w:r>
              <w:t>Required Log Detail</w:t>
            </w:r>
          </w:p>
        </w:tc>
        <w:tc>
          <w:tcPr>
            <w:tcW w:type="dxa" w:w="4320"/>
          </w:tcPr>
          <w:p>
            <w:r>
              <w:t>Description</w:t>
            </w:r>
          </w:p>
        </w:tc>
      </w:tr>
      <w:tr>
        <w:tc>
          <w:tcPr>
            <w:tcW w:type="dxa" w:w="4320"/>
          </w:tcPr>
          <w:p>
            <w:r>
              <w:t>User or system identity</w:t>
            </w:r>
          </w:p>
        </w:tc>
        <w:tc>
          <w:tcPr>
            <w:tcW w:type="dxa" w:w="4320"/>
          </w:tcPr>
          <w:p>
            <w:r>
              <w:t>Unique account, service account, process, or system initiating the event</w:t>
            </w:r>
          </w:p>
        </w:tc>
      </w:tr>
      <w:tr>
        <w:tc>
          <w:tcPr>
            <w:tcW w:type="dxa" w:w="4320"/>
          </w:tcPr>
          <w:p>
            <w:r>
              <w:t>Event type</w:t>
            </w:r>
          </w:p>
        </w:tc>
        <w:tc>
          <w:tcPr>
            <w:tcW w:type="dxa" w:w="4320"/>
          </w:tcPr>
          <w:p>
            <w:r>
              <w:t>Activity performed, such as login, access, change, deletion, failure, or alert</w:t>
            </w:r>
          </w:p>
        </w:tc>
      </w:tr>
      <w:tr>
        <w:tc>
          <w:tcPr>
            <w:tcW w:type="dxa" w:w="4320"/>
          </w:tcPr>
          <w:p>
            <w:r>
              <w:t>Date and time</w:t>
            </w:r>
          </w:p>
        </w:tc>
        <w:tc>
          <w:tcPr>
            <w:tcW w:type="dxa" w:w="4320"/>
          </w:tcPr>
          <w:p>
            <w:r>
              <w:t>Accurate timestamp using approved time synchronisation</w:t>
            </w:r>
          </w:p>
        </w:tc>
      </w:tr>
      <w:tr>
        <w:tc>
          <w:tcPr>
            <w:tcW w:type="dxa" w:w="4320"/>
          </w:tcPr>
          <w:p>
            <w:r>
              <w:t>Success or failure</w:t>
            </w:r>
          </w:p>
        </w:tc>
        <w:tc>
          <w:tcPr>
            <w:tcW w:type="dxa" w:w="4320"/>
          </w:tcPr>
          <w:p>
            <w:r>
              <w:t>Whether the activity succeeded, failed, was denied, or produced an error</w:t>
            </w:r>
          </w:p>
        </w:tc>
      </w:tr>
      <w:tr>
        <w:tc>
          <w:tcPr>
            <w:tcW w:type="dxa" w:w="4320"/>
          </w:tcPr>
          <w:p>
            <w:r>
              <w:t>Source</w:t>
            </w:r>
          </w:p>
        </w:tc>
        <w:tc>
          <w:tcPr>
            <w:tcW w:type="dxa" w:w="4320"/>
          </w:tcPr>
          <w:p>
            <w:r>
              <w:t>Origin of the event, such as source IP address, host name, device, session, or location</w:t>
            </w:r>
          </w:p>
        </w:tc>
      </w:tr>
      <w:tr>
        <w:tc>
          <w:tcPr>
            <w:tcW w:type="dxa" w:w="4320"/>
          </w:tcPr>
          <w:p>
            <w:r>
              <w:t>Affected object</w:t>
            </w:r>
          </w:p>
        </w:tc>
        <w:tc>
          <w:tcPr>
            <w:tcW w:type="dxa" w:w="4320"/>
          </w:tcPr>
          <w:p>
            <w:r>
              <w:t>System, file, record, account, configuration item, application, or data element impacted</w:t>
            </w:r>
          </w:p>
        </w:tc>
      </w:tr>
      <w:tr>
        <w:tc>
          <w:tcPr>
            <w:tcW w:type="dxa" w:w="4320"/>
          </w:tcPr>
          <w:p>
            <w:r>
              <w:t>Privilege context</w:t>
            </w:r>
          </w:p>
        </w:tc>
        <w:tc>
          <w:tcPr>
            <w:tcW w:type="dxa" w:w="4320"/>
          </w:tcPr>
          <w:p>
            <w:r>
              <w:t>Whether the activity used administrative, service, privileged, or standard user permissions</w:t>
            </w:r>
          </w:p>
        </w:tc>
      </w:tr>
      <w:tr>
        <w:tc>
          <w:tcPr>
            <w:tcW w:type="dxa" w:w="4320"/>
          </w:tcPr>
          <w:p>
            <w:r>
              <w:t>Relevant command or action</w:t>
            </w:r>
          </w:p>
        </w:tc>
        <w:tc>
          <w:tcPr>
            <w:tcW w:type="dxa" w:w="4320"/>
          </w:tcPr>
          <w:p>
            <w:r>
              <w:t>Command executed, configuration changed, API call, query, or security action where available</w:t>
            </w:r>
          </w:p>
        </w:tc>
      </w:tr>
    </w:tbl>
    <w:p>
      <w:pPr>
        <w:pStyle w:val="ListBullet"/>
      </w:pPr>
      <w:r>
        <w:t>The following events shall be logged for in-scope systems:</w:t>
      </w:r>
    </w:p>
    <w:tbl>
      <w:tblPr>
        <w:tblStyle w:val="TableGrid"/>
        <w:tblW w:type="auto" w:w="0"/>
        <w:tblLook w:firstColumn="1" w:firstRow="1" w:lastColumn="0" w:lastRow="0" w:noHBand="0" w:noVBand="1" w:val="04A0"/>
      </w:tblPr>
      <w:tblGrid>
        <w:gridCol w:w="4320"/>
        <w:gridCol w:w="4320"/>
      </w:tblGrid>
      <w:tr>
        <w:tc>
          <w:tcPr>
            <w:tcW w:type="dxa" w:w="4320"/>
          </w:tcPr>
          <w:p>
            <w:r>
              <w:t>Event Category</w:t>
            </w:r>
          </w:p>
        </w:tc>
        <w:tc>
          <w:tcPr>
            <w:tcW w:type="dxa" w:w="4320"/>
          </w:tcPr>
          <w:p>
            <w:r>
              <w:t>Mandatory Logging Requirement</w:t>
            </w:r>
          </w:p>
        </w:tc>
      </w:tr>
      <w:tr>
        <w:tc>
          <w:tcPr>
            <w:tcW w:type="dxa" w:w="4320"/>
          </w:tcPr>
          <w:p>
            <w:r>
              <w:t>User access</w:t>
            </w:r>
          </w:p>
        </w:tc>
        <w:tc>
          <w:tcPr>
            <w:tcW w:type="dxa" w:w="4320"/>
          </w:tcPr>
          <w:p>
            <w:r>
              <w:t>All individual user access to systems, applications, databases, and services in scope</w:t>
            </w:r>
          </w:p>
        </w:tc>
      </w:tr>
      <w:tr>
        <w:tc>
          <w:tcPr>
            <w:tcW w:type="dxa" w:w="4320"/>
          </w:tcPr>
          <w:p>
            <w:r>
              <w:t>Administrative activity</w:t>
            </w:r>
          </w:p>
        </w:tc>
        <w:tc>
          <w:tcPr>
            <w:tcW w:type="dxa" w:w="4320"/>
          </w:tcPr>
          <w:p>
            <w:r>
              <w:t>Use of privileged accounts, administrative consoles, elevated commands, and security tools</w:t>
            </w:r>
          </w:p>
        </w:tc>
      </w:tr>
      <w:tr>
        <w:tc>
          <w:tcPr>
            <w:tcW w:type="dxa" w:w="4320"/>
          </w:tcPr>
          <w:p>
            <w:r>
              <w:t>Access to payment data</w:t>
            </w:r>
          </w:p>
        </w:tc>
        <w:tc>
          <w:tcPr>
            <w:tcW w:type="dxa" w:w="4320"/>
          </w:tcPr>
          <w:p>
            <w:r>
              <w:t>Access to stored cardholder data, payment records, databases, file stores, reports, and exports</w:t>
            </w:r>
          </w:p>
        </w:tc>
      </w:tr>
      <w:tr>
        <w:tc>
          <w:tcPr>
            <w:tcW w:type="dxa" w:w="4320"/>
          </w:tcPr>
          <w:p>
            <w:r>
              <w:t>Authentication events</w:t>
            </w:r>
          </w:p>
        </w:tc>
        <w:tc>
          <w:tcPr>
            <w:tcW w:type="dxa" w:w="4320"/>
          </w:tcPr>
          <w:p>
            <w:r>
              <w:t>Successful and failed authentication attempts, account lockouts, password resets, and session activity</w:t>
            </w:r>
          </w:p>
        </w:tc>
      </w:tr>
      <w:tr>
        <w:tc>
          <w:tcPr>
            <w:tcW w:type="dxa" w:w="4320"/>
          </w:tcPr>
          <w:p>
            <w:r>
              <w:t>Account lifecycle events</w:t>
            </w:r>
          </w:p>
        </w:tc>
        <w:tc>
          <w:tcPr>
            <w:tcW w:type="dxa" w:w="4320"/>
          </w:tcPr>
          <w:p>
            <w:r>
              <w:t>Account creation, modification, disabling, deletion, role assignment, and permission changes</w:t>
            </w:r>
          </w:p>
        </w:tc>
      </w:tr>
      <w:tr>
        <w:tc>
          <w:tcPr>
            <w:tcW w:type="dxa" w:w="4320"/>
          </w:tcPr>
          <w:p>
            <w:r>
              <w:t>Security configuration changes</w:t>
            </w:r>
          </w:p>
        </w:tc>
        <w:tc>
          <w:tcPr>
            <w:tcW w:type="dxa" w:w="4320"/>
          </w:tcPr>
          <w:p>
            <w:r>
              <w:t>Changes to logging settings, firewall rules, access controls, authentication settings, monitoring tools, and security policies</w:t>
            </w:r>
          </w:p>
        </w:tc>
      </w:tr>
      <w:tr>
        <w:tc>
          <w:tcPr>
            <w:tcW w:type="dxa" w:w="4320"/>
          </w:tcPr>
          <w:p>
            <w:r>
              <w:t>System object changes</w:t>
            </w:r>
          </w:p>
        </w:tc>
        <w:tc>
          <w:tcPr>
            <w:tcW w:type="dxa" w:w="4320"/>
          </w:tcPr>
          <w:p>
            <w:r>
              <w:t>Creation, modification, or deletion of system files, application files, scripts, configuration files, and critical directories</w:t>
            </w:r>
          </w:p>
        </w:tc>
      </w:tr>
      <w:tr>
        <w:tc>
          <w:tcPr>
            <w:tcW w:type="dxa" w:w="4320"/>
          </w:tcPr>
          <w:p>
            <w:r>
              <w:t>Service and process activity</w:t>
            </w:r>
          </w:p>
        </w:tc>
        <w:tc>
          <w:tcPr>
            <w:tcW w:type="dxa" w:w="4320"/>
          </w:tcPr>
          <w:p>
            <w:r>
              <w:t>Start, stop, restart, failure, or abnormal termination of critical services, payment processes, and security agents</w:t>
            </w:r>
          </w:p>
        </w:tc>
      </w:tr>
      <w:tr>
        <w:tc>
          <w:tcPr>
            <w:tcW w:type="dxa" w:w="4320"/>
          </w:tcPr>
          <w:p>
            <w:r>
              <w:t>Network activity</w:t>
            </w:r>
          </w:p>
        </w:tc>
        <w:tc>
          <w:tcPr>
            <w:tcW w:type="dxa" w:w="4320"/>
          </w:tcPr>
          <w:p>
            <w:r>
              <w:t>Allowed and denied traffic at security boundaries, remote access activity, segmentation controls, and suspicious connection attempts</w:t>
            </w:r>
          </w:p>
        </w:tc>
      </w:tr>
      <w:tr>
        <w:tc>
          <w:tcPr>
            <w:tcW w:type="dxa" w:w="4320"/>
          </w:tcPr>
          <w:p>
            <w:r>
              <w:t>Malware and security alerts</w:t>
            </w:r>
          </w:p>
        </w:tc>
        <w:tc>
          <w:tcPr>
            <w:tcW w:type="dxa" w:w="4320"/>
          </w:tcPr>
          <w:p>
            <w:r>
              <w:t>Anti-malware events, endpoint protection alerts, intrusion detection alerts, vulnerability detection events, and file integrity alerts</w:t>
            </w:r>
          </w:p>
        </w:tc>
      </w:tr>
      <w:tr>
        <w:tc>
          <w:tcPr>
            <w:tcW w:type="dxa" w:w="4320"/>
          </w:tcPr>
          <w:p>
            <w:r>
              <w:t>Log management events</w:t>
            </w:r>
          </w:p>
        </w:tc>
        <w:tc>
          <w:tcPr>
            <w:tcW w:type="dxa" w:w="4320"/>
          </w:tcPr>
          <w:p>
            <w:r>
              <w:t>Log collection failures, log forwarding failures, log deletion attempts, log storage threshold warnings, and changes to logging configurations</w:t>
            </w:r>
          </w:p>
        </w:tc>
      </w:tr>
      <w:tr>
        <w:tc>
          <w:tcPr>
            <w:tcW w:type="dxa" w:w="4320"/>
          </w:tcPr>
          <w:p>
            <w:r>
              <w:t>Time changes</w:t>
            </w:r>
          </w:p>
        </w:tc>
        <w:tc>
          <w:tcPr>
            <w:tcW w:type="dxa" w:w="4320"/>
          </w:tcPr>
          <w:p>
            <w:r>
              <w:t>Changes to system time, time synchronisation settings, or time source configuration</w:t>
            </w:r>
          </w:p>
        </w:tc>
      </w:tr>
      <w:tr>
        <w:tc>
          <w:tcPr>
            <w:tcW w:type="dxa" w:w="4320"/>
          </w:tcPr>
          <w:p>
            <w:r>
              <w:t>Payment application events</w:t>
            </w:r>
          </w:p>
        </w:tc>
        <w:tc>
          <w:tcPr>
            <w:tcW w:type="dxa" w:w="4320"/>
          </w:tcPr>
          <w:p>
            <w:r>
              <w:t>Payment transaction processing errors, administrative actions, application security events, and suspicious application behaviour</w:t>
            </w:r>
          </w:p>
        </w:tc>
      </w:tr>
    </w:tbl>
    <w:p>
      <w:pPr>
        <w:pStyle w:val="ListBullet"/>
      </w:pPr>
      <w:r>
        <w:t>Audit logs shall not contain full primary account numbers, sensitive authentication data, authentication secrets, passwords, cryptographic keys, or any other data that would create unnecessary security risk if included in logs.</w:t>
      </w:r>
    </w:p>
    <w:p>
      <w:pPr>
        <w:pStyle w:val="ListBullet"/>
      </w:pPr>
      <w:r>
        <w:t>Where primary account numbers must be included in logs for a documented business or technical reason, they shall be masked or truncated so that only the minimum necessary digits are visible.</w:t>
      </w:r>
    </w:p>
    <w:p>
      <w:pPr>
        <w:pStyle w:val="ListBullet"/>
      </w:pPr>
      <w:r>
        <w:t>Logs shall be forwarded to the approved central logging platform or security monitoring platform as close to real time as technically feasible.</w:t>
      </w:r>
    </w:p>
    <w:p>
      <w:pPr>
        <w:pStyle w:val="ListBullet"/>
      </w:pPr>
      <w:r>
        <w:t>Systems that cannot forward logs in real time shall have documented compensating logging arrangements approved by the Security Operations Manager and shall be reviewed at a defined frequency.</w:t>
      </w:r>
    </w:p>
    <w:p>
      <w:pPr>
        <w:pStyle w:val="ListBullet"/>
      </w:pPr>
      <w:r>
        <w:t>All in-scope systems shall use approved time synchronisation sources to ensure log timestamps are accurate, consistent, and suitable for correlation.</w:t>
      </w:r>
    </w:p>
    <w:p>
      <w:pPr>
        <w:pStyle w:val="ListBullet"/>
      </w:pPr>
      <w:r>
        <w:t>Time synchronisation settings shall be protected from unauthorised modification.</w:t>
      </w:r>
    </w:p>
    <w:p>
      <w:pPr>
        <w:pStyle w:val="ListBullet"/>
      </w:pPr>
      <w:r>
        <w:t>Access to logs, logging tools, monitoring consoles, and log storage repositories shall be restricted to authorised personnel with a legitimate business need.</w:t>
      </w:r>
    </w:p>
    <w:p>
      <w:pPr>
        <w:pStyle w:val="ListBullet"/>
      </w:pPr>
      <w:r>
        <w:t>Personnel shall not disable, alter, delete, suppress, or bypass required logging without prior documented approval through the change management process.</w:t>
      </w:r>
    </w:p>
    <w:p>
      <w:pPr>
        <w:pStyle w:val="ListBullet"/>
      </w:pPr>
      <w:r>
        <w:t>Audit logs shall be protected from unauthorised modification, deletion, and disclosure.</w:t>
      </w:r>
    </w:p>
    <w:p>
      <w:pPr>
        <w:pStyle w:val="ListBullet"/>
      </w:pPr>
      <w:r>
        <w:t>Logging platforms and log storage locations shall be configured to prevent users and administrators from modifying or deleting audit trails outside authorised retention and disposal processes.</w:t>
      </w:r>
    </w:p>
    <w:p>
      <w:pPr>
        <w:pStyle w:val="ListBullet"/>
      </w:pPr>
      <w:r>
        <w:t>Administrative access to logging systems shall be individually assigned, authenticated, and monitored.</w:t>
      </w:r>
    </w:p>
    <w:p>
      <w:pPr>
        <w:pStyle w:val="ListBullet"/>
      </w:pPr>
      <w:r>
        <w:t>Shared administrative accounts shall not be used for routine access to logging or monitoring systems unless technically unavoidable and formally approved with additional monitoring controls.</w:t>
      </w:r>
    </w:p>
    <w:p>
      <w:pPr>
        <w:pStyle w:val="ListBullet"/>
      </w:pPr>
      <w:r>
        <w:t>Security-relevant logs from in-scope systems shall be reviewed daily to identify suspicious activity, unauthorised access, operational failures, and potential security incidents.</w:t>
      </w:r>
    </w:p>
    <w:p>
      <w:pPr>
        <w:pStyle w:val="ListBullet"/>
      </w:pPr>
      <w:r>
        <w:t>Daily log review shall include, at minimum, the following areas:</w:t>
      </w:r>
    </w:p>
    <w:tbl>
      <w:tblPr>
        <w:tblStyle w:val="TableGrid"/>
        <w:tblW w:type="auto" w:w="0"/>
        <w:tblLook w:firstColumn="1" w:firstRow="1" w:lastColumn="0" w:lastRow="0" w:noHBand="0" w:noVBand="1" w:val="04A0"/>
      </w:tblPr>
      <w:tblGrid>
        <w:gridCol w:w="4320"/>
        <w:gridCol w:w="4320"/>
      </w:tblGrid>
      <w:tr>
        <w:tc>
          <w:tcPr>
            <w:tcW w:type="dxa" w:w="4320"/>
          </w:tcPr>
          <w:p>
            <w:r>
              <w:t>Review Area</w:t>
            </w:r>
          </w:p>
        </w:tc>
        <w:tc>
          <w:tcPr>
            <w:tcW w:type="dxa" w:w="4320"/>
          </w:tcPr>
          <w:p>
            <w:r>
              <w:t>Examples of Activity to Review</w:t>
            </w:r>
          </w:p>
        </w:tc>
      </w:tr>
      <w:tr>
        <w:tc>
          <w:tcPr>
            <w:tcW w:type="dxa" w:w="4320"/>
          </w:tcPr>
          <w:p>
            <w:r>
              <w:t>Authentication</w:t>
            </w:r>
          </w:p>
        </w:tc>
        <w:tc>
          <w:tcPr>
            <w:tcW w:type="dxa" w:w="4320"/>
          </w:tcPr>
          <w:p>
            <w:r>
              <w:t>Repeated failed logins, unusual login times, disabled account activity, successful logins after repeated failures</w:t>
            </w:r>
          </w:p>
        </w:tc>
      </w:tr>
      <w:tr>
        <w:tc>
          <w:tcPr>
            <w:tcW w:type="dxa" w:w="4320"/>
          </w:tcPr>
          <w:p>
            <w:r>
              <w:t>Privileged access</w:t>
            </w:r>
          </w:p>
        </w:tc>
        <w:tc>
          <w:tcPr>
            <w:tcW w:type="dxa" w:w="4320"/>
          </w:tcPr>
          <w:p>
            <w:r>
              <w:t>Use of administrative accounts, elevation of privileges, changes to roles or permissions</w:t>
            </w:r>
          </w:p>
        </w:tc>
      </w:tr>
      <w:tr>
        <w:tc>
          <w:tcPr>
            <w:tcW w:type="dxa" w:w="4320"/>
          </w:tcPr>
          <w:p>
            <w:r>
              <w:t>Cardholder data access</w:t>
            </w:r>
          </w:p>
        </w:tc>
        <w:tc>
          <w:tcPr>
            <w:tcW w:type="dxa" w:w="4320"/>
          </w:tcPr>
          <w:p>
            <w:r>
              <w:t>Unusual access patterns, large exports, access by unexpected users or systems</w:t>
            </w:r>
          </w:p>
        </w:tc>
      </w:tr>
      <w:tr>
        <w:tc>
          <w:tcPr>
            <w:tcW w:type="dxa" w:w="4320"/>
          </w:tcPr>
          <w:p>
            <w:r>
              <w:t>Security events</w:t>
            </w:r>
          </w:p>
        </w:tc>
        <w:tc>
          <w:tcPr>
            <w:tcW w:type="dxa" w:w="4320"/>
          </w:tcPr>
          <w:p>
            <w:r>
              <w:t>Malware alerts, intrusion alerts, endpoint alerts, blocked traffic, suspicious file changes</w:t>
            </w:r>
          </w:p>
        </w:tc>
      </w:tr>
      <w:tr>
        <w:tc>
          <w:tcPr>
            <w:tcW w:type="dxa" w:w="4320"/>
          </w:tcPr>
          <w:p>
            <w:r>
              <w:t>System changes</w:t>
            </w:r>
          </w:p>
        </w:tc>
        <w:tc>
          <w:tcPr>
            <w:tcW w:type="dxa" w:w="4320"/>
          </w:tcPr>
          <w:p>
            <w:r>
              <w:t>Configuration changes, service changes, patching anomalies, logging changes</w:t>
            </w:r>
          </w:p>
        </w:tc>
      </w:tr>
      <w:tr>
        <w:tc>
          <w:tcPr>
            <w:tcW w:type="dxa" w:w="4320"/>
          </w:tcPr>
          <w:p>
            <w:r>
              <w:t>Network events</w:t>
            </w:r>
          </w:p>
        </w:tc>
        <w:tc>
          <w:tcPr>
            <w:tcW w:type="dxa" w:w="4320"/>
          </w:tcPr>
          <w:p>
            <w:r>
              <w:t>Denied traffic, remote access activity, segmentation events, connections from unusual locations</w:t>
            </w:r>
          </w:p>
        </w:tc>
      </w:tr>
      <w:tr>
        <w:tc>
          <w:tcPr>
            <w:tcW w:type="dxa" w:w="4320"/>
          </w:tcPr>
          <w:p>
            <w:r>
              <w:t>Logging health</w:t>
            </w:r>
          </w:p>
        </w:tc>
        <w:tc>
          <w:tcPr>
            <w:tcW w:type="dxa" w:w="4320"/>
          </w:tcPr>
          <w:p>
            <w:r>
              <w:t>Missing logs, delayed log feeds, agent failures, storage warnings, clock drift</w:t>
            </w:r>
          </w:p>
        </w:tc>
      </w:tr>
    </w:tbl>
    <w:p>
      <w:pPr>
        <w:pStyle w:val="ListBullet"/>
      </w:pPr>
      <w:r>
        <w:t>Daily log review shall be documented, including the reviewer, date, systems or dashboards reviewed, issues identified, actions taken, and escalation status.</w:t>
      </w:r>
    </w:p>
    <w:p>
      <w:pPr>
        <w:pStyle w:val="ListBullet"/>
      </w:pPr>
      <w:r>
        <w:t>The organisation may use automated monitoring, alerting, correlation, and analytics tools to support log review; however, tool use shall not remove the requirement for documented review and follow-up.</w:t>
      </w:r>
    </w:p>
    <w:p>
      <w:pPr>
        <w:pStyle w:val="ListBullet"/>
      </w:pPr>
      <w:r>
        <w:t>Alerts generated from monitoring systems shall be prioritised, investigated, and resolved according to the organisation’s incident response and security operations processes.</w:t>
      </w:r>
    </w:p>
    <w:p>
      <w:pPr>
        <w:pStyle w:val="ListBullet"/>
      </w:pPr>
      <w:r>
        <w:t>Critical security alerts shall be triaged promptly and escalated without undue delay to the appropriate response personnel.</w:t>
      </w:r>
    </w:p>
    <w:p>
      <w:pPr>
        <w:pStyle w:val="ListBullet"/>
      </w:pPr>
      <w:r>
        <w:t>The following alert types shall be configured where technically supported and applicable:</w:t>
      </w:r>
    </w:p>
    <w:tbl>
      <w:tblPr>
        <w:tblStyle w:val="TableGrid"/>
        <w:tblW w:type="auto" w:w="0"/>
        <w:tblLook w:firstColumn="1" w:firstRow="1" w:lastColumn="0" w:lastRow="0" w:noHBand="0" w:noVBand="1" w:val="04A0"/>
      </w:tblPr>
      <w:tblGrid>
        <w:gridCol w:w="4320"/>
        <w:gridCol w:w="4320"/>
      </w:tblGrid>
      <w:tr>
        <w:tc>
          <w:tcPr>
            <w:tcW w:type="dxa" w:w="4320"/>
          </w:tcPr>
          <w:p>
            <w:r>
              <w:t>Alert Type</w:t>
            </w:r>
          </w:p>
        </w:tc>
        <w:tc>
          <w:tcPr>
            <w:tcW w:type="dxa" w:w="4320"/>
          </w:tcPr>
          <w:p>
            <w:r>
              <w:t>Required Response Expectation</w:t>
            </w:r>
          </w:p>
        </w:tc>
      </w:tr>
      <w:tr>
        <w:tc>
          <w:tcPr>
            <w:tcW w:type="dxa" w:w="4320"/>
          </w:tcPr>
          <w:p>
            <w:r>
              <w:t>Suspected unauthorised access</w:t>
            </w:r>
          </w:p>
        </w:tc>
        <w:tc>
          <w:tcPr>
            <w:tcW w:type="dxa" w:w="4320"/>
          </w:tcPr>
          <w:p>
            <w:r>
              <w:t>Immediate triage and escalation if confirmed or unresolved</w:t>
            </w:r>
          </w:p>
        </w:tc>
      </w:tr>
      <w:tr>
        <w:tc>
          <w:tcPr>
            <w:tcW w:type="dxa" w:w="4320"/>
          </w:tcPr>
          <w:p>
            <w:r>
              <w:t>Privileged account misuse</w:t>
            </w:r>
          </w:p>
        </w:tc>
        <w:tc>
          <w:tcPr>
            <w:tcW w:type="dxa" w:w="4320"/>
          </w:tcPr>
          <w:p>
            <w:r>
              <w:t>Priority investigation and management notification as appropriate</w:t>
            </w:r>
          </w:p>
        </w:tc>
      </w:tr>
      <w:tr>
        <w:tc>
          <w:tcPr>
            <w:tcW w:type="dxa" w:w="4320"/>
          </w:tcPr>
          <w:p>
            <w:r>
              <w:t>Logging failure</w:t>
            </w:r>
          </w:p>
        </w:tc>
        <w:tc>
          <w:tcPr>
            <w:tcW w:type="dxa" w:w="4320"/>
          </w:tcPr>
          <w:p>
            <w:r>
              <w:t>Restore log collection and assess potential visibility gap</w:t>
            </w:r>
          </w:p>
        </w:tc>
      </w:tr>
      <w:tr>
        <w:tc>
          <w:tcPr>
            <w:tcW w:type="dxa" w:w="4320"/>
          </w:tcPr>
          <w:p>
            <w:r>
              <w:t>Security control disablement</w:t>
            </w:r>
          </w:p>
        </w:tc>
        <w:tc>
          <w:tcPr>
            <w:tcW w:type="dxa" w:w="4320"/>
          </w:tcPr>
          <w:p>
            <w:r>
              <w:t>Validate authorisation and escalate if unauthorised</w:t>
            </w:r>
          </w:p>
        </w:tc>
      </w:tr>
      <w:tr>
        <w:tc>
          <w:tcPr>
            <w:tcW w:type="dxa" w:w="4320"/>
          </w:tcPr>
          <w:p>
            <w:r>
              <w:t>Suspicious payment data access</w:t>
            </w:r>
          </w:p>
        </w:tc>
        <w:tc>
          <w:tcPr>
            <w:tcW w:type="dxa" w:w="4320"/>
          </w:tcPr>
          <w:p>
            <w:r>
              <w:t>Investigate user, source, volume, and business justification</w:t>
            </w:r>
          </w:p>
        </w:tc>
      </w:tr>
      <w:tr>
        <w:tc>
          <w:tcPr>
            <w:tcW w:type="dxa" w:w="4320"/>
          </w:tcPr>
          <w:p>
            <w:r>
              <w:t>Malware or intrusion detection</w:t>
            </w:r>
          </w:p>
        </w:tc>
        <w:tc>
          <w:tcPr>
            <w:tcW w:type="dxa" w:w="4320"/>
          </w:tcPr>
          <w:p>
            <w:r>
              <w:t>Follow incident response procedures</w:t>
            </w:r>
          </w:p>
        </w:tc>
      </w:tr>
      <w:tr>
        <w:tc>
          <w:tcPr>
            <w:tcW w:type="dxa" w:w="4320"/>
          </w:tcPr>
          <w:p>
            <w:r>
              <w:t>Segmentation control failure</w:t>
            </w:r>
          </w:p>
        </w:tc>
        <w:tc>
          <w:tcPr>
            <w:tcW w:type="dxa" w:w="4320"/>
          </w:tcPr>
          <w:p>
            <w:r>
              <w:t>Assess potential exposure of the cardholder data environment</w:t>
            </w:r>
          </w:p>
        </w:tc>
      </w:tr>
      <w:tr>
        <w:tc>
          <w:tcPr>
            <w:tcW w:type="dxa" w:w="4320"/>
          </w:tcPr>
          <w:p>
            <w:r>
              <w:t>Repeated authentication failures</w:t>
            </w:r>
          </w:p>
        </w:tc>
        <w:tc>
          <w:tcPr>
            <w:tcW w:type="dxa" w:w="4320"/>
          </w:tcPr>
          <w:p>
            <w:r>
              <w:t>Determine whether activity is user error, misconfiguration, or attack</w:t>
            </w:r>
          </w:p>
        </w:tc>
      </w:tr>
      <w:tr>
        <w:tc>
          <w:tcPr>
            <w:tcW w:type="dxa" w:w="4320"/>
          </w:tcPr>
          <w:p>
            <w:r>
              <w:t>Unauthorised configuration change</w:t>
            </w:r>
          </w:p>
        </w:tc>
        <w:tc>
          <w:tcPr>
            <w:tcW w:type="dxa" w:w="4320"/>
          </w:tcPr>
          <w:p>
            <w:r>
              <w:t>Validate change approval and restore secure state if required</w:t>
            </w:r>
          </w:p>
        </w:tc>
      </w:tr>
    </w:tbl>
    <w:p>
      <w:pPr>
        <w:pStyle w:val="ListBullet"/>
      </w:pPr>
      <w:r>
        <w:t>Logs required for security monitoring, investigation, and compliance shall be retained for at least twelve months unless a longer retention period is required by legal, contractual, regulatory, or business requirements.</w:t>
      </w:r>
    </w:p>
    <w:p>
      <w:pPr>
        <w:pStyle w:val="ListBullet"/>
      </w:pPr>
      <w:r>
        <w:t>Logs for at least the most recent three months shall be immediately available for analysis, investigation, and audit support without requiring restoration from offline archives.</w:t>
      </w:r>
    </w:p>
    <w:p>
      <w:pPr>
        <w:pStyle w:val="ListBullet"/>
      </w:pPr>
      <w:r>
        <w:t>Logs older than the immediately available period may be archived provided they remain retrievable, protected from unauthorised access, and restorable within a timeframe approved by the Security Operations Manager.</w:t>
      </w:r>
    </w:p>
    <w:p>
      <w:pPr>
        <w:pStyle w:val="ListBullet"/>
      </w:pPr>
      <w:r>
        <w:t>Log retention settings shall be configured and periodically validated to ensure logs are not overwritten, deleted, or purged before the required retention period.</w:t>
      </w:r>
    </w:p>
    <w:p>
      <w:pPr>
        <w:pStyle w:val="ListBullet"/>
      </w:pPr>
      <w:r>
        <w:t>Log storage shall be monitored for capacity, ingestion failures, processing delays, and retention risks.</w:t>
      </w:r>
    </w:p>
    <w:p>
      <w:pPr>
        <w:pStyle w:val="ListBullet"/>
      </w:pPr>
      <w:r>
        <w:t>The organisation shall define and maintain a log source inventory for systems in scope.</w:t>
      </w:r>
    </w:p>
    <w:p>
      <w:pPr>
        <w:pStyle w:val="ListBullet"/>
      </w:pPr>
      <w:r>
        <w:t>The log source inventory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Inventory Field</w:t>
            </w:r>
          </w:p>
        </w:tc>
        <w:tc>
          <w:tcPr>
            <w:tcW w:type="dxa" w:w="4320"/>
          </w:tcPr>
          <w:p>
            <w:r>
              <w:t>Required Information</w:t>
            </w:r>
          </w:p>
        </w:tc>
      </w:tr>
      <w:tr>
        <w:tc>
          <w:tcPr>
            <w:tcW w:type="dxa" w:w="4320"/>
          </w:tcPr>
          <w:p>
            <w:r>
              <w:t>System name</w:t>
            </w:r>
          </w:p>
        </w:tc>
        <w:tc>
          <w:tcPr>
            <w:tcW w:type="dxa" w:w="4320"/>
          </w:tcPr>
          <w:p>
            <w:r>
              <w:t>Authorised asset or service name</w:t>
            </w:r>
          </w:p>
        </w:tc>
      </w:tr>
      <w:tr>
        <w:tc>
          <w:tcPr>
            <w:tcW w:type="dxa" w:w="4320"/>
          </w:tcPr>
          <w:p>
            <w:r>
              <w:t>System owner</w:t>
            </w:r>
          </w:p>
        </w:tc>
        <w:tc>
          <w:tcPr>
            <w:tcW w:type="dxa" w:w="4320"/>
          </w:tcPr>
          <w:p>
            <w:r>
              <w:t>Business or technical owner responsible for the system</w:t>
            </w:r>
          </w:p>
        </w:tc>
      </w:tr>
      <w:tr>
        <w:tc>
          <w:tcPr>
            <w:tcW w:type="dxa" w:w="4320"/>
          </w:tcPr>
          <w:p>
            <w:r>
              <w:t>Environment</w:t>
            </w:r>
          </w:p>
        </w:tc>
        <w:tc>
          <w:tcPr>
            <w:tcW w:type="dxa" w:w="4320"/>
          </w:tcPr>
          <w:p>
            <w:r>
              <w:t>Production, non-production, cloud, on-premises, or hybrid</w:t>
            </w:r>
          </w:p>
        </w:tc>
      </w:tr>
      <w:tr>
        <w:tc>
          <w:tcPr>
            <w:tcW w:type="dxa" w:w="4320"/>
          </w:tcPr>
          <w:p>
            <w:r>
              <w:t>Log types</w:t>
            </w:r>
          </w:p>
        </w:tc>
        <w:tc>
          <w:tcPr>
            <w:tcW w:type="dxa" w:w="4320"/>
          </w:tcPr>
          <w:p>
            <w:r>
              <w:t>Security, application, database, network, authentication, operating system, or other relevant logs</w:t>
            </w:r>
          </w:p>
        </w:tc>
      </w:tr>
      <w:tr>
        <w:tc>
          <w:tcPr>
            <w:tcW w:type="dxa" w:w="4320"/>
          </w:tcPr>
          <w:p>
            <w:r>
              <w:t>Collection method</w:t>
            </w:r>
          </w:p>
        </w:tc>
        <w:tc>
          <w:tcPr>
            <w:tcW w:type="dxa" w:w="4320"/>
          </w:tcPr>
          <w:p>
            <w:r>
              <w:t>Agent, syslog, API, native integration, cloud connector, or manual export</w:t>
            </w:r>
          </w:p>
        </w:tc>
      </w:tr>
      <w:tr>
        <w:tc>
          <w:tcPr>
            <w:tcW w:type="dxa" w:w="4320"/>
          </w:tcPr>
          <w:p>
            <w:r>
              <w:t>Monitoring status</w:t>
            </w:r>
          </w:p>
        </w:tc>
        <w:tc>
          <w:tcPr>
            <w:tcW w:type="dxa" w:w="4320"/>
          </w:tcPr>
          <w:p>
            <w:r>
              <w:t>Active, pending onboarding, temporarily unavailable, or decommissioned</w:t>
            </w:r>
          </w:p>
        </w:tc>
      </w:tr>
      <w:tr>
        <w:tc>
          <w:tcPr>
            <w:tcW w:type="dxa" w:w="4320"/>
          </w:tcPr>
          <w:p>
            <w:r>
              <w:t>Review requirement</w:t>
            </w:r>
          </w:p>
        </w:tc>
        <w:tc>
          <w:tcPr>
            <w:tcW w:type="dxa" w:w="4320"/>
          </w:tcPr>
          <w:p>
            <w:r>
              <w:t>Daily review, alert-based review, periodic review, or other approved approach</w:t>
            </w:r>
          </w:p>
        </w:tc>
      </w:tr>
      <w:tr>
        <w:tc>
          <w:tcPr>
            <w:tcW w:type="dxa" w:w="4320"/>
          </w:tcPr>
          <w:p>
            <w:r>
              <w:t>Retention status</w:t>
            </w:r>
          </w:p>
        </w:tc>
        <w:tc>
          <w:tcPr>
            <w:tcW w:type="dxa" w:w="4320"/>
          </w:tcPr>
          <w:p>
            <w:r>
              <w:t>Meets required retention, exception approved, or remediation required</w:t>
            </w:r>
          </w:p>
        </w:tc>
      </w:tr>
      <w:tr>
        <w:tc>
          <w:tcPr>
            <w:tcW w:type="dxa" w:w="4320"/>
          </w:tcPr>
          <w:p>
            <w:r>
              <w:t>Last validation date</w:t>
            </w:r>
          </w:p>
        </w:tc>
        <w:tc>
          <w:tcPr>
            <w:tcW w:type="dxa" w:w="4320"/>
          </w:tcPr>
          <w:p>
            <w:r>
              <w:t>Date log generation and collection were last verified</w:t>
            </w:r>
          </w:p>
        </w:tc>
      </w:tr>
    </w:tbl>
    <w:p>
      <w:pPr>
        <w:pStyle w:val="ListBullet"/>
      </w:pPr>
      <w:r>
        <w:t>New in-scope systems shall not be placed into production until required logging, monitoring, time synchronisation, and alerting capabilities have been implemented or an approved exception is in place.</w:t>
      </w:r>
    </w:p>
    <w:p>
      <w:pPr>
        <w:pStyle w:val="ListBullet"/>
      </w:pPr>
      <w:r>
        <w:t>Changes to in-scope systems shall include assessment of whether logging, monitoring, alerting, and retention requirements remain effective.</w:t>
      </w:r>
    </w:p>
    <w:p>
      <w:pPr>
        <w:pStyle w:val="ListBullet"/>
      </w:pPr>
      <w:r>
        <w:t>Logging and monitoring requirements shall be included in system build standards, cloud deployment standards, payment application requirements, and change management processes.</w:t>
      </w:r>
    </w:p>
    <w:p>
      <w:pPr>
        <w:pStyle w:val="ListBullet"/>
      </w:pPr>
      <w:r>
        <w:t>Log review procedures, alert handling instructions, escalation paths, and evidence retention expectations shall be documented and maintained by Security Operations.</w:t>
      </w:r>
    </w:p>
    <w:p>
      <w:pPr>
        <w:pStyle w:val="ListBullet"/>
      </w:pPr>
      <w:r>
        <w:t>Logs and monitoring records shall be made available to authorised auditors, assessors, investigators, and compliance personnel when required.</w:t>
      </w:r>
    </w:p>
    <w:p>
      <w:pPr>
        <w:pStyle w:val="ListBullet"/>
      </w:pPr>
      <w:r>
        <w:t>Service providers that manage, host, monitor, or support in-scope systems shall be required to generate, protect, retain, and provide access to relevant logs in accordance with this policy and contractual obligations.</w:t>
      </w:r>
    </w:p>
    <w:p>
      <w:pPr>
        <w:pStyle w:val="ListBullet"/>
      </w:pPr>
      <w:r>
        <w:t>The organisation shall ensure service provider logging responsibilities are clearly assigned, including who reviews logs, who responds to alerts, how events are escalated, and how evidence is retained.</w:t>
      </w:r>
    </w:p>
    <w:p>
      <w:pPr>
        <w:pStyle w:val="ListBullet"/>
      </w:pPr>
      <w:r>
        <w:t>Security monitoring processes shall operate continuously, including outside normal business hours, through internal staffing, managed security services, automated alerting, or documented on-call arrangements.</w:t>
      </w:r>
    </w:p>
    <w:p>
      <w:pPr>
        <w:pStyle w:val="ListBullet"/>
      </w:pPr>
      <w:r>
        <w:t>Any confirmed or suspected compromise, tampering, loss, or unavailability of required logs shall be treated as a security event and investigated.</w:t>
      </w:r>
    </w:p>
    <w:p>
      <w:pPr>
        <w:pStyle w:val="ListBullet"/>
      </w:pPr>
      <w:r>
        <w:t>Evidence of log review, monitoring activity, alert triage, escalation, and remediation shall be retained in accordance with the organisation’s evidence retention requirements.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Management</w:t>
            </w:r>
          </w:p>
        </w:tc>
        <w:tc>
          <w:tcPr>
            <w:tcW w:type="dxa" w:w="4320"/>
          </w:tcPr>
          <w:p>
            <w:r>
              <w:t>Approves the organisation’s commitment to logging and monitoring; ensures adequate resources are available to operate monitoring capabilities and address identified risks.</w:t>
            </w:r>
          </w:p>
        </w:tc>
      </w:tr>
      <w:tr>
        <w:tc>
          <w:tcPr>
            <w:tcW w:type="dxa" w:w="4320"/>
          </w:tcPr>
          <w:p>
            <w:r>
              <w:t>Chief Information Security Officer or Security Lead</w:t>
            </w:r>
          </w:p>
        </w:tc>
        <w:tc>
          <w:tcPr>
            <w:tcW w:type="dxa" w:w="4320"/>
          </w:tcPr>
          <w:p>
            <w:r>
              <w:t>Owns the overall logging and monitoring control environment; ensures this policy aligns with security, compliance, and incident response objectives.</w:t>
            </w:r>
          </w:p>
        </w:tc>
      </w:tr>
      <w:tr>
        <w:tc>
          <w:tcPr>
            <w:tcW w:type="dxa" w:w="4320"/>
          </w:tcPr>
          <w:p>
            <w:r>
              <w:t>Security Operations Manager</w:t>
            </w:r>
          </w:p>
        </w:tc>
        <w:tc>
          <w:tcPr>
            <w:tcW w:type="dxa" w:w="4320"/>
          </w:tcPr>
          <w:p>
            <w:r>
              <w:t>Owns day-to-day implementation of this policy; ensures log sources are onboarded, reviews are performed, alerts are triaged, and evidence is maintained.</w:t>
            </w:r>
          </w:p>
        </w:tc>
      </w:tr>
      <w:tr>
        <w:tc>
          <w:tcPr>
            <w:tcW w:type="dxa" w:w="4320"/>
          </w:tcPr>
          <w:p>
            <w:r>
              <w:t>Security Operations Team</w:t>
            </w:r>
          </w:p>
        </w:tc>
        <w:tc>
          <w:tcPr>
            <w:tcW w:type="dxa" w:w="4320"/>
          </w:tcPr>
          <w:p>
            <w:r>
              <w:t>Performs daily log review, monitors alerts, investigates suspicious activity, documents findings, escalates incidents, and validates logging health.</w:t>
            </w:r>
          </w:p>
        </w:tc>
      </w:tr>
      <w:tr>
        <w:tc>
          <w:tcPr>
            <w:tcW w:type="dxa" w:w="4320"/>
          </w:tcPr>
          <w:p>
            <w:r>
              <w:t>System Owners</w:t>
            </w:r>
          </w:p>
        </w:tc>
        <w:tc>
          <w:tcPr>
            <w:tcW w:type="dxa" w:w="4320"/>
          </w:tcPr>
          <w:p>
            <w:r>
              <w:t>Ensure systems under their responsibility generate required logs, forward logs to approved platforms, maintain accurate time settings, and remediate logging issues.</w:t>
            </w:r>
          </w:p>
        </w:tc>
      </w:tr>
      <w:tr>
        <w:tc>
          <w:tcPr>
            <w:tcW w:type="dxa" w:w="4320"/>
          </w:tcPr>
          <w:p>
            <w:r>
              <w:t>Application Owners</w:t>
            </w:r>
          </w:p>
        </w:tc>
        <w:tc>
          <w:tcPr>
            <w:tcW w:type="dxa" w:w="4320"/>
          </w:tcPr>
          <w:p>
            <w:r>
              <w:t>Ensure applications produce appropriate security and audit events, avoid logging prohibited sensitive data, and support monitoring and investigation needs.</w:t>
            </w:r>
          </w:p>
        </w:tc>
      </w:tr>
      <w:tr>
        <w:tc>
          <w:tcPr>
            <w:tcW w:type="dxa" w:w="4320"/>
          </w:tcPr>
          <w:p>
            <w:r>
              <w:t>Network Team</w:t>
            </w:r>
          </w:p>
        </w:tc>
        <w:tc>
          <w:tcPr>
            <w:tcW w:type="dxa" w:w="4320"/>
          </w:tcPr>
          <w:p>
            <w:r>
              <w:t>Ensures network devices, security appliances, remote access platforms, and segmentation controls generate and forward required logs.</w:t>
            </w:r>
          </w:p>
        </w:tc>
      </w:tr>
      <w:tr>
        <w:tc>
          <w:tcPr>
            <w:tcW w:type="dxa" w:w="4320"/>
          </w:tcPr>
          <w:p>
            <w:r>
              <w:t>Infrastructure and Cloud Teams</w:t>
            </w:r>
          </w:p>
        </w:tc>
        <w:tc>
          <w:tcPr>
            <w:tcW w:type="dxa" w:w="4320"/>
          </w:tcPr>
          <w:p>
            <w:r>
              <w:t>Configure logging, time synchronisation, access controls, storage, and monitoring for servers, platforms, containers, cloud services, and supporting infrastructure.</w:t>
            </w:r>
          </w:p>
        </w:tc>
      </w:tr>
      <w:tr>
        <w:tc>
          <w:tcPr>
            <w:tcW w:type="dxa" w:w="4320"/>
          </w:tcPr>
          <w:p>
            <w:r>
              <w:t>Database Administrators</w:t>
            </w:r>
          </w:p>
        </w:tc>
        <w:tc>
          <w:tcPr>
            <w:tcW w:type="dxa" w:w="4320"/>
          </w:tcPr>
          <w:p>
            <w:r>
              <w:t>Ensure database access, privileged activity, changes, and access to payment data are logged and monitored.</w:t>
            </w:r>
          </w:p>
        </w:tc>
      </w:tr>
      <w:tr>
        <w:tc>
          <w:tcPr>
            <w:tcW w:type="dxa" w:w="4320"/>
          </w:tcPr>
          <w:p>
            <w:r>
              <w:t>Identity and Access Management Team</w:t>
            </w:r>
          </w:p>
        </w:tc>
        <w:tc>
          <w:tcPr>
            <w:tcW w:type="dxa" w:w="4320"/>
          </w:tcPr>
          <w:p>
            <w:r>
              <w:t>Ensures authentication, authorisation, account lifecycle, privileged access, and directory events are logged and available for review.</w:t>
            </w:r>
          </w:p>
        </w:tc>
      </w:tr>
      <w:tr>
        <w:tc>
          <w:tcPr>
            <w:tcW w:type="dxa" w:w="4320"/>
          </w:tcPr>
          <w:p>
            <w:r>
              <w:t>Incident Response Team</w:t>
            </w:r>
          </w:p>
        </w:tc>
        <w:tc>
          <w:tcPr>
            <w:tcW w:type="dxa" w:w="4320"/>
          </w:tcPr>
          <w:p>
            <w:r>
              <w:t>Uses logs to investigate and contain security incidents; ensures relevant logs are preserved during investigations.</w:t>
            </w:r>
          </w:p>
        </w:tc>
      </w:tr>
      <w:tr>
        <w:tc>
          <w:tcPr>
            <w:tcW w:type="dxa" w:w="4320"/>
          </w:tcPr>
          <w:p>
            <w:r>
              <w:t>Compliance Team</w:t>
            </w:r>
          </w:p>
        </w:tc>
        <w:tc>
          <w:tcPr>
            <w:tcW w:type="dxa" w:w="4320"/>
          </w:tcPr>
          <w:p>
            <w:r>
              <w:t>Monitors adherence to policy requirements; coordinates audit evidence; validates that retention, review, and monitoring obligations are met.</w:t>
            </w:r>
          </w:p>
        </w:tc>
      </w:tr>
      <w:tr>
        <w:tc>
          <w:tcPr>
            <w:tcW w:type="dxa" w:w="4320"/>
          </w:tcPr>
          <w:p>
            <w:r>
              <w:t>Service Provider Manager</w:t>
            </w:r>
          </w:p>
        </w:tc>
        <w:tc>
          <w:tcPr>
            <w:tcW w:type="dxa" w:w="4320"/>
          </w:tcPr>
          <w:p>
            <w:r>
              <w:t>Ensures contracts and service arrangements include logging, monitoring, retention, escalation, and evidence access requirements.</w:t>
            </w:r>
          </w:p>
        </w:tc>
      </w:tr>
      <w:tr>
        <w:tc>
          <w:tcPr>
            <w:tcW w:type="dxa" w:w="4320"/>
          </w:tcPr>
          <w:p>
            <w:r>
              <w:t>Users and Administrators</w:t>
            </w:r>
          </w:p>
        </w:tc>
        <w:tc>
          <w:tcPr>
            <w:tcW w:type="dxa" w:w="4320"/>
          </w:tcPr>
          <w:p>
            <w:r>
              <w:t>Use systems in accordance with authorised access; must not disable, alter, delete, or bypass logging controls.</w:t>
            </w:r>
          </w:p>
        </w:tc>
      </w:tr>
    </w:tbl>
    <w:p>
      <w:pPr>
        <w:pStyle w:val="Heading2"/>
      </w:pPr>
      <w:r>
        <w:t>Compliance, Monitoring &amp; Enforcement</w:t>
      </w:r>
    </w:p>
    <w:p>
      <w:r>
        <w:t>Compliance with this policy shall be monitored through operational reviews, technical validation, audit activities, and management oversight.</w:t>
      </w:r>
    </w:p>
    <w:p>
      <w:r>
        <w:t>The following compliance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Daily review of security-relevant logs and alerts</w:t>
            </w:r>
          </w:p>
        </w:tc>
        <w:tc>
          <w:tcPr>
            <w:tcW w:type="dxa" w:w="2160"/>
          </w:tcPr>
          <w:p>
            <w:r>
              <w:t>Daily</w:t>
            </w:r>
          </w:p>
        </w:tc>
        <w:tc>
          <w:tcPr>
            <w:tcW w:type="dxa" w:w="2160"/>
          </w:tcPr>
          <w:p>
            <w:r>
              <w:t>Security Operations Team</w:t>
            </w:r>
          </w:p>
        </w:tc>
        <w:tc>
          <w:tcPr>
            <w:tcW w:type="dxa" w:w="2160"/>
          </w:tcPr>
          <w:p>
            <w:r>
              <w:t>Review checklist, ticket, monitoring dashboard record, or case notes</w:t>
            </w:r>
          </w:p>
        </w:tc>
      </w:tr>
      <w:tr>
        <w:tc>
          <w:tcPr>
            <w:tcW w:type="dxa" w:w="2160"/>
          </w:tcPr>
          <w:p>
            <w:r>
              <w:t>Validation that critical log sources are sending logs</w:t>
            </w:r>
          </w:p>
        </w:tc>
        <w:tc>
          <w:tcPr>
            <w:tcW w:type="dxa" w:w="2160"/>
          </w:tcPr>
          <w:p>
            <w:r>
              <w:t>Daily or automated continuous monitoring</w:t>
            </w:r>
          </w:p>
        </w:tc>
        <w:tc>
          <w:tcPr>
            <w:tcW w:type="dxa" w:w="2160"/>
          </w:tcPr>
          <w:p>
            <w:r>
              <w:t>Security Operations Team</w:t>
            </w:r>
          </w:p>
        </w:tc>
        <w:tc>
          <w:tcPr>
            <w:tcW w:type="dxa" w:w="2160"/>
          </w:tcPr>
          <w:p>
            <w:r>
              <w:t>Log source health report or alert history</w:t>
            </w:r>
          </w:p>
        </w:tc>
      </w:tr>
      <w:tr>
        <w:tc>
          <w:tcPr>
            <w:tcW w:type="dxa" w:w="2160"/>
          </w:tcPr>
          <w:p>
            <w:r>
              <w:t>Review of logging failures and ingestion gaps</w:t>
            </w:r>
          </w:p>
        </w:tc>
        <w:tc>
          <w:tcPr>
            <w:tcW w:type="dxa" w:w="2160"/>
          </w:tcPr>
          <w:p>
            <w:r>
              <w:t>Daily</w:t>
            </w:r>
          </w:p>
        </w:tc>
        <w:tc>
          <w:tcPr>
            <w:tcW w:type="dxa" w:w="2160"/>
          </w:tcPr>
          <w:p>
            <w:r>
              <w:t>Security Operations Team</w:t>
            </w:r>
          </w:p>
        </w:tc>
        <w:tc>
          <w:tcPr>
            <w:tcW w:type="dxa" w:w="2160"/>
          </w:tcPr>
          <w:p>
            <w:r>
              <w:t>Incident ticket, remediation record, or exception record</w:t>
            </w:r>
          </w:p>
        </w:tc>
      </w:tr>
      <w:tr>
        <w:tc>
          <w:tcPr>
            <w:tcW w:type="dxa" w:w="2160"/>
          </w:tcPr>
          <w:p>
            <w:r>
              <w:t>Review of privileged access and administrative activity logs</w:t>
            </w:r>
          </w:p>
        </w:tc>
        <w:tc>
          <w:tcPr>
            <w:tcW w:type="dxa" w:w="2160"/>
          </w:tcPr>
          <w:p>
            <w:r>
              <w:t>Daily</w:t>
            </w:r>
          </w:p>
        </w:tc>
        <w:tc>
          <w:tcPr>
            <w:tcW w:type="dxa" w:w="2160"/>
          </w:tcPr>
          <w:p>
            <w:r>
              <w:t>Security Operations Team</w:t>
            </w:r>
          </w:p>
        </w:tc>
        <w:tc>
          <w:tcPr>
            <w:tcW w:type="dxa" w:w="2160"/>
          </w:tcPr>
          <w:p>
            <w:r>
              <w:t>Review record or alert case</w:t>
            </w:r>
          </w:p>
        </w:tc>
      </w:tr>
      <w:tr>
        <w:tc>
          <w:tcPr>
            <w:tcW w:type="dxa" w:w="2160"/>
          </w:tcPr>
          <w:p>
            <w:r>
              <w:t>Verification of log retention settings</w:t>
            </w:r>
          </w:p>
        </w:tc>
        <w:tc>
          <w:tcPr>
            <w:tcW w:type="dxa" w:w="2160"/>
          </w:tcPr>
          <w:p>
            <w:r>
              <w:t>Monthly</w:t>
            </w:r>
          </w:p>
        </w:tc>
        <w:tc>
          <w:tcPr>
            <w:tcW w:type="dxa" w:w="2160"/>
          </w:tcPr>
          <w:p>
            <w:r>
              <w:t>Security Operations Manager</w:t>
            </w:r>
          </w:p>
        </w:tc>
        <w:tc>
          <w:tcPr>
            <w:tcW w:type="dxa" w:w="2160"/>
          </w:tcPr>
          <w:p>
            <w:r>
              <w:t>Retention report or configuration evidence</w:t>
            </w:r>
          </w:p>
        </w:tc>
      </w:tr>
      <w:tr>
        <w:tc>
          <w:tcPr>
            <w:tcW w:type="dxa" w:w="2160"/>
          </w:tcPr>
          <w:p>
            <w:r>
              <w:t>Review of log source inventory accuracy</w:t>
            </w:r>
          </w:p>
        </w:tc>
        <w:tc>
          <w:tcPr>
            <w:tcW w:type="dxa" w:w="2160"/>
          </w:tcPr>
          <w:p>
            <w:r>
              <w:t>Monthly</w:t>
            </w:r>
          </w:p>
        </w:tc>
        <w:tc>
          <w:tcPr>
            <w:tcW w:type="dxa" w:w="2160"/>
          </w:tcPr>
          <w:p>
            <w:r>
              <w:t>Security Operations Manager and System Owners</w:t>
            </w:r>
          </w:p>
        </w:tc>
        <w:tc>
          <w:tcPr>
            <w:tcW w:type="dxa" w:w="2160"/>
          </w:tcPr>
          <w:p>
            <w:r>
              <w:t>Updated inventory and validation notes</w:t>
            </w:r>
          </w:p>
        </w:tc>
      </w:tr>
      <w:tr>
        <w:tc>
          <w:tcPr>
            <w:tcW w:type="dxa" w:w="2160"/>
          </w:tcPr>
          <w:p>
            <w:r>
              <w:t>Validation of time synchronisation for in-scope systems</w:t>
            </w:r>
          </w:p>
        </w:tc>
        <w:tc>
          <w:tcPr>
            <w:tcW w:type="dxa" w:w="2160"/>
          </w:tcPr>
          <w:p>
            <w:r>
              <w:t>Quarterly or after significant change</w:t>
            </w:r>
          </w:p>
        </w:tc>
        <w:tc>
          <w:tcPr>
            <w:tcW w:type="dxa" w:w="2160"/>
          </w:tcPr>
          <w:p>
            <w:r>
              <w:t>Infrastructure, Cloud, or Network Teams</w:t>
            </w:r>
          </w:p>
        </w:tc>
        <w:tc>
          <w:tcPr>
            <w:tcW w:type="dxa" w:w="2160"/>
          </w:tcPr>
          <w:p>
            <w:r>
              <w:t>Configuration evidence or compliance report</w:t>
            </w:r>
          </w:p>
        </w:tc>
      </w:tr>
      <w:tr>
        <w:tc>
          <w:tcPr>
            <w:tcW w:type="dxa" w:w="2160"/>
          </w:tcPr>
          <w:p>
            <w:r>
              <w:t>Review of access to logging and monitoring tools</w:t>
            </w:r>
          </w:p>
        </w:tc>
        <w:tc>
          <w:tcPr>
            <w:tcW w:type="dxa" w:w="2160"/>
          </w:tcPr>
          <w:p>
            <w:r>
              <w:t>Quarterly</w:t>
            </w:r>
          </w:p>
        </w:tc>
        <w:tc>
          <w:tcPr>
            <w:tcW w:type="dxa" w:w="2160"/>
          </w:tcPr>
          <w:p>
            <w:r>
              <w:t>Security Operations Manager and Identity Team</w:t>
            </w:r>
          </w:p>
        </w:tc>
        <w:tc>
          <w:tcPr>
            <w:tcW w:type="dxa" w:w="2160"/>
          </w:tcPr>
          <w:p>
            <w:r>
              <w:t>Access review record</w:t>
            </w:r>
          </w:p>
        </w:tc>
      </w:tr>
      <w:tr>
        <w:tc>
          <w:tcPr>
            <w:tcW w:type="dxa" w:w="2160"/>
          </w:tcPr>
          <w:p>
            <w:r>
              <w:t>Testing of archived log retrieval</w:t>
            </w:r>
          </w:p>
        </w:tc>
        <w:tc>
          <w:tcPr>
            <w:tcW w:type="dxa" w:w="2160"/>
          </w:tcPr>
          <w:p>
            <w:r>
              <w:t>At least annually</w:t>
            </w:r>
          </w:p>
        </w:tc>
        <w:tc>
          <w:tcPr>
            <w:tcW w:type="dxa" w:w="2160"/>
          </w:tcPr>
          <w:p>
            <w:r>
              <w:t>Security Operations Manager</w:t>
            </w:r>
          </w:p>
        </w:tc>
        <w:tc>
          <w:tcPr>
            <w:tcW w:type="dxa" w:w="2160"/>
          </w:tcPr>
          <w:p>
            <w:r>
              <w:t>Restoration test record</w:t>
            </w:r>
          </w:p>
        </w:tc>
      </w:tr>
      <w:tr>
        <w:tc>
          <w:tcPr>
            <w:tcW w:type="dxa" w:w="2160"/>
          </w:tcPr>
          <w:p>
            <w:r>
              <w:t>Review of service provider logging obligations</w:t>
            </w:r>
          </w:p>
        </w:tc>
        <w:tc>
          <w:tcPr>
            <w:tcW w:type="dxa" w:w="2160"/>
          </w:tcPr>
          <w:p>
            <w:r>
              <w:t>At least annually and upon contract renewal</w:t>
            </w:r>
          </w:p>
        </w:tc>
        <w:tc>
          <w:tcPr>
            <w:tcW w:type="dxa" w:w="2160"/>
          </w:tcPr>
          <w:p>
            <w:r>
              <w:t>Service Provider Manager</w:t>
            </w:r>
          </w:p>
        </w:tc>
        <w:tc>
          <w:tcPr>
            <w:tcW w:type="dxa" w:w="2160"/>
          </w:tcPr>
          <w:p>
            <w:r>
              <w:t>Contract review record or assurance evidence</w:t>
            </w:r>
          </w:p>
        </w:tc>
      </w:tr>
      <w:tr>
        <w:tc>
          <w:tcPr>
            <w:tcW w:type="dxa" w:w="2160"/>
          </w:tcPr>
          <w:p>
            <w:r>
              <w:t>Review of policy compliance metrics</w:t>
            </w:r>
          </w:p>
        </w:tc>
        <w:tc>
          <w:tcPr>
            <w:tcW w:type="dxa" w:w="2160"/>
          </w:tcPr>
          <w:p>
            <w:r>
              <w:t>At least quarterly</w:t>
            </w:r>
          </w:p>
        </w:tc>
        <w:tc>
          <w:tcPr>
            <w:tcW w:type="dxa" w:w="2160"/>
          </w:tcPr>
          <w:p>
            <w:r>
              <w:t>Compliance Team</w:t>
            </w:r>
          </w:p>
        </w:tc>
        <w:tc>
          <w:tcPr>
            <w:tcW w:type="dxa" w:w="2160"/>
          </w:tcPr>
          <w:p>
            <w:r>
              <w:t>Compliance dashboard or management report</w:t>
            </w:r>
          </w:p>
        </w:tc>
      </w:tr>
    </w:tbl>
    <w:p>
      <w:r>
        <w:t>Log review evidence shall demonstrate that reviews occurred, were performed by authorised personnel, covered relevant systems or alerts, and resulted in appropriate follow-up for identified issues.</w:t>
      </w:r>
    </w:p>
    <w:p>
      <w:r>
        <w:t>Non-compliance with this policy may result in one or more of the following actions:</w:t>
      </w:r>
    </w:p>
    <w:p>
      <w:pPr>
        <w:pStyle w:val="ListBullet"/>
      </w:pPr>
      <w:r>
        <w:t>Remediation plans with assigned owners and due dates.</w:t>
      </w:r>
    </w:p>
    <w:p>
      <w:pPr>
        <w:pStyle w:val="ListBullet"/>
      </w:pPr>
      <w:r>
        <w:t>Increased monitoring or compensating controls.</w:t>
      </w:r>
    </w:p>
    <w:p>
      <w:pPr>
        <w:pStyle w:val="ListBullet"/>
      </w:pPr>
      <w:r>
        <w:t>Suspension of system implementation or production release.</w:t>
      </w:r>
    </w:p>
    <w:p>
      <w:pPr>
        <w:pStyle w:val="ListBullet"/>
      </w:pPr>
      <w:r>
        <w:t>Removal or restriction of administrative access.</w:t>
      </w:r>
    </w:p>
    <w:p>
      <w:pPr>
        <w:pStyle w:val="ListBullet"/>
      </w:pPr>
      <w:r>
        <w:t>Escalation to management or risk governance forums.</w:t>
      </w:r>
    </w:p>
    <w:p>
      <w:pPr>
        <w:pStyle w:val="ListBullet"/>
      </w:pPr>
      <w:r>
        <w:t>Contractual action for service provider non-compliance.</w:t>
      </w:r>
    </w:p>
    <w:p>
      <w:pPr>
        <w:pStyle w:val="ListBullet"/>
      </w:pPr>
      <w:r>
        <w:t>Disciplinary action in accordance with human resources policies.</w:t>
      </w:r>
    </w:p>
    <w:p>
      <w:pPr>
        <w:pStyle w:val="ListBullet"/>
      </w:pPr>
      <w:r>
        <w:t>Incident response action where non-compliance creates or indicates a security event.</w:t>
      </w:r>
    </w:p>
    <w:p>
      <w:r>
        <w:t>Repeated or material failure to meet logging, monitoring, review, or retention requirements shall be reported to senior management and tracked to resolution.</w:t>
      </w:r>
    </w:p>
    <w:p>
      <w:pPr>
        <w:pStyle w:val="Heading2"/>
      </w:pPr>
      <w:r>
        <w:t>Exceptions</w:t>
      </w:r>
    </w:p>
    <w:p>
      <w:r>
        <w:t>Exceptions to this policy shall be permitted only where there is a documented business or technical justification and the associated risk has been assessed and formally approved.</w:t>
      </w:r>
    </w:p>
    <w:p>
      <w:r>
        <w:t>Exceptions shall not be used to avoid implementing reasonable logging and monitoring controls. Where full compliance is not immediately achievable, compensating measures shall be defined and implemented to reduce risk.</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and role of the person requesting the exception</w:t>
            </w:r>
          </w:p>
        </w:tc>
      </w:tr>
      <w:tr>
        <w:tc>
          <w:tcPr>
            <w:tcW w:type="dxa" w:w="4320"/>
          </w:tcPr>
          <w:p>
            <w:r>
              <w:t>System or process</w:t>
            </w:r>
          </w:p>
        </w:tc>
        <w:tc>
          <w:tcPr>
            <w:tcW w:type="dxa" w:w="4320"/>
          </w:tcPr>
          <w:p>
            <w:r>
              <w:t>Affected system, application, service, or business process</w:t>
            </w:r>
          </w:p>
        </w:tc>
      </w:tr>
      <w:tr>
        <w:tc>
          <w:tcPr>
            <w:tcW w:type="dxa" w:w="4320"/>
          </w:tcPr>
          <w:p>
            <w:r>
              <w:t>Requirement impacted</w:t>
            </w:r>
          </w:p>
        </w:tc>
        <w:tc>
          <w:tcPr>
            <w:tcW w:type="dxa" w:w="4320"/>
          </w:tcPr>
          <w:p>
            <w:r>
              <w:t>Description of the logging, monitoring, review, or retention requirement that cannot be met</w:t>
            </w:r>
          </w:p>
        </w:tc>
      </w:tr>
      <w:tr>
        <w:tc>
          <w:tcPr>
            <w:tcW w:type="dxa" w:w="4320"/>
          </w:tcPr>
          <w:p>
            <w:r>
              <w:t>Business justification</w:t>
            </w:r>
          </w:p>
        </w:tc>
        <w:tc>
          <w:tcPr>
            <w:tcW w:type="dxa" w:w="4320"/>
          </w:tcPr>
          <w:p>
            <w:r>
              <w:t>Reason the exception is required</w:t>
            </w:r>
          </w:p>
        </w:tc>
      </w:tr>
      <w:tr>
        <w:tc>
          <w:tcPr>
            <w:tcW w:type="dxa" w:w="4320"/>
          </w:tcPr>
          <w:p>
            <w:r>
              <w:t>Risk assessment</w:t>
            </w:r>
          </w:p>
        </w:tc>
        <w:tc>
          <w:tcPr>
            <w:tcW w:type="dxa" w:w="4320"/>
          </w:tcPr>
          <w:p>
            <w:r>
              <w:t>Security and compliance risk created by the exception</w:t>
            </w:r>
          </w:p>
        </w:tc>
      </w:tr>
      <w:tr>
        <w:tc>
          <w:tcPr>
            <w:tcW w:type="dxa" w:w="4320"/>
          </w:tcPr>
          <w:p>
            <w:r>
              <w:t>Compensating controls</w:t>
            </w:r>
          </w:p>
        </w:tc>
        <w:tc>
          <w:tcPr>
            <w:tcW w:type="dxa" w:w="4320"/>
          </w:tcPr>
          <w:p>
            <w:r>
              <w:t>Alternative measures to detect, prevent, or respond to relevant activity</w:t>
            </w:r>
          </w:p>
        </w:tc>
      </w:tr>
      <w:tr>
        <w:tc>
          <w:tcPr>
            <w:tcW w:type="dxa" w:w="4320"/>
          </w:tcPr>
          <w:p>
            <w:r>
              <w:t>Duration</w:t>
            </w:r>
          </w:p>
        </w:tc>
        <w:tc>
          <w:tcPr>
            <w:tcW w:type="dxa" w:w="4320"/>
          </w:tcPr>
          <w:p>
            <w:r>
              <w:t>Requested start date and end date</w:t>
            </w:r>
          </w:p>
        </w:tc>
      </w:tr>
      <w:tr>
        <w:tc>
          <w:tcPr>
            <w:tcW w:type="dxa" w:w="4320"/>
          </w:tcPr>
          <w:p>
            <w:r>
              <w:t>Remediation plan</w:t>
            </w:r>
          </w:p>
        </w:tc>
        <w:tc>
          <w:tcPr>
            <w:tcW w:type="dxa" w:w="4320"/>
          </w:tcPr>
          <w:p>
            <w:r>
              <w:t>Actions, owners, and dates to achieve compliance</w:t>
            </w:r>
          </w:p>
        </w:tc>
      </w:tr>
      <w:tr>
        <w:tc>
          <w:tcPr>
            <w:tcW w:type="dxa" w:w="4320"/>
          </w:tcPr>
          <w:p>
            <w:r>
              <w:t>Approvals</w:t>
            </w:r>
          </w:p>
        </w:tc>
        <w:tc>
          <w:tcPr>
            <w:tcW w:type="dxa" w:w="4320"/>
          </w:tcPr>
          <w:p>
            <w:r>
              <w:t>Required approvals from Security, Compliance, system owner, and risk owner</w:t>
            </w:r>
          </w:p>
        </w:tc>
      </w:tr>
    </w:tbl>
    <w:p>
      <w:r>
        <w:t>Exceptions shall be time-bound and shall not exceed [maximum exception period, e.g., 90 days] without re-approval.</w:t>
      </w:r>
    </w:p>
    <w:p>
      <w:r>
        <w:t>Expired exceptions shall be considered non-compliant unless formally renewed before expiration.</w:t>
      </w:r>
    </w:p>
    <w:p>
      <w:r>
        <w:t>Exceptions involving inability to log access to cardholder data, inability to review security events, inability to retain logs, or inability to protect logs from modification shall require approval from the Chief Information Security Officer or designated risk owner.</w:t>
      </w:r>
    </w:p>
    <w:p>
      <w:pPr>
        <w:pStyle w:val="Heading2"/>
      </w:pPr>
      <w:r>
        <w:t>Review &amp; Maintenance</w:t>
      </w:r>
    </w:p>
    <w:p>
      <w:r>
        <w:t>This policy shall be reviewed at least annually and whenever significant changes occur that may affect logging and monitoring requirements.</w:t>
      </w:r>
    </w:p>
    <w:p>
      <w:r>
        <w:t>Triggering events for review include, but are not limited to:</w:t>
      </w:r>
    </w:p>
    <w:p>
      <w:pPr>
        <w:pStyle w:val="ListBullet"/>
      </w:pPr>
      <w:r>
        <w:t>Significant changes to the cardholder data environment.</w:t>
      </w:r>
    </w:p>
    <w:p>
      <w:pPr>
        <w:pStyle w:val="ListBullet"/>
      </w:pPr>
      <w:r>
        <w:t>Introduction of new payment channels, systems, applications, cloud services, or service providers.</w:t>
      </w:r>
    </w:p>
    <w:p>
      <w:pPr>
        <w:pStyle w:val="ListBullet"/>
      </w:pPr>
      <w:r>
        <w:t>Changes to logging, monitoring, alerting, or retention technologies.</w:t>
      </w:r>
    </w:p>
    <w:p>
      <w:pPr>
        <w:pStyle w:val="ListBullet"/>
      </w:pPr>
      <w:r>
        <w:t>Security incidents involving unauthorised access, missing logs, log tampering, or monitoring failure.</w:t>
      </w:r>
    </w:p>
    <w:p>
      <w:pPr>
        <w:pStyle w:val="ListBullet"/>
      </w:pPr>
      <w:r>
        <w:t>Audit findings, compliance gaps, or control failures.</w:t>
      </w:r>
    </w:p>
    <w:p>
      <w:pPr>
        <w:pStyle w:val="ListBullet"/>
      </w:pPr>
      <w:r>
        <w:t>Material changes to legal, contractual, regulatory, or business requirements.</w:t>
      </w:r>
    </w:p>
    <w:p>
      <w:pPr>
        <w:pStyle w:val="ListBullet"/>
      </w:pPr>
      <w:r>
        <w:t>Changes in threat intelligence or attack patterns affecting payment environments.</w:t>
      </w:r>
    </w:p>
    <w:p>
      <w:r>
        <w:t>The Security Operations Manager shall coordinate review and maintenance of this policy with input from Security, Compliance, Infrastructure, Cloud, Network, Application, Database, Identity, and relevant business stakeholders.</w:t>
      </w:r>
    </w:p>
    <w:p>
      <w:r>
        <w:t>Policy changes shall be approved by [approval authority] before publication.</w:t>
      </w:r>
    </w:p>
    <w:p>
      <w:r>
        <w:t>The current approved version of this policy shall be stored in [policy repository/location]. Superseded versions shall be retained in accordance with the organisation’s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