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SDAIA Inquiry / Complaint Response Pack</w:t>
      </w:r>
    </w:p>
    <w:p>
      <w:pPr>
        <w:pStyle w:val="Heading2"/>
      </w:pPr>
      <w:r>
        <w:t>What This Evidences</w:t>
      </w:r>
    </w:p>
    <w:p>
      <w:r>
        <w:t>The SDAIA Inquiry / Complaint Response Pack evidences that the organisation can cooperate with SDAIA and respond to regulator inquiries or complaints within short response windows under Saudi PDPL expectations. It demonstrates that the organisation can identify the inquiry, assign ownership, investigate relevant personal data processing activities, prepare an approved response, submit it through the appropriate channel, and retain proof of submission.</w:t>
      </w:r>
    </w:p>
    <w:p>
      <w:r>
        <w:t>This artifact is operational evidence collected from live organisational systems. It is not authored as a standalone document and must not be fabricated. The final evidence should be exported and packaged as a ZIP containing tickets, communications, approvals, logs, submissions, and supporting records from the organisation’s own systems.</w:t>
      </w:r>
    </w:p>
    <w:p>
      <w:pPr>
        <w:pStyle w:val="Heading2"/>
      </w:pPr>
      <w:r>
        <w:t>Where To Collect It From</w:t>
      </w:r>
    </w:p>
    <w:p>
      <w:r>
        <w:t>Collect the evidence from the systems used to receive, manage, investigate, approve, and respond to regulator matters, typically:</w:t>
      </w:r>
    </w:p>
    <w:p>
      <w:pPr>
        <w:pStyle w:val="ListBullet"/>
      </w:pPr>
      <w:r>
        <w:t>[ITSM / case management system], such as [ServiceNow / Jira Service Management / Freshservice]</w:t>
      </w:r>
    </w:p>
    <w:p>
      <w:pPr>
        <w:pStyle w:val="ListBullet"/>
      </w:pPr>
      <w:r>
        <w:t>[Privacy request / compliance portal], if SDAIA inquiries are tracked there</w:t>
      </w:r>
    </w:p>
    <w:p>
      <w:pPr>
        <w:pStyle w:val="ListBullet"/>
      </w:pPr>
      <w:r>
        <w:t>[Email system], such as [Microsoft 365 / Google Workspace], for regulator communications</w:t>
      </w:r>
    </w:p>
    <w:p>
      <w:pPr>
        <w:pStyle w:val="ListBullet"/>
      </w:pPr>
      <w:r>
        <w:t>[Document management system], such as [SharePoint / Google Drive / Box]</w:t>
      </w:r>
    </w:p>
    <w:p>
      <w:pPr>
        <w:pStyle w:val="ListBullet"/>
      </w:pPr>
      <w:r>
        <w:t>[DLP / data discovery / privacy management platform], where relevant investigation evidence is stored</w:t>
      </w:r>
    </w:p>
    <w:p>
      <w:pPr>
        <w:pStyle w:val="ListBullet"/>
      </w:pPr>
      <w:r>
        <w:t>[SIEM / log management platform], where access or activity logs support the investigation</w:t>
      </w:r>
    </w:p>
    <w:p>
      <w:pPr>
        <w:pStyle w:val="ListBullet"/>
      </w:pPr>
      <w:r>
        <w:t>[Approval workflow tool], such as [Power Automate / DocuSign / internal GRC platform]</w:t>
      </w:r>
    </w:p>
    <w:p>
      <w:pPr>
        <w:pStyle w:val="ListBullet"/>
      </w:pPr>
      <w:r>
        <w:t>[SDAIA portal or official submission channel], if applicable</w:t>
      </w:r>
    </w:p>
    <w:p>
      <w:pPr>
        <w:pStyle w:val="Heading2"/>
      </w:pPr>
      <w:r>
        <w:t>How To Collect</w:t>
      </w:r>
    </w:p>
    <w:p>
      <w:pPr>
        <w:pStyle w:val="ListBullet"/>
      </w:pPr>
      <w:r>
        <w:t>Identify the SDAIA inquiry or complaint reference number, received date, due date, and response owner.</w:t>
      </w:r>
    </w:p>
    <w:p>
      <w:pPr>
        <w:pStyle w:val="ListBullet"/>
      </w:pPr>
      <w:r>
        <w:t>Search [ITSM / case management system] for the relevant case using the reference number, complainant name, data subject identifier, email subject, or incident/request ID.</w:t>
      </w:r>
    </w:p>
    <w:p>
      <w:pPr>
        <w:pStyle w:val="ListBullet"/>
      </w:pPr>
      <w:r>
        <w:t>Export the full case record, including status history, assignment history, comments, attachments, timestamps, and closure details.</w:t>
      </w:r>
    </w:p>
    <w:p>
      <w:pPr>
        <w:pStyle w:val="ListBullet"/>
      </w:pPr>
      <w:r>
        <w:t>From [email system], export the inbound SDAIA communication and all outbound responses, including message headers, dates, recipients, and attachments.</w:t>
      </w:r>
    </w:p>
    <w:p>
      <w:pPr>
        <w:pStyle w:val="ListBullet"/>
      </w:pPr>
      <w:r>
        <w:t>From [document management system], collect the response draft, final approved response, investigation notes, evidence pack, and any legal or DPO review records.</w:t>
      </w:r>
    </w:p>
    <w:p>
      <w:pPr>
        <w:pStyle w:val="ListBullet"/>
      </w:pPr>
      <w:r>
        <w:t>From [approval workflow tool], export approval history showing who reviewed and approved the response and when.</w:t>
      </w:r>
    </w:p>
    <w:p>
      <w:pPr>
        <w:pStyle w:val="ListBullet"/>
      </w:pPr>
      <w:r>
        <w:t>From [SIEM / log store / privacy platform], export only the logs or reports directly relevant to the inquiry, such as access records, consent records, deletion records, disclosure logs, or processing activity evidence.</w:t>
      </w:r>
    </w:p>
    <w:p>
      <w:pPr>
        <w:pStyle w:val="ListBullet"/>
      </w:pPr>
      <w:r>
        <w:t>From [SDAIA portal / submission channel], capture submission confirmation, portal receipt, reference number, timestamp, and any acknowledgement.</w:t>
      </w:r>
    </w:p>
    <w:p>
      <w:pPr>
        <w:pStyle w:val="ListBullet"/>
      </w:pPr>
      <w:r>
        <w:t>Save all exports into a single folder using a consistent naming convention.</w:t>
      </w:r>
    </w:p>
    <w:p>
      <w:pPr>
        <w:pStyle w:val="ListBullet"/>
      </w:pPr>
      <w:r>
        <w:t>Compress the folder into a ZIP named: SDAIA_Response_Pack_[ReferenceID]_[YYYY-MM-DD].zip.</w:t>
      </w:r>
    </w:p>
    <w:p>
      <w:pPr>
        <w:pStyle w:val="Heading2"/>
      </w:pPr>
      <w:r>
        <w:t>What To Capture</w:t>
      </w:r>
    </w:p>
    <w:p>
      <w:r>
        <w:t>The ZIP should include:</w:t>
      </w:r>
    </w:p>
    <w:p>
      <w:pPr>
        <w:pStyle w:val="ListBullet"/>
      </w:pPr>
      <w:r>
        <w:t>SDAIA inquiry or complaint reference number</w:t>
      </w:r>
    </w:p>
    <w:p>
      <w:pPr>
        <w:pStyle w:val="ListBullet"/>
      </w:pPr>
      <w:r>
        <w:t>Date and time received</w:t>
      </w:r>
    </w:p>
    <w:p>
      <w:pPr>
        <w:pStyle w:val="ListBullet"/>
      </w:pPr>
      <w:r>
        <w:t>Response deadline and actual submission date</w:t>
      </w:r>
    </w:p>
    <w:p>
      <w:pPr>
        <w:pStyle w:val="ListBullet"/>
      </w:pPr>
      <w:r>
        <w:t>Case/ticket ID and full case timeline</w:t>
      </w:r>
    </w:p>
    <w:p>
      <w:pPr>
        <w:pStyle w:val="ListBullet"/>
      </w:pPr>
      <w:r>
        <w:t>Assigned owner, reviewers, approvers, and escalation contacts</w:t>
      </w:r>
    </w:p>
    <w:p>
      <w:pPr>
        <w:pStyle w:val="ListBullet"/>
      </w:pPr>
      <w:r>
        <w:t>Original inquiry or complaint communication</w:t>
      </w:r>
    </w:p>
    <w:p>
      <w:pPr>
        <w:pStyle w:val="ListBullet"/>
      </w:pPr>
      <w:r>
        <w:t>Investigation notes and supporting evidence</w:t>
      </w:r>
    </w:p>
    <w:p>
      <w:pPr>
        <w:pStyle w:val="ListBullet"/>
      </w:pPr>
      <w:r>
        <w:t>Relevant personal data, system, or processing activity records</w:t>
      </w:r>
    </w:p>
    <w:p>
      <w:pPr>
        <w:pStyle w:val="ListBullet"/>
      </w:pPr>
      <w:r>
        <w:t>Internal decision logs and legal/DPO review comments</w:t>
      </w:r>
    </w:p>
    <w:p>
      <w:pPr>
        <w:pStyle w:val="ListBullet"/>
      </w:pPr>
      <w:r>
        <w:t>Approved response text or response letter</w:t>
      </w:r>
    </w:p>
    <w:p>
      <w:pPr>
        <w:pStyle w:val="ListBullet"/>
      </w:pPr>
      <w:r>
        <w:t>Evidence of submission to SDAIA</w:t>
      </w:r>
    </w:p>
    <w:p>
      <w:pPr>
        <w:pStyle w:val="ListBullet"/>
      </w:pPr>
      <w:r>
        <w:t>Confirmation receipt, acknowledgement, or portal screenshot</w:t>
      </w:r>
    </w:p>
    <w:p>
      <w:pPr>
        <w:pStyle w:val="ListBullet"/>
      </w:pPr>
      <w:r>
        <w:t>Closure notes and final case status</w:t>
      </w:r>
    </w:p>
    <w:p>
      <w:pPr>
        <w:pStyle w:val="ListBullet"/>
      </w:pPr>
      <w:r>
        <w:t>Any delay justification or escalation record, if applicable</w:t>
      </w:r>
    </w:p>
    <w:p>
      <w:pPr>
        <w:pStyle w:val="Heading2"/>
      </w:pPr>
      <w:r>
        <w:t>Frequency &amp; Owner</w:t>
      </w:r>
    </w:p>
    <w:p>
      <w:pPr>
        <w:pStyle w:val="ListBullet"/>
      </w:pPr>
      <w:r>
        <w:t>Frequency: Collect for every SDAIA inquiry, complaint, clarification request, or follow-up.</w:t>
      </w:r>
    </w:p>
    <w:p>
      <w:pPr>
        <w:pStyle w:val="ListBullet"/>
      </w:pPr>
      <w:r>
        <w:t>Primary Owner: [Data Protection Officer / Privacy Lead]</w:t>
      </w:r>
    </w:p>
    <w:p>
      <w:pPr>
        <w:pStyle w:val="ListBullet"/>
      </w:pPr>
      <w:r>
        <w:t>Operational Owner: [Compliance Operations / ITSM Case Owner]</w:t>
      </w:r>
    </w:p>
    <w:p>
      <w:pPr>
        <w:pStyle w:val="ListBullet"/>
      </w:pPr>
      <w:r>
        <w:t>Supporting Teams: [Legal], [Information Security], [IT Operations], [Business System Owner], [Customer Support]</w:t>
      </w:r>
    </w:p>
    <w:p>
      <w:r>
        <w:t>The pack should be assembled immediately after response submission and completed before the case is closed.</w:t>
      </w:r>
    </w:p>
    <w:p>
      <w:pPr>
        <w:pStyle w:val="Heading2"/>
      </w:pPr>
      <w:r>
        <w:t>Retention &amp; Storage</w:t>
      </w:r>
    </w:p>
    <w:p>
      <w:r>
        <w:t>Store the ZIP in [secure compliance evidence repository / GRC platform / restricted SharePoint library] with access limited to [Privacy], [Legal], [Compliance], and authorised audit personnel.</w:t>
      </w:r>
    </w:p>
    <w:p>
      <w:r>
        <w:t>Apply the organisation’s regulatory evidence retention period, or retain for at least [retention period] from case closure, whichever is longer. Ensure the ZIP is protected against unauthorised modification and deletion. Where available, enable versioning, access logging, and retention lock.</w:t>
      </w:r>
    </w:p>
    <w:p>
      <w:r>
        <w:t>Do not store unnecessary personal data. Redact or segregate sensitive personal data where full detail is not required for audit purposes.</w:t>
      </w:r>
    </w:p>
    <w:p>
      <w:pPr>
        <w:pStyle w:val="Heading2"/>
      </w:pPr>
      <w:r>
        <w:t>Acceptance Criteria</w:t>
      </w:r>
    </w:p>
    <w:p>
      <w:r>
        <w:t>An auditor will accept the evidence where the ZIP clearly shows:</w:t>
      </w:r>
    </w:p>
    <w:p>
      <w:pPr>
        <w:pStyle w:val="ListBullet"/>
      </w:pPr>
      <w:r>
        <w:t>The SDAIA inquiry or complaint was received and logged promptly</w:t>
      </w:r>
    </w:p>
    <w:p>
      <w:pPr>
        <w:pStyle w:val="ListBullet"/>
      </w:pPr>
      <w:r>
        <w:t>Ownership, escalation, and response deadlines were assigned</w:t>
      </w:r>
    </w:p>
    <w:p>
      <w:pPr>
        <w:pStyle w:val="ListBullet"/>
      </w:pPr>
      <w:r>
        <w:t>The organisation investigated the matter using relevant internal records</w:t>
      </w:r>
    </w:p>
    <w:p>
      <w:pPr>
        <w:pStyle w:val="ListBullet"/>
      </w:pPr>
      <w:r>
        <w:t>The response was reviewed and approved by appropriate personnel</w:t>
      </w:r>
    </w:p>
    <w:p>
      <w:pPr>
        <w:pStyle w:val="ListBullet"/>
      </w:pPr>
      <w:r>
        <w:t>The response was submitted within the required timeframe or delay was justified</w:t>
      </w:r>
    </w:p>
    <w:p>
      <w:pPr>
        <w:pStyle w:val="ListBullet"/>
      </w:pPr>
      <w:r>
        <w:t>Submission proof or acknowledgement is included</w:t>
      </w:r>
    </w:p>
    <w:p>
      <w:pPr>
        <w:pStyle w:val="ListBullet"/>
      </w:pPr>
      <w:r>
        <w:t>The case was formally closed with a complete timeline</w:t>
      </w:r>
    </w:p>
    <w:p>
      <w:pPr>
        <w:pStyle w:val="ListBullet"/>
      </w:pPr>
      <w:r>
        <w:t>Evidence comes from authoritative systems, not manually recreated files</w:t>
      </w:r>
    </w:p>
    <w:p>
      <w:pPr>
        <w:pStyle w:val="ListBullet"/>
      </w:pPr>
      <w:r>
        <w:t>File names, timestamps, ticket IDs, and references are consistent across records</w:t>
      </w:r>
    </w:p>
    <w:p>
      <w:pPr>
        <w:pStyle w:val="ListBullet"/>
      </w:pPr>
      <w:r>
        <w:t>Access to the retained evidence is controlled and auditable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