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Patch &amp; Vuln Mgmt Procedure (Swift)</w:t>
      </w:r>
    </w:p>
    <w:p>
      <w:pPr>
        <w:pStyle w:val="Heading1"/>
      </w:pPr>
      <w:r>
        <w:t>Patch &amp; Vuln Mgmt Procedure (Swift)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[DOC-SWIFT-PVM-001]</w:t>
            </w:r>
          </w:p>
        </w:tc>
        <w:tc>
          <w:tcPr>
            <w:tcW w:type="dxa" w:w="1440"/>
          </w:tcPr>
          <w:p>
            <w:r>
              <w:t>1.0</w:t>
            </w:r>
          </w:p>
        </w:tc>
        <w:tc>
          <w:tcPr>
            <w:tcW w:type="dxa" w:w="1440"/>
          </w:tcPr>
          <w:p>
            <w:r>
              <w:t>[Head of Information Security]</w:t>
            </w:r>
          </w:p>
        </w:tc>
        <w:tc>
          <w:tcPr>
            <w:tcW w:type="dxa" w:w="1440"/>
          </w:tcPr>
          <w:p>
            <w:r>
              <w:t>[YYYY-MM-DD]</w:t>
            </w:r>
          </w:p>
        </w:tc>
        <w:tc>
          <w:tcPr>
            <w:tcW w:type="dxa" w:w="1440"/>
          </w:tcPr>
          <w:p>
            <w:r>
              <w:t>SWIFT Customer Security Controls Framework</w:t>
            </w:r>
          </w:p>
        </w:tc>
        <w:tc>
          <w:tcPr>
            <w:tcW w:type="dxa" w:w="1440"/>
          </w:tcPr>
          <w:p>
            <w:r>
              <w:t>Internal</w:t>
            </w:r>
          </w:p>
        </w:tc>
      </w:tr>
    </w:tbl>
    <w:p>
      <w:pPr>
        <w:pStyle w:val="Heading2"/>
      </w:pPr>
      <w:r>
        <w:t>Purpose</w:t>
      </w:r>
    </w:p>
    <w:p>
      <w:r>
        <w:t>This procedure defines how [Organisation Name] identifies, assesses, tests, deploys, verifies, and records security patches and vulnerability remediation activities for the SWIFT environment.</w:t>
      </w:r>
    </w:p>
    <w:p>
      <w:r>
        <w:t>The procedure is designed to ensure that:</w:t>
      </w:r>
    </w:p>
    <w:p>
      <w:pPr>
        <w:pStyle w:val="ListBullet"/>
      </w:pPr>
      <w:r>
        <w:t>SWIFT-related systems are protected against known vulnerabilities in a timely and controlled manner.</w:t>
      </w:r>
    </w:p>
    <w:p>
      <w:pPr>
        <w:pStyle w:val="ListBullet"/>
      </w:pPr>
      <w:r>
        <w:t>Security updates are prioritised based on risk, exposure, and operational impact.</w:t>
      </w:r>
    </w:p>
    <w:p>
      <w:pPr>
        <w:pStyle w:val="ListBullet"/>
      </w:pPr>
      <w:r>
        <w:t>Patches are tested before deployment to reduce the likelihood of disruption to SWIFT messaging, connectivity, authentication, monitoring, and supporting infrastructure.</w:t>
      </w:r>
    </w:p>
    <w:p>
      <w:pPr>
        <w:pStyle w:val="ListBullet"/>
      </w:pPr>
      <w:r>
        <w:t>Vulnerabilities affecting the SWIFT secure zone, SWIFT interfaces, operator workstations, jump servers, network devices, security tools, and supporting platforms are tracked to closure.</w:t>
      </w:r>
    </w:p>
    <w:p>
      <w:pPr>
        <w:pStyle w:val="ListBullet"/>
      </w:pPr>
      <w:r>
        <w:t>Emergency remediation is performed quickly when active exploitation, critical exposure, or SWIFT-relevant threat intelligence is identified.</w:t>
      </w:r>
    </w:p>
    <w:p>
      <w:pPr>
        <w:pStyle w:val="ListBullet"/>
      </w:pPr>
      <w:r>
        <w:t>Evidence is retained for internal assurance, external assessment, and audit purposes.</w:t>
      </w:r>
    </w:p>
    <w:p>
      <w:pPr>
        <w:pStyle w:val="Heading2"/>
      </w:pPr>
      <w:r>
        <w:t>Scope</w:t>
      </w:r>
    </w:p>
    <w:p>
      <w:r>
        <w:t>This procedure applies to all technology assets that support, connect to, protect, monitor, administer, or otherwise enable the SWIFT environment at [Organisation Name].</w:t>
      </w:r>
    </w:p>
    <w:p>
      <w:r>
        <w:t>In scope systems include, where applicable:</w:t>
      </w:r>
    </w:p>
    <w:p>
      <w:pPr>
        <w:pStyle w:val="ListBullet"/>
      </w:pPr>
      <w:r>
        <w:t>SWIFT messaging interface components, including [Alliance Access], [Alliance Entry], [Alliance Lite2 connectivity components], [Alliance Messaging Hub], or other SWIFT-certified interfaces.</w:t>
      </w:r>
    </w:p>
    <w:p>
      <w:pPr>
        <w:pStyle w:val="ListBullet"/>
      </w:pPr>
      <w:r>
        <w:t>SWIFT-related servers, virtual machines, appliances, and containers.</w:t>
      </w:r>
    </w:p>
    <w:p>
      <w:pPr>
        <w:pStyle w:val="ListBullet"/>
      </w:pPr>
      <w:r>
        <w:t>Operator workstations used to access SWIFT applications.</w:t>
      </w:r>
    </w:p>
    <w:p>
      <w:pPr>
        <w:pStyle w:val="ListBullet"/>
      </w:pPr>
      <w:r>
        <w:t>Administrator workstations and privileged access workstations used for SWIFT administration.</w:t>
      </w:r>
    </w:p>
    <w:p>
      <w:pPr>
        <w:pStyle w:val="ListBullet"/>
      </w:pPr>
      <w:r>
        <w:t>Jump servers, bastion hosts, remote access platforms, and secure administration gateways.</w:t>
      </w:r>
    </w:p>
    <w:p>
      <w:pPr>
        <w:pStyle w:val="ListBullet"/>
      </w:pPr>
      <w:r>
        <w:t>Network infrastructure within or connected to the SWIFT secure zone, including firewalls, routers, switches, load balancers, proxies, and VPN devices.</w:t>
      </w:r>
    </w:p>
    <w:p>
      <w:pPr>
        <w:pStyle w:val="ListBullet"/>
      </w:pPr>
      <w:r>
        <w:t>Security monitoring, endpoint protection, vulnerability scanning, file integrity monitoring, logging, SIEM, EDR, and anti-malware systems supporting the SWIFT environment.</w:t>
      </w:r>
    </w:p>
    <w:p>
      <w:pPr>
        <w:pStyle w:val="ListBullet"/>
      </w:pPr>
      <w:r>
        <w:t>Databases, middleware, web servers, application runtimes, libraries, agents, and supporting software.</w:t>
      </w:r>
    </w:p>
    <w:p>
      <w:pPr>
        <w:pStyle w:val="ListBullet"/>
      </w:pPr>
      <w:r>
        <w:t>Identity and access management components used for SWIFT access, including directory services, MFA platforms, privileged access management tools, and certificate management systems.</w:t>
      </w:r>
    </w:p>
    <w:p>
      <w:pPr>
        <w:pStyle w:val="ListBullet"/>
      </w:pPr>
      <w:r>
        <w:t>Backup, recovery, and configuration management tools supporting SWIFT systems.</w:t>
      </w:r>
    </w:p>
    <w:p>
      <w:pPr>
        <w:pStyle w:val="ListBullet"/>
      </w:pPr>
      <w:r>
        <w:t>Third-party managed systems or hosted services used for SWIFT connectivity or SWIFT operations.</w:t>
      </w:r>
    </w:p>
    <w:p>
      <w:r>
        <w:t>This procedure covers:</w:t>
      </w:r>
    </w:p>
    <w:p>
      <w:pPr>
        <w:pStyle w:val="ListBullet"/>
      </w:pPr>
      <w:r>
        <w:t>Routine patch management.</w:t>
      </w:r>
    </w:p>
    <w:p>
      <w:pPr>
        <w:pStyle w:val="ListBullet"/>
      </w:pPr>
      <w:r>
        <w:t>Vulnerability scanning and assessment.</w:t>
      </w:r>
    </w:p>
    <w:p>
      <w:pPr>
        <w:pStyle w:val="ListBullet"/>
      </w:pPr>
      <w:r>
        <w:t>Risk-based remediation.</w:t>
      </w:r>
    </w:p>
    <w:p>
      <w:pPr>
        <w:pStyle w:val="ListBullet"/>
      </w:pPr>
      <w:r>
        <w:t>Emergency patching.</w:t>
      </w:r>
    </w:p>
    <w:p>
      <w:pPr>
        <w:pStyle w:val="ListBullet"/>
      </w:pPr>
      <w:r>
        <w:t>Compensating controls where patching is not immediately possible.</w:t>
      </w:r>
    </w:p>
    <w:p>
      <w:pPr>
        <w:pStyle w:val="ListBullet"/>
      </w:pPr>
      <w:r>
        <w:t>Testing and implementation controls.</w:t>
      </w:r>
    </w:p>
    <w:p>
      <w:pPr>
        <w:pStyle w:val="ListBullet"/>
      </w:pPr>
      <w:r>
        <w:t>Evidence collection and closure verification.</w:t>
      </w:r>
    </w:p>
    <w:p>
      <w:r>
        <w:t>Out of scope:</w:t>
      </w:r>
    </w:p>
    <w:p>
      <w:pPr>
        <w:pStyle w:val="ListBullet"/>
      </w:pPr>
      <w:r>
        <w:t>General corporate end-user patching not connected to or used for SWIFT operations, unless a vulnerability creates a pathway into the SWIFT environment.</w:t>
      </w:r>
    </w:p>
    <w:p>
      <w:pPr>
        <w:pStyle w:val="ListBullet"/>
      </w:pPr>
      <w:r>
        <w:t>Application change releases unrelated to security patching or vulnerability remediation, except where they are required to address a security weakness.</w:t>
      </w:r>
    </w:p>
    <w:p>
      <w:pPr>
        <w:pStyle w:val="ListBullet"/>
      </w:pPr>
      <w:r>
        <w:t>Physical security vulnerabilities, which are handled under the physical security management process.</w:t>
      </w:r>
    </w:p>
    <w:p>
      <w:pPr>
        <w:pStyle w:val="Heading2"/>
      </w:pPr>
      <w:r>
        <w:t>Prerequisites &amp; Inputs</w:t>
      </w:r>
    </w:p>
    <w:p>
      <w:r>
        <w:t>The following prerequisites must be in place before this procedure can operate effectively.</w:t>
      </w:r>
    </w:p>
    <w:p>
      <w:pPr>
        <w:pStyle w:val="Heading3"/>
      </w:pPr>
      <w:r>
        <w:t>Asset Inventory</w:t>
      </w:r>
    </w:p>
    <w:p>
      <w:r>
        <w:t>A current inventory of SWIFT-related assets must be maintained, including:</w:t>
      </w:r>
    </w:p>
    <w:tbl>
      <w:tblPr>
        <w:tblStyle w:val="TableGrid"/>
        <w:tblW w:type="auto" w:w="0"/>
        <w:tblLook w:firstColumn="1" w:firstRow="1" w:lastColumn="0" w:lastRow="0" w:noHBand="0" w:noVBand="1" w:val="04A0"/>
      </w:tblPr>
      <w:tblGrid>
        <w:gridCol w:w="4320"/>
        <w:gridCol w:w="4320"/>
      </w:tblGrid>
      <w:tr>
        <w:tc>
          <w:tcPr>
            <w:tcW w:type="dxa" w:w="4320"/>
          </w:tcPr>
          <w:p>
            <w:r>
              <w:t>Asset Attribute</w:t>
            </w:r>
          </w:p>
        </w:tc>
        <w:tc>
          <w:tcPr>
            <w:tcW w:type="dxa" w:w="4320"/>
          </w:tcPr>
          <w:p>
            <w:r>
              <w:t>Required Information</w:t>
            </w:r>
          </w:p>
        </w:tc>
      </w:tr>
      <w:tr>
        <w:tc>
          <w:tcPr>
            <w:tcW w:type="dxa" w:w="4320"/>
          </w:tcPr>
          <w:p>
            <w:r>
              <w:t>Asset name</w:t>
            </w:r>
          </w:p>
        </w:tc>
        <w:tc>
          <w:tcPr>
            <w:tcW w:type="dxa" w:w="4320"/>
          </w:tcPr>
          <w:p>
            <w:r>
              <w:t>Hostname, device name, or application name</w:t>
            </w:r>
          </w:p>
        </w:tc>
      </w:tr>
      <w:tr>
        <w:tc>
          <w:tcPr>
            <w:tcW w:type="dxa" w:w="4320"/>
          </w:tcPr>
          <w:p>
            <w:r>
              <w:t>Asset owner</w:t>
            </w:r>
          </w:p>
        </w:tc>
        <w:tc>
          <w:tcPr>
            <w:tcW w:type="dxa" w:w="4320"/>
          </w:tcPr>
          <w:p>
            <w:r>
              <w:t>Business or technical owner accountable for the asset</w:t>
            </w:r>
          </w:p>
        </w:tc>
      </w:tr>
      <w:tr>
        <w:tc>
          <w:tcPr>
            <w:tcW w:type="dxa" w:w="4320"/>
          </w:tcPr>
          <w:p>
            <w:r>
              <w:t>Technical custodian</w:t>
            </w:r>
          </w:p>
        </w:tc>
        <w:tc>
          <w:tcPr>
            <w:tcW w:type="dxa" w:w="4320"/>
          </w:tcPr>
          <w:p>
            <w:r>
              <w:t>Team responsible for maintenance and patch deployment</w:t>
            </w:r>
          </w:p>
        </w:tc>
      </w:tr>
      <w:tr>
        <w:tc>
          <w:tcPr>
            <w:tcW w:type="dxa" w:w="4320"/>
          </w:tcPr>
          <w:p>
            <w:r>
              <w:t>Environment</w:t>
            </w:r>
          </w:p>
        </w:tc>
        <w:tc>
          <w:tcPr>
            <w:tcW w:type="dxa" w:w="4320"/>
          </w:tcPr>
          <w:p>
            <w:r>
              <w:t>Production, test, development, disaster recovery, management, or monitoring</w:t>
            </w:r>
          </w:p>
        </w:tc>
      </w:tr>
      <w:tr>
        <w:tc>
          <w:tcPr>
            <w:tcW w:type="dxa" w:w="4320"/>
          </w:tcPr>
          <w:p>
            <w:r>
              <w:t>SWIFT relevance</w:t>
            </w:r>
          </w:p>
        </w:tc>
        <w:tc>
          <w:tcPr>
            <w:tcW w:type="dxa" w:w="4320"/>
          </w:tcPr>
          <w:p>
            <w:r>
              <w:t>Direct SWIFT component, supporting infrastructure, security control, administration path, or connected dependency</w:t>
            </w:r>
          </w:p>
        </w:tc>
      </w:tr>
      <w:tr>
        <w:tc>
          <w:tcPr>
            <w:tcW w:type="dxa" w:w="4320"/>
          </w:tcPr>
          <w:p>
            <w:r>
              <w:t>Network location</w:t>
            </w:r>
          </w:p>
        </w:tc>
        <w:tc>
          <w:tcPr>
            <w:tcW w:type="dxa" w:w="4320"/>
          </w:tcPr>
          <w:p>
            <w:r>
              <w:t>SWIFT secure zone, management zone, DMZ, corporate network, cloud segment, or third-party environment</w:t>
            </w:r>
          </w:p>
        </w:tc>
      </w:tr>
      <w:tr>
        <w:tc>
          <w:tcPr>
            <w:tcW w:type="dxa" w:w="4320"/>
          </w:tcPr>
          <w:p>
            <w:r>
              <w:t>Operating system / firmware</w:t>
            </w:r>
          </w:p>
        </w:tc>
        <w:tc>
          <w:tcPr>
            <w:tcW w:type="dxa" w:w="4320"/>
          </w:tcPr>
          <w:p>
            <w:r>
              <w:t>Version, build, and support status</w:t>
            </w:r>
          </w:p>
        </w:tc>
      </w:tr>
      <w:tr>
        <w:tc>
          <w:tcPr>
            <w:tcW w:type="dxa" w:w="4320"/>
          </w:tcPr>
          <w:p>
            <w:r>
              <w:t>Application / software</w:t>
            </w:r>
          </w:p>
        </w:tc>
        <w:tc>
          <w:tcPr>
            <w:tcW w:type="dxa" w:w="4320"/>
          </w:tcPr>
          <w:p>
            <w:r>
              <w:t>Product name, version, and vendor</w:t>
            </w:r>
          </w:p>
        </w:tc>
      </w:tr>
      <w:tr>
        <w:tc>
          <w:tcPr>
            <w:tcW w:type="dxa" w:w="4320"/>
          </w:tcPr>
          <w:p>
            <w:r>
              <w:t>Criticality</w:t>
            </w:r>
          </w:p>
        </w:tc>
        <w:tc>
          <w:tcPr>
            <w:tcW w:type="dxa" w:w="4320"/>
          </w:tcPr>
          <w:p>
            <w:r>
              <w:t>Critical, High, Medium, or Low</w:t>
            </w:r>
          </w:p>
        </w:tc>
      </w:tr>
      <w:tr>
        <w:tc>
          <w:tcPr>
            <w:tcW w:type="dxa" w:w="4320"/>
          </w:tcPr>
          <w:p>
            <w:r>
              <w:t>Patch method</w:t>
            </w:r>
          </w:p>
        </w:tc>
        <w:tc>
          <w:tcPr>
            <w:tcW w:type="dxa" w:w="4320"/>
          </w:tcPr>
          <w:p>
            <w:r>
              <w:t>Automated tool, manual installation, vendor-assisted, managed service, or appliance update</w:t>
            </w:r>
          </w:p>
        </w:tc>
      </w:tr>
      <w:tr>
        <w:tc>
          <w:tcPr>
            <w:tcW w:type="dxa" w:w="4320"/>
          </w:tcPr>
          <w:p>
            <w:r>
              <w:t>Maintenance window</w:t>
            </w:r>
          </w:p>
        </w:tc>
        <w:tc>
          <w:tcPr>
            <w:tcW w:type="dxa" w:w="4320"/>
          </w:tcPr>
          <w:p>
            <w:r>
              <w:t>Approved patching window or required approval route</w:t>
            </w:r>
          </w:p>
        </w:tc>
      </w:tr>
      <w:tr>
        <w:tc>
          <w:tcPr>
            <w:tcW w:type="dxa" w:w="4320"/>
          </w:tcPr>
          <w:p>
            <w:r>
              <w:t>Backup requirement</w:t>
            </w:r>
          </w:p>
        </w:tc>
        <w:tc>
          <w:tcPr>
            <w:tcW w:type="dxa" w:w="4320"/>
          </w:tcPr>
          <w:p>
            <w:r>
              <w:t>Snapshot, configuration backup, database backup, or full system backup</w:t>
            </w:r>
          </w:p>
        </w:tc>
      </w:tr>
      <w:tr>
        <w:tc>
          <w:tcPr>
            <w:tcW w:type="dxa" w:w="4320"/>
          </w:tcPr>
          <w:p>
            <w:r>
              <w:t>Rollback method</w:t>
            </w:r>
          </w:p>
        </w:tc>
        <w:tc>
          <w:tcPr>
            <w:tcW w:type="dxa" w:w="4320"/>
          </w:tcPr>
          <w:p>
            <w:r>
              <w:t>Documented rollback or recovery approach</w:t>
            </w:r>
          </w:p>
        </w:tc>
      </w:tr>
    </w:tbl>
    <w:p>
      <w:pPr>
        <w:pStyle w:val="Heading3"/>
      </w:pPr>
      <w:r>
        <w:t>Vulnerability and Patch Intelligence Sources</w:t>
      </w:r>
    </w:p>
    <w:p>
      <w:r>
        <w:t>The following inputs must be monitored and used to identify applicable patches and vulnerabilities: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Purpose</w:t>
            </w:r>
          </w:p>
        </w:tc>
        <w:tc>
          <w:tcPr>
            <w:tcW w:type="dxa" w:w="2160"/>
          </w:tcPr>
          <w:p>
            <w:r>
              <w:t>Owner</w:t>
            </w:r>
          </w:p>
        </w:tc>
        <w:tc>
          <w:tcPr>
            <w:tcW w:type="dxa" w:w="2160"/>
          </w:tcPr>
          <w:p>
            <w:r>
              <w:t>Frequency</w:t>
            </w:r>
          </w:p>
        </w:tc>
      </w:tr>
      <w:tr>
        <w:tc>
          <w:tcPr>
            <w:tcW w:type="dxa" w:w="2160"/>
          </w:tcPr>
          <w:p>
            <w:r>
              <w:t>Vendor security advisories</w:t>
            </w:r>
          </w:p>
        </w:tc>
        <w:tc>
          <w:tcPr>
            <w:tcW w:type="dxa" w:w="2160"/>
          </w:tcPr>
          <w:p>
            <w:r>
              <w:t>Identify patches for SWIFT-related software, operating systems, appliances, and security tools</w:t>
            </w:r>
          </w:p>
        </w:tc>
        <w:tc>
          <w:tcPr>
            <w:tcW w:type="dxa" w:w="2160"/>
          </w:tcPr>
          <w:p>
            <w:r>
              <w:t>Infrastructure / Application Owners</w:t>
            </w:r>
          </w:p>
        </w:tc>
        <w:tc>
          <w:tcPr>
            <w:tcW w:type="dxa" w:w="2160"/>
          </w:tcPr>
          <w:p>
            <w:r>
              <w:t>At least weekly</w:t>
            </w:r>
          </w:p>
        </w:tc>
      </w:tr>
      <w:tr>
        <w:tc>
          <w:tcPr>
            <w:tcW w:type="dxa" w:w="2160"/>
          </w:tcPr>
          <w:p>
            <w:r>
              <w:t>SWIFT security communications</w:t>
            </w:r>
          </w:p>
        </w:tc>
        <w:tc>
          <w:tcPr>
            <w:tcW w:type="dxa" w:w="2160"/>
          </w:tcPr>
          <w:p>
            <w:r>
              <w:t>Identify SWIFT-specific updates, advisories, secure configuration guidance, and required actions</w:t>
            </w:r>
          </w:p>
        </w:tc>
        <w:tc>
          <w:tcPr>
            <w:tcW w:type="dxa" w:w="2160"/>
          </w:tcPr>
          <w:p>
            <w:r>
              <w:t>SWIFT Operations Manager</w:t>
            </w:r>
          </w:p>
        </w:tc>
        <w:tc>
          <w:tcPr>
            <w:tcW w:type="dxa" w:w="2160"/>
          </w:tcPr>
          <w:p>
            <w:r>
              <w:t>Upon receipt and at least weekly</w:t>
            </w:r>
          </w:p>
        </w:tc>
      </w:tr>
      <w:tr>
        <w:tc>
          <w:tcPr>
            <w:tcW w:type="dxa" w:w="2160"/>
          </w:tcPr>
          <w:p>
            <w:r>
              <w:t>Vulnerability scanner results</w:t>
            </w:r>
          </w:p>
        </w:tc>
        <w:tc>
          <w:tcPr>
            <w:tcW w:type="dxa" w:w="2160"/>
          </w:tcPr>
          <w:p>
            <w:r>
              <w:t>Detect missing patches, insecure versions, misconfigurations, and exposed services</w:t>
            </w:r>
          </w:p>
        </w:tc>
        <w:tc>
          <w:tcPr>
            <w:tcW w:type="dxa" w:w="2160"/>
          </w:tcPr>
          <w:p>
            <w:r>
              <w:t>Vulnerability Management Team</w:t>
            </w:r>
          </w:p>
        </w:tc>
        <w:tc>
          <w:tcPr>
            <w:tcW w:type="dxa" w:w="2160"/>
          </w:tcPr>
          <w:p>
            <w:r>
              <w:t>Per scanning schedule</w:t>
            </w:r>
          </w:p>
        </w:tc>
      </w:tr>
      <w:tr>
        <w:tc>
          <w:tcPr>
            <w:tcW w:type="dxa" w:w="2160"/>
          </w:tcPr>
          <w:p>
            <w:r>
              <w:t>Threat intelligence feeds</w:t>
            </w:r>
          </w:p>
        </w:tc>
        <w:tc>
          <w:tcPr>
            <w:tcW w:type="dxa" w:w="2160"/>
          </w:tcPr>
          <w:p>
            <w:r>
              <w:t>Identify active exploitation, targeted malware, and sector-specific threats</w:t>
            </w:r>
          </w:p>
        </w:tc>
        <w:tc>
          <w:tcPr>
            <w:tcW w:type="dxa" w:w="2160"/>
          </w:tcPr>
          <w:p>
            <w:r>
              <w:t>Security Operations Centre</w:t>
            </w:r>
          </w:p>
        </w:tc>
        <w:tc>
          <w:tcPr>
            <w:tcW w:type="dxa" w:w="2160"/>
          </w:tcPr>
          <w:p>
            <w:r>
              <w:t>Daily</w:t>
            </w:r>
          </w:p>
        </w:tc>
      </w:tr>
      <w:tr>
        <w:tc>
          <w:tcPr>
            <w:tcW w:type="dxa" w:w="2160"/>
          </w:tcPr>
          <w:p>
            <w:r>
              <w:t>EDR / SIEM alerts</w:t>
            </w:r>
          </w:p>
        </w:tc>
        <w:tc>
          <w:tcPr>
            <w:tcW w:type="dxa" w:w="2160"/>
          </w:tcPr>
          <w:p>
            <w:r>
              <w:t>Identify indicators of compromise or exploitation attempts</w:t>
            </w:r>
          </w:p>
        </w:tc>
        <w:tc>
          <w:tcPr>
            <w:tcW w:type="dxa" w:w="2160"/>
          </w:tcPr>
          <w:p>
            <w:r>
              <w:t>Security Operations Centre</w:t>
            </w:r>
          </w:p>
        </w:tc>
        <w:tc>
          <w:tcPr>
            <w:tcW w:type="dxa" w:w="2160"/>
          </w:tcPr>
          <w:p>
            <w:r>
              <w:t>Continuous</w:t>
            </w:r>
          </w:p>
        </w:tc>
      </w:tr>
      <w:tr>
        <w:tc>
          <w:tcPr>
            <w:tcW w:type="dxa" w:w="2160"/>
          </w:tcPr>
          <w:p>
            <w:r>
              <w:t>Penetration tests and assurance reviews</w:t>
            </w:r>
          </w:p>
        </w:tc>
        <w:tc>
          <w:tcPr>
            <w:tcW w:type="dxa" w:w="2160"/>
          </w:tcPr>
          <w:p>
            <w:r>
              <w:t>Identify technical weaknesses requiring remediation</w:t>
            </w:r>
          </w:p>
        </w:tc>
        <w:tc>
          <w:tcPr>
            <w:tcW w:type="dxa" w:w="2160"/>
          </w:tcPr>
          <w:p>
            <w:r>
              <w:t>Information Security</w:t>
            </w:r>
          </w:p>
        </w:tc>
        <w:tc>
          <w:tcPr>
            <w:tcW w:type="dxa" w:w="2160"/>
          </w:tcPr>
          <w:p>
            <w:r>
              <w:t>Per test cycle</w:t>
            </w:r>
          </w:p>
        </w:tc>
      </w:tr>
      <w:tr>
        <w:tc>
          <w:tcPr>
            <w:tcW w:type="dxa" w:w="2160"/>
          </w:tcPr>
          <w:p>
            <w:r>
              <w:t>Third-party notifications</w:t>
            </w:r>
          </w:p>
        </w:tc>
        <w:tc>
          <w:tcPr>
            <w:tcW w:type="dxa" w:w="2160"/>
          </w:tcPr>
          <w:p>
            <w:r>
              <w:t>Identify vulnerabilities in managed or hosted services</w:t>
            </w:r>
          </w:p>
        </w:tc>
        <w:tc>
          <w:tcPr>
            <w:tcW w:type="dxa" w:w="2160"/>
          </w:tcPr>
          <w:p>
            <w:r>
              <w:t>Third-Party Manager / Service Owner</w:t>
            </w:r>
          </w:p>
        </w:tc>
        <w:tc>
          <w:tcPr>
            <w:tcW w:type="dxa" w:w="2160"/>
          </w:tcPr>
          <w:p>
            <w:r>
              <w:t>Upon receipt</w:t>
            </w:r>
          </w:p>
        </w:tc>
      </w:tr>
    </w:tbl>
    <w:p>
      <w:pPr>
        <w:pStyle w:val="Heading3"/>
      </w:pPr>
      <w:r>
        <w:t>Approved Tools and Repositories</w:t>
      </w:r>
    </w:p>
    <w:p>
      <w:r>
        <w:t>The following tools or repositories must be used where applicable:</w:t>
      </w:r>
    </w:p>
    <w:p>
      <w:pPr>
        <w:pStyle w:val="ListBullet"/>
      </w:pPr>
      <w:r>
        <w:t>Vulnerability management platform: [Tool Name]</w:t>
      </w:r>
    </w:p>
    <w:p>
      <w:pPr>
        <w:pStyle w:val="ListBullet"/>
      </w:pPr>
      <w:r>
        <w:t>Patch deployment platform: [Tool Name]</w:t>
      </w:r>
    </w:p>
    <w:p>
      <w:pPr>
        <w:pStyle w:val="ListBullet"/>
      </w:pPr>
      <w:r>
        <w:t>Endpoint management platform: [Tool Name]</w:t>
      </w:r>
    </w:p>
    <w:p>
      <w:pPr>
        <w:pStyle w:val="ListBullet"/>
      </w:pPr>
      <w:r>
        <w:t>Configuration management database or asset inventory: [Tool Name]</w:t>
      </w:r>
    </w:p>
    <w:p>
      <w:pPr>
        <w:pStyle w:val="ListBullet"/>
      </w:pPr>
      <w:r>
        <w:t>Change management system: [Tool Name]</w:t>
      </w:r>
    </w:p>
    <w:p>
      <w:pPr>
        <w:pStyle w:val="ListBullet"/>
      </w:pPr>
      <w:r>
        <w:t>Ticketing system: [Tool Name]</w:t>
      </w:r>
    </w:p>
    <w:p>
      <w:pPr>
        <w:pStyle w:val="ListBullet"/>
      </w:pPr>
      <w:r>
        <w:t>SIEM or log management platform: [Tool Name]</w:t>
      </w:r>
    </w:p>
    <w:p>
      <w:pPr>
        <w:pStyle w:val="ListBullet"/>
      </w:pPr>
      <w:r>
        <w:t>Secure file repository for evidence: [Repository Name]</w:t>
      </w:r>
    </w:p>
    <w:p>
      <w:pPr>
        <w:pStyle w:val="ListBullet"/>
      </w:pPr>
      <w:r>
        <w:t>Vendor support portal accounts for SWIFT-related products: [Portal Names]</w:t>
      </w:r>
    </w:p>
    <w:p>
      <w:pPr>
        <w:pStyle w:val="Heading3"/>
      </w:pPr>
      <w:r>
        <w:t>Patch and Vulnerability Severity Definitions</w:t>
      </w:r>
    </w:p>
    <w:p>
      <w:r>
        <w:t>Vulnerabilities and patches must be prioritised using a combination of vendor severity, vulnerability score, asset criticality, exposure, exploit availability, compensating controls, and relevance to SWIFT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Examples</w:t>
            </w:r>
          </w:p>
        </w:tc>
      </w:tr>
      <w:tr>
        <w:tc>
          <w:tcPr>
            <w:tcW w:type="dxa" w:w="2880"/>
          </w:tcPr>
          <w:p>
            <w:r>
              <w:t>Critical</w:t>
            </w:r>
          </w:p>
        </w:tc>
        <w:tc>
          <w:tcPr>
            <w:tcW w:type="dxa" w:w="2880"/>
          </w:tcPr>
          <w:p>
            <w:r>
              <w:t>Vulnerability is actively exploited, remotely exploitable without authentication, affects internet-facing or SWIFT-connected systems, enables privilege escalation to administrative level, allows unauthorised transaction manipulation, or materially affects the security of the SWIFT environment</w:t>
            </w:r>
          </w:p>
        </w:tc>
        <w:tc>
          <w:tcPr>
            <w:tcW w:type="dxa" w:w="2880"/>
          </w:tcPr>
          <w:p>
            <w:r>
              <w:t>Remote code execution, exploited VPN vulnerability, authentication bypass, critical SWIFT component update</w:t>
            </w:r>
          </w:p>
        </w:tc>
      </w:tr>
      <w:tr>
        <w:tc>
          <w:tcPr>
            <w:tcW w:type="dxa" w:w="2880"/>
          </w:tcPr>
          <w:p>
            <w:r>
              <w:t>High</w:t>
            </w:r>
          </w:p>
        </w:tc>
        <w:tc>
          <w:tcPr>
            <w:tcW w:type="dxa" w:w="2880"/>
          </w:tcPr>
          <w:p>
            <w:r>
              <w:t>Vulnerability could significantly compromise confidentiality, integrity, or availability, but exploitation requires some conditions such as local access, authentication, specific configuration, or chained weaknesses</w:t>
            </w:r>
          </w:p>
        </w:tc>
        <w:tc>
          <w:tcPr>
            <w:tcW w:type="dxa" w:w="2880"/>
          </w:tcPr>
          <w:p>
            <w:r>
              <w:t>Privilege escalation, severe web server flaw, high-risk firewall or EDR update</w:t>
            </w:r>
          </w:p>
        </w:tc>
      </w:tr>
      <w:tr>
        <w:tc>
          <w:tcPr>
            <w:tcW w:type="dxa" w:w="2880"/>
          </w:tcPr>
          <w:p>
            <w:r>
              <w:t>Medium</w:t>
            </w:r>
          </w:p>
        </w:tc>
        <w:tc>
          <w:tcPr>
            <w:tcW w:type="dxa" w:w="2880"/>
          </w:tcPr>
          <w:p>
            <w:r>
              <w:t>Vulnerability has limited exploitability, limited impact, or is mitigated by network segmentation and access controls, but still requires remediation</w:t>
            </w:r>
          </w:p>
        </w:tc>
        <w:tc>
          <w:tcPr>
            <w:tcW w:type="dxa" w:w="2880"/>
          </w:tcPr>
          <w:p>
            <w:r>
              <w:t>Information disclosure, denial of service under limited conditions, non-critical service flaw</w:t>
            </w:r>
          </w:p>
        </w:tc>
      </w:tr>
      <w:tr>
        <w:tc>
          <w:tcPr>
            <w:tcW w:type="dxa" w:w="2880"/>
          </w:tcPr>
          <w:p>
            <w:r>
              <w:t>Low</w:t>
            </w:r>
          </w:p>
        </w:tc>
        <w:tc>
          <w:tcPr>
            <w:tcW w:type="dxa" w:w="2880"/>
          </w:tcPr>
          <w:p>
            <w:r>
              <w:t>Vulnerability has minimal practical impact or is informational, but should be resolved through normal maintenance</w:t>
            </w:r>
          </w:p>
        </w:tc>
        <w:tc>
          <w:tcPr>
            <w:tcW w:type="dxa" w:w="2880"/>
          </w:tcPr>
          <w:p>
            <w:r>
              <w:t>Banner disclosure, minor software defect, low-risk client component</w:t>
            </w:r>
          </w:p>
        </w:tc>
      </w:tr>
    </w:tbl>
    <w:p>
      <w:pPr>
        <w:pStyle w:val="Heading3"/>
      </w:pPr>
      <w:r>
        <w:t>Remediation Timelines</w:t>
      </w:r>
    </w:p>
    <w:p>
      <w:r>
        <w:t>The following target timelines apply from the date the vulnerability or patch is confirmed as applicable to an in-scope asset.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Target Assessment Time</w:t>
            </w:r>
          </w:p>
        </w:tc>
        <w:tc>
          <w:tcPr>
            <w:tcW w:type="dxa" w:w="2160"/>
          </w:tcPr>
          <w:p>
            <w:r>
              <w:t>Target Remediation Time</w:t>
            </w:r>
          </w:p>
        </w:tc>
        <w:tc>
          <w:tcPr>
            <w:tcW w:type="dxa" w:w="2160"/>
          </w:tcPr>
          <w:p>
            <w:r>
              <w:t>Maximum Allowed Without Approved Exception</w:t>
            </w:r>
          </w:p>
        </w:tc>
      </w:tr>
      <w:tr>
        <w:tc>
          <w:tcPr>
            <w:tcW w:type="dxa" w:w="2160"/>
          </w:tcPr>
          <w:p>
            <w:r>
              <w:t>Critical</w:t>
            </w:r>
          </w:p>
        </w:tc>
        <w:tc>
          <w:tcPr>
            <w:tcW w:type="dxa" w:w="2160"/>
          </w:tcPr>
          <w:p>
            <w:r>
              <w:t>1 business day</w:t>
            </w:r>
          </w:p>
        </w:tc>
        <w:tc>
          <w:tcPr>
            <w:tcW w:type="dxa" w:w="2160"/>
          </w:tcPr>
          <w:p>
            <w:r>
              <w:t>7 calendar days, or faster if actively exploited</w:t>
            </w:r>
          </w:p>
        </w:tc>
        <w:tc>
          <w:tcPr>
            <w:tcW w:type="dxa" w:w="2160"/>
          </w:tcPr>
          <w:p>
            <w:r>
              <w:t>14 calendar days</w:t>
            </w:r>
          </w:p>
        </w:tc>
      </w:tr>
      <w:tr>
        <w:tc>
          <w:tcPr>
            <w:tcW w:type="dxa" w:w="2160"/>
          </w:tcPr>
          <w:p>
            <w:r>
              <w:t>High</w:t>
            </w:r>
          </w:p>
        </w:tc>
        <w:tc>
          <w:tcPr>
            <w:tcW w:type="dxa" w:w="2160"/>
          </w:tcPr>
          <w:p>
            <w:r>
              <w:t>3 business days</w:t>
            </w:r>
          </w:p>
        </w:tc>
        <w:tc>
          <w:tcPr>
            <w:tcW w:type="dxa" w:w="2160"/>
          </w:tcPr>
          <w:p>
            <w:r>
              <w:t>30 calendar days</w:t>
            </w:r>
          </w:p>
        </w:tc>
        <w:tc>
          <w:tcPr>
            <w:tcW w:type="dxa" w:w="2160"/>
          </w:tcPr>
          <w:p>
            <w:r>
              <w:t>45 calendar days</w:t>
            </w:r>
          </w:p>
        </w:tc>
      </w:tr>
      <w:tr>
        <w:tc>
          <w:tcPr>
            <w:tcW w:type="dxa" w:w="2160"/>
          </w:tcPr>
          <w:p>
            <w:r>
              <w:t>Medium</w:t>
            </w:r>
          </w:p>
        </w:tc>
        <w:tc>
          <w:tcPr>
            <w:tcW w:type="dxa" w:w="2160"/>
          </w:tcPr>
          <w:p>
            <w:r>
              <w:t>10 business days</w:t>
            </w:r>
          </w:p>
        </w:tc>
        <w:tc>
          <w:tcPr>
            <w:tcW w:type="dxa" w:w="2160"/>
          </w:tcPr>
          <w:p>
            <w:r>
              <w:t>90 calendar days</w:t>
            </w:r>
          </w:p>
        </w:tc>
        <w:tc>
          <w:tcPr>
            <w:tcW w:type="dxa" w:w="2160"/>
          </w:tcPr>
          <w:p>
            <w:r>
              <w:t>120 calendar days</w:t>
            </w:r>
          </w:p>
        </w:tc>
      </w:tr>
      <w:tr>
        <w:tc>
          <w:tcPr>
            <w:tcW w:type="dxa" w:w="2160"/>
          </w:tcPr>
          <w:p>
            <w:r>
              <w:t>Low</w:t>
            </w:r>
          </w:p>
        </w:tc>
        <w:tc>
          <w:tcPr>
            <w:tcW w:type="dxa" w:w="2160"/>
          </w:tcPr>
          <w:p>
            <w:r>
              <w:t>20 business days</w:t>
            </w:r>
          </w:p>
        </w:tc>
        <w:tc>
          <w:tcPr>
            <w:tcW w:type="dxa" w:w="2160"/>
          </w:tcPr>
          <w:p>
            <w:r>
              <w:t>Next planned maintenance cycle</w:t>
            </w:r>
          </w:p>
        </w:tc>
        <w:tc>
          <w:tcPr>
            <w:tcW w:type="dxa" w:w="2160"/>
          </w:tcPr>
          <w:p>
            <w:r>
              <w:t>180 calendar days</w:t>
            </w:r>
          </w:p>
        </w:tc>
      </w:tr>
    </w:tbl>
    <w:p>
      <w:r>
        <w:t>Where a vulnerability is known to be actively exploited, affects an internet-facing component, affects a privileged administration path, or affects the SWIFT secure zone, the Security Operations Centre and Information Security may require accelerated remediation regardless of the nominal severity.</w:t>
      </w:r>
    </w:p>
    <w:p>
      <w:pPr>
        <w:pStyle w:val="Heading3"/>
      </w:pPr>
      <w:r>
        <w:t>Testing Requirements</w:t>
      </w:r>
    </w:p>
    <w:p>
      <w:r>
        <w:t>Before deployment to production, patches must be tested in a representative non-production environment where available. Testing must confirm:</w:t>
      </w:r>
    </w:p>
    <w:p>
      <w:pPr>
        <w:pStyle w:val="ListBullet"/>
      </w:pPr>
      <w:r>
        <w:t>The system starts successfully after patching.</w:t>
      </w:r>
    </w:p>
    <w:p>
      <w:pPr>
        <w:pStyle w:val="ListBullet"/>
      </w:pPr>
      <w:r>
        <w:t>SWIFT application services, interfaces, and dependencies operate as expected.</w:t>
      </w:r>
    </w:p>
    <w:p>
      <w:pPr>
        <w:pStyle w:val="ListBullet"/>
      </w:pPr>
      <w:r>
        <w:t>User authentication and privileged access continue to function correctly.</w:t>
      </w:r>
    </w:p>
    <w:p>
      <w:pPr>
        <w:pStyle w:val="ListBullet"/>
      </w:pPr>
      <w:r>
        <w:t>Message creation, approval, transmission, receipt, reconciliation, and monitoring workflows are not adversely affected, where applicable.</w:t>
      </w:r>
    </w:p>
    <w:p>
      <w:pPr>
        <w:pStyle w:val="ListBullet"/>
      </w:pPr>
      <w:r>
        <w:t>Connectivity to SWIFT services, back-office systems, databases, security monitoring tools, and management systems remains operational.</w:t>
      </w:r>
    </w:p>
    <w:p>
      <w:pPr>
        <w:pStyle w:val="ListBullet"/>
      </w:pPr>
      <w:r>
        <w:t>Logging, alerting, EDR, anti-malware, backup agents, and monitoring agents remain functional.</w:t>
      </w:r>
    </w:p>
    <w:p>
      <w:pPr>
        <w:pStyle w:val="ListBullet"/>
      </w:pPr>
      <w:r>
        <w:t>There is no unexpected firewall, certificate, TLS, routing, or DNS impact.</w:t>
      </w:r>
    </w:p>
    <w:p>
      <w:pPr>
        <w:pStyle w:val="ListBullet"/>
      </w:pPr>
      <w:r>
        <w:t>Rollback or recovery procedures are available and understood before production implementation.</w:t>
      </w:r>
    </w:p>
    <w:p>
      <w:pPr>
        <w:pStyle w:val="Heading2"/>
      </w:pPr>
      <w:r>
        <w:t>Step-by-Step Procedure (numbered)</w:t>
      </w:r>
    </w:p>
    <w:p>
      <w:pPr>
        <w:pStyle w:val="ListBullet"/>
      </w:pPr>
      <w:r>
        <w:t>Maintain the SWIFT patch and vulnerability asset baseline</w:t>
      </w:r>
    </w:p>
    <w:p>
      <w:r>
        <w:t>1.1. The Asset Owner and Technical Custodian must ensure that all SWIFT-related assets are recorded in the approved asset inventory.</w:t>
      </w:r>
    </w:p>
    <w:p>
      <w:r>
        <w:t>1.2. The inventory must be reviewed at least monthly and after any major SWIFT environment change.</w:t>
      </w:r>
    </w:p>
    <w:p>
      <w:r>
        <w:t>1.3. Newly deployed SWIFT-related assets must be added to the inventory before production use.</w:t>
      </w:r>
    </w:p>
    <w:p>
      <w:r>
        <w:t>1.4. Decommissioned assets must be marked as retired and removed from vulnerability scanning scopes only after confirmation that they are no longer connected, reachable, or relied upon.</w:t>
      </w:r>
    </w:p>
    <w:p>
      <w:r>
        <w:t>1.5. Unsupported operating systems, firmware, software, or SWIFT-related components must be flagged for risk review and lifecycle planning.</w:t>
      </w:r>
    </w:p>
    <w:p>
      <w:pPr>
        <w:pStyle w:val="ListBullet"/>
      </w:pPr>
      <w:r>
        <w:t>Monitor vulnerability and patch sources</w:t>
      </w:r>
    </w:p>
    <w:p>
      <w:r>
        <w:t>2.1. The Vulnerability Management Team must review vulnerability scanner outputs according to the approved scanning schedule.</w:t>
      </w:r>
    </w:p>
    <w:p>
      <w:r>
        <w:t>2.2. The Security Operations Centre must monitor threat intelligence and security alerts for threats relevant to SWIFT, financial messaging, payment operations, remote access, privileged access, and the organisation’s technology stack.</w:t>
      </w:r>
    </w:p>
    <w:p>
      <w:r>
        <w:t>2.3. The SWIFT Operations Manager must review SWIFT communications and vendor notices for updates, recommended actions, security patches, and configuration advisories.</w:t>
      </w:r>
    </w:p>
    <w:p>
      <w:r>
        <w:t>2.4. Technical Custodians must monitor vendor advisories for operating systems, network devices, databases, middleware, security tools, and SWIFT-supporting applications.</w:t>
      </w:r>
    </w:p>
    <w:p>
      <w:r>
        <w:t>2.5. Any team that identifies a potentially relevant vulnerability must raise or update a vulnerability record in [Ticketing System] within one business day.</w:t>
      </w:r>
    </w:p>
    <w:p>
      <w:pPr>
        <w:pStyle w:val="ListBullet"/>
      </w:pPr>
      <w:r>
        <w:t>Register the vulnerability or patch requirement</w:t>
      </w:r>
    </w:p>
    <w:p>
      <w:r>
        <w:t>3.1. Each vulnerability or required security patch must be recorded in [Ticketing System] or [Vulnerability Management Platform].</w:t>
      </w:r>
    </w:p>
    <w:p>
      <w:r>
        <w:t>3.2. The record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Unique reference</w:t>
            </w:r>
          </w:p>
        </w:tc>
        <w:tc>
          <w:tcPr>
            <w:tcW w:type="dxa" w:w="4320"/>
          </w:tcPr>
          <w:p>
            <w:r>
              <w:t>Ticket or vulnerability ID</w:t>
            </w:r>
          </w:p>
        </w:tc>
      </w:tr>
      <w:tr>
        <w:tc>
          <w:tcPr>
            <w:tcW w:type="dxa" w:w="4320"/>
          </w:tcPr>
          <w:p>
            <w:r>
              <w:t>Date identified</w:t>
            </w:r>
          </w:p>
        </w:tc>
        <w:tc>
          <w:tcPr>
            <w:tcW w:type="dxa" w:w="4320"/>
          </w:tcPr>
          <w:p>
            <w:r>
              <w:t>Date the vulnerability or patch was first recorded</w:t>
            </w:r>
          </w:p>
        </w:tc>
      </w:tr>
      <w:tr>
        <w:tc>
          <w:tcPr>
            <w:tcW w:type="dxa" w:w="4320"/>
          </w:tcPr>
          <w:p>
            <w:r>
              <w:t>Source</w:t>
            </w:r>
          </w:p>
        </w:tc>
        <w:tc>
          <w:tcPr>
            <w:tcW w:type="dxa" w:w="4320"/>
          </w:tcPr>
          <w:p>
            <w:r>
              <w:t>Scanner, vendor advisory, SWIFT communication, SOC alert, test finding, or third-party notice</w:t>
            </w:r>
          </w:p>
        </w:tc>
      </w:tr>
      <w:tr>
        <w:tc>
          <w:tcPr>
            <w:tcW w:type="dxa" w:w="4320"/>
          </w:tcPr>
          <w:p>
            <w:r>
              <w:t>Affected asset</w:t>
            </w:r>
          </w:p>
        </w:tc>
        <w:tc>
          <w:tcPr>
            <w:tcW w:type="dxa" w:w="4320"/>
          </w:tcPr>
          <w:p>
            <w:r>
              <w:t>Hostname, application, appliance, service, or component</w:t>
            </w:r>
          </w:p>
        </w:tc>
      </w:tr>
      <w:tr>
        <w:tc>
          <w:tcPr>
            <w:tcW w:type="dxa" w:w="4320"/>
          </w:tcPr>
          <w:p>
            <w:r>
              <w:t>Asset owner</w:t>
            </w:r>
          </w:p>
        </w:tc>
        <w:tc>
          <w:tcPr>
            <w:tcW w:type="dxa" w:w="4320"/>
          </w:tcPr>
          <w:p>
            <w:r>
              <w:t>Accountable owner</w:t>
            </w:r>
          </w:p>
        </w:tc>
      </w:tr>
      <w:tr>
        <w:tc>
          <w:tcPr>
            <w:tcW w:type="dxa" w:w="4320"/>
          </w:tcPr>
          <w:p>
            <w:r>
              <w:t>Technical custodian</w:t>
            </w:r>
          </w:p>
        </w:tc>
        <w:tc>
          <w:tcPr>
            <w:tcW w:type="dxa" w:w="4320"/>
          </w:tcPr>
          <w:p>
            <w:r>
              <w:t>Team responsible for remediation</w:t>
            </w:r>
          </w:p>
        </w:tc>
      </w:tr>
      <w:tr>
        <w:tc>
          <w:tcPr>
            <w:tcW w:type="dxa" w:w="4320"/>
          </w:tcPr>
          <w:p>
            <w:r>
              <w:t>Environment</w:t>
            </w:r>
          </w:p>
        </w:tc>
        <w:tc>
          <w:tcPr>
            <w:tcW w:type="dxa" w:w="4320"/>
          </w:tcPr>
          <w:p>
            <w:r>
              <w:t>Production, test, disaster recovery, management, or other</w:t>
            </w:r>
          </w:p>
        </w:tc>
      </w:tr>
      <w:tr>
        <w:tc>
          <w:tcPr>
            <w:tcW w:type="dxa" w:w="4320"/>
          </w:tcPr>
          <w:p>
            <w:r>
              <w:t>SWIFT relevance</w:t>
            </w:r>
          </w:p>
        </w:tc>
        <w:tc>
          <w:tcPr>
            <w:tcW w:type="dxa" w:w="4320"/>
          </w:tcPr>
          <w:p>
            <w:r>
              <w:t>How the asset supports or connects to SWIFT</w:t>
            </w:r>
          </w:p>
        </w:tc>
      </w:tr>
      <w:tr>
        <w:tc>
          <w:tcPr>
            <w:tcW w:type="dxa" w:w="4320"/>
          </w:tcPr>
          <w:p>
            <w:r>
              <w:t>Severity</w:t>
            </w:r>
          </w:p>
        </w:tc>
        <w:tc>
          <w:tcPr>
            <w:tcW w:type="dxa" w:w="4320"/>
          </w:tcPr>
          <w:p>
            <w:r>
              <w:t>Critical, High, Medium, or Low</w:t>
            </w:r>
          </w:p>
        </w:tc>
      </w:tr>
      <w:tr>
        <w:tc>
          <w:tcPr>
            <w:tcW w:type="dxa" w:w="4320"/>
          </w:tcPr>
          <w:p>
            <w:r>
              <w:t>Exposure</w:t>
            </w:r>
          </w:p>
        </w:tc>
        <w:tc>
          <w:tcPr>
            <w:tcW w:type="dxa" w:w="4320"/>
          </w:tcPr>
          <w:p>
            <w:r>
              <w:t>Internet-facing, SWIFT zone, management zone, internal, third-party hosted, or isolated</w:t>
            </w:r>
          </w:p>
        </w:tc>
      </w:tr>
      <w:tr>
        <w:tc>
          <w:tcPr>
            <w:tcW w:type="dxa" w:w="4320"/>
          </w:tcPr>
          <w:p>
            <w:r>
              <w:t>Required remediation</w:t>
            </w:r>
          </w:p>
        </w:tc>
        <w:tc>
          <w:tcPr>
            <w:tcW w:type="dxa" w:w="4320"/>
          </w:tcPr>
          <w:p>
            <w:r>
              <w:t>Patch, version upgrade, configuration change, compensating control, or decommissioning</w:t>
            </w:r>
          </w:p>
        </w:tc>
      </w:tr>
      <w:tr>
        <w:tc>
          <w:tcPr>
            <w:tcW w:type="dxa" w:w="4320"/>
          </w:tcPr>
          <w:p>
            <w:r>
              <w:t>Target remediation date</w:t>
            </w:r>
          </w:p>
        </w:tc>
        <w:tc>
          <w:tcPr>
            <w:tcW w:type="dxa" w:w="4320"/>
          </w:tcPr>
          <w:p>
            <w:r>
              <w:t>Date based on severity and risk</w:t>
            </w:r>
          </w:p>
        </w:tc>
      </w:tr>
      <w:tr>
        <w:tc>
          <w:tcPr>
            <w:tcW w:type="dxa" w:w="4320"/>
          </w:tcPr>
          <w:p>
            <w:r>
              <w:t>Change reference</w:t>
            </w:r>
          </w:p>
        </w:tc>
        <w:tc>
          <w:tcPr>
            <w:tcW w:type="dxa" w:w="4320"/>
          </w:tcPr>
          <w:p>
            <w:r>
              <w:t>Link to change record when available</w:t>
            </w:r>
          </w:p>
        </w:tc>
      </w:tr>
      <w:tr>
        <w:tc>
          <w:tcPr>
            <w:tcW w:type="dxa" w:w="4320"/>
          </w:tcPr>
          <w:p>
            <w:r>
              <w:t>Status</w:t>
            </w:r>
          </w:p>
        </w:tc>
        <w:tc>
          <w:tcPr>
            <w:tcW w:type="dxa" w:w="4320"/>
          </w:tcPr>
          <w:p>
            <w:r>
              <w:t>Open, in assessment, scheduled, remediated, exception requested, exception approved, or closed</w:t>
            </w:r>
          </w:p>
        </w:tc>
      </w:tr>
    </w:tbl>
    <w:p>
      <w:pPr>
        <w:pStyle w:val="ListBullet"/>
      </w:pPr>
      <w:r>
        <w:t>Validate applicability</w:t>
      </w:r>
    </w:p>
    <w:p>
      <w:r>
        <w:t>4.1. The Technical Custodian must confirm whether the vulnerability or patch applies to the affected asset.</w:t>
      </w:r>
    </w:p>
    <w:p>
      <w:r>
        <w:t>4.2. Validation must include checking software version, operating system build, installed packages, device model, firmware level, configuration, enabled services, exposure, and vendor applicability notes.</w:t>
      </w:r>
    </w:p>
    <w:p>
      <w:r>
        <w:t>4.3. False positives must not be closed without documented evidence, such as version output, configuration screenshot, vendor statement, or scanner plugin rationale.</w:t>
      </w:r>
    </w:p>
    <w:p>
      <w:r>
        <w:t>4.4. If the vulnerability affects a third-party managed system, the Service Owner must obtain confirmation of applicability and remediation plans from the third party.</w:t>
      </w:r>
    </w:p>
    <w:p>
      <w:r>
        <w:t>4.5. Applicability assessment must be completed within the target assessment time defined in this procedure.</w:t>
      </w:r>
    </w:p>
    <w:p>
      <w:pPr>
        <w:pStyle w:val="ListBullet"/>
      </w:pPr>
      <w:r>
        <w:t>Assign risk-based priority</w:t>
      </w:r>
    </w:p>
    <w:p>
      <w:r>
        <w:t>5.1. The Vulnerability Management Team, in consultation with Information Security and the Technical Custodian, must assign or confirm severity.</w:t>
      </w:r>
    </w:p>
    <w:p>
      <w:r>
        <w:t>5.2. Severity must consider:</w:t>
      </w:r>
    </w:p>
    <w:p>
      <w:pPr>
        <w:pStyle w:val="ListBullet"/>
      </w:pPr>
      <w:r>
        <w:t>Whether exploitation is known or likely.</w:t>
      </w:r>
    </w:p>
    <w:p>
      <w:pPr>
        <w:pStyle w:val="ListBullet"/>
      </w:pPr>
      <w:r>
        <w:t>Whether public exploit code is available.</w:t>
      </w:r>
    </w:p>
    <w:p>
      <w:pPr>
        <w:pStyle w:val="ListBullet"/>
      </w:pPr>
      <w:r>
        <w:t>Whether the asset is internet-facing or accessible from less trusted networks.</w:t>
      </w:r>
    </w:p>
    <w:p>
      <w:pPr>
        <w:pStyle w:val="ListBullet"/>
      </w:pPr>
      <w:r>
        <w:t>Whether the asset resides in or provides access to the SWIFT secure zone.</w:t>
      </w:r>
    </w:p>
    <w:p>
      <w:pPr>
        <w:pStyle w:val="ListBullet"/>
      </w:pPr>
      <w:r>
        <w:t>Whether the asset is used for privileged administration.</w:t>
      </w:r>
    </w:p>
    <w:p>
      <w:pPr>
        <w:pStyle w:val="ListBullet"/>
      </w:pPr>
      <w:r>
        <w:t>Whether the vulnerability could affect message confidentiality, integrity, availability, or non-repudiation.</w:t>
      </w:r>
    </w:p>
    <w:p>
      <w:pPr>
        <w:pStyle w:val="ListBullet"/>
      </w:pPr>
      <w:r>
        <w:t>Whether existing controls reduce exploitability, such as network segmentation, MFA, application allowlisting, EDR, hardened configuration, and restricted administration paths.</w:t>
      </w:r>
    </w:p>
    <w:p>
      <w:pPr>
        <w:pStyle w:val="ListBullet"/>
      </w:pPr>
      <w:r>
        <w:t>Whether the affected component is in production, disaster recovery, or non-production.</w:t>
      </w:r>
    </w:p>
    <w:p>
      <w:pPr>
        <w:pStyle w:val="ListBullet"/>
      </w:pPr>
      <w:r>
        <w:t>Whether patching could disrupt SWIFT processing or time-critical payment operations.</w:t>
      </w:r>
    </w:p>
    <w:p>
      <w:r>
        <w:t>5.3. The assigned priority and target remediation date must be recorded in the vulnerability record.</w:t>
      </w:r>
    </w:p>
    <w:p>
      <w:r>
        <w:t>5.4. Critical vulnerabilities affecting production SWIFT components, administration paths, internet-facing services, or perimeter devices must be escalated to the Information Security Manager and SWIFT Operations Manager on the same business day.</w:t>
      </w:r>
    </w:p>
    <w:p>
      <w:pPr>
        <w:pStyle w:val="ListBullet"/>
      </w:pPr>
      <w:r>
        <w:t>Determine remediation approach</w:t>
      </w:r>
    </w:p>
    <w:p>
      <w:r>
        <w:t>6.1. The Technical Custodian must determine the appropriate remediation method, such as:</w:t>
      </w:r>
    </w:p>
    <w:p>
      <w:pPr>
        <w:pStyle w:val="ListBullet"/>
      </w:pPr>
      <w:r>
        <w:t>Applying a vendor security patch.</w:t>
      </w:r>
    </w:p>
    <w:p>
      <w:pPr>
        <w:pStyle w:val="ListBullet"/>
      </w:pPr>
      <w:r>
        <w:t>Upgrading software or firmware to a supported secure version.</w:t>
      </w:r>
    </w:p>
    <w:p>
      <w:pPr>
        <w:pStyle w:val="ListBullet"/>
      </w:pPr>
      <w:r>
        <w:t>Changing configuration to disable vulnerable functionality.</w:t>
      </w:r>
    </w:p>
    <w:p>
      <w:pPr>
        <w:pStyle w:val="ListBullet"/>
      </w:pPr>
      <w:r>
        <w:t>Removing or disabling vulnerable software.</w:t>
      </w:r>
    </w:p>
    <w:p>
      <w:pPr>
        <w:pStyle w:val="ListBullet"/>
      </w:pPr>
      <w:r>
        <w:t>Restricting network access.</w:t>
      </w:r>
    </w:p>
    <w:p>
      <w:pPr>
        <w:pStyle w:val="ListBullet"/>
      </w:pPr>
      <w:r>
        <w:t>Applying a vendor-recommended mitigation.</w:t>
      </w:r>
    </w:p>
    <w:p>
      <w:pPr>
        <w:pStyle w:val="ListBullet"/>
      </w:pPr>
      <w:r>
        <w:t>Replacing or decommissioning the affected asset.</w:t>
      </w:r>
    </w:p>
    <w:p>
      <w:pPr>
        <w:pStyle w:val="ListBullet"/>
      </w:pPr>
      <w:r>
        <w:t>Implementing compensating controls until full remediation can be completed.</w:t>
      </w:r>
    </w:p>
    <w:p>
      <w:r>
        <w:t>6.2. The remediation plan must identify:</w:t>
      </w:r>
    </w:p>
    <w:p>
      <w:pPr>
        <w:pStyle w:val="ListBullet"/>
      </w:pPr>
      <w:r>
        <w:t>Affected systems.</w:t>
      </w:r>
    </w:p>
    <w:p>
      <w:pPr>
        <w:pStyle w:val="ListBullet"/>
      </w:pPr>
      <w:r>
        <w:t>Implementation owner.</w:t>
      </w:r>
    </w:p>
    <w:p>
      <w:pPr>
        <w:pStyle w:val="ListBullet"/>
      </w:pPr>
      <w:r>
        <w:t>Required approvals.</w:t>
      </w:r>
    </w:p>
    <w:p>
      <w:pPr>
        <w:pStyle w:val="ListBullet"/>
      </w:pPr>
      <w:r>
        <w:t>Testing approach.</w:t>
      </w:r>
    </w:p>
    <w:p>
      <w:pPr>
        <w:pStyle w:val="ListBullet"/>
      </w:pPr>
      <w:r>
        <w:t>Maintenance window.</w:t>
      </w:r>
    </w:p>
    <w:p>
      <w:pPr>
        <w:pStyle w:val="ListBullet"/>
      </w:pPr>
      <w:r>
        <w:t>Expected downtime or user impact.</w:t>
      </w:r>
    </w:p>
    <w:p>
      <w:pPr>
        <w:pStyle w:val="ListBullet"/>
      </w:pPr>
      <w:r>
        <w:t>Backup or snapshot requirements.</w:t>
      </w:r>
    </w:p>
    <w:p>
      <w:pPr>
        <w:pStyle w:val="ListBullet"/>
      </w:pPr>
      <w:r>
        <w:t>Rollback plan.</w:t>
      </w:r>
    </w:p>
    <w:p>
      <w:pPr>
        <w:pStyle w:val="ListBullet"/>
      </w:pPr>
      <w:r>
        <w:t>Communication requirements.</w:t>
      </w:r>
    </w:p>
    <w:p>
      <w:pPr>
        <w:pStyle w:val="ListBullet"/>
      </w:pPr>
      <w:r>
        <w:t>Post-implementation validation steps.</w:t>
      </w:r>
    </w:p>
    <w:p>
      <w:r>
        <w:t>6.3. If remediation requires a major application upgrade or infrastructure change, the Technical Custodian must ensure that the change follows the organisation’s change management process.</w:t>
      </w:r>
    </w:p>
    <w:p>
      <w:pPr>
        <w:pStyle w:val="ListBullet"/>
      </w:pPr>
      <w:r>
        <w:t>Prepare test environment</w:t>
      </w:r>
    </w:p>
    <w:p>
      <w:r>
        <w:t>7.1. Patches must be tested in a non-production environment that reasonably represents the production SWIFT environment.</w:t>
      </w:r>
    </w:p>
    <w:p>
      <w:r>
        <w:t>7.2. Where a like-for-like test environment is not available, the Technical Custodian must document the limitation and perform alternative testing, such as vendor validation, staged rollout, isolated clone testing, appliance standby testing, or controlled production validation.</w:t>
      </w:r>
    </w:p>
    <w:p>
      <w:r>
        <w:t>7.3. The test environment must include relevant dependencies where practical, including authentication, network paths, databases, middleware, monitoring agents, backup agents, EDR, and logging.</w:t>
      </w:r>
    </w:p>
    <w:p>
      <w:r>
        <w:t>7.4. Before applying the patch in test, capture current version, configuration, service status, and baseline functional results.</w:t>
      </w:r>
    </w:p>
    <w:p>
      <w:pPr>
        <w:pStyle w:val="ListBullet"/>
      </w:pPr>
      <w:r>
        <w:t>Test the patch or remediation</w:t>
      </w:r>
    </w:p>
    <w:p>
      <w:r>
        <w:t>8.1. The Technical Custodian must apply the patch or remediation in the test environment using the intended production method.</w:t>
      </w:r>
    </w:p>
    <w:p>
      <w:r>
        <w:t>8.2. Testing must include technical checks, application checks, and security checks.</w:t>
      </w:r>
    </w:p>
    <w:tbl>
      <w:tblPr>
        <w:tblStyle w:val="TableGrid"/>
        <w:tblW w:type="auto" w:w="0"/>
        <w:tblLook w:firstColumn="1" w:firstRow="1" w:lastColumn="0" w:lastRow="0" w:noHBand="0" w:noVBand="1" w:val="04A0"/>
      </w:tblPr>
      <w:tblGrid>
        <w:gridCol w:w="2880"/>
        <w:gridCol w:w="2880"/>
        <w:gridCol w:w="2880"/>
      </w:tblGrid>
      <w:tr>
        <w:tc>
          <w:tcPr>
            <w:tcW w:type="dxa" w:w="2880"/>
          </w:tcPr>
          <w:p>
            <w:r>
              <w:t>Test Area</w:t>
            </w:r>
          </w:p>
        </w:tc>
        <w:tc>
          <w:tcPr>
            <w:tcW w:type="dxa" w:w="2880"/>
          </w:tcPr>
          <w:p>
            <w:r>
              <w:t>Minimum Test Activities</w:t>
            </w:r>
          </w:p>
        </w:tc>
        <w:tc>
          <w:tcPr>
            <w:tcW w:type="dxa" w:w="2880"/>
          </w:tcPr>
          <w:p>
            <w:r>
              <w:t>Evidence Required</w:t>
            </w:r>
          </w:p>
        </w:tc>
      </w:tr>
      <w:tr>
        <w:tc>
          <w:tcPr>
            <w:tcW w:type="dxa" w:w="2880"/>
          </w:tcPr>
          <w:p>
            <w:r>
              <w:t>Installation</w:t>
            </w:r>
          </w:p>
        </w:tc>
        <w:tc>
          <w:tcPr>
            <w:tcW w:type="dxa" w:w="2880"/>
          </w:tcPr>
          <w:p>
            <w:r>
              <w:t>Confirm patch installs successfully and required services restart</w:t>
            </w:r>
          </w:p>
        </w:tc>
        <w:tc>
          <w:tcPr>
            <w:tcW w:type="dxa" w:w="2880"/>
          </w:tcPr>
          <w:p>
            <w:r>
              <w:t>Installation log or screenshot</w:t>
            </w:r>
          </w:p>
        </w:tc>
      </w:tr>
      <w:tr>
        <w:tc>
          <w:tcPr>
            <w:tcW w:type="dxa" w:w="2880"/>
          </w:tcPr>
          <w:p>
            <w:r>
              <w:t>Version validation</w:t>
            </w:r>
          </w:p>
        </w:tc>
        <w:tc>
          <w:tcPr>
            <w:tcW w:type="dxa" w:w="2880"/>
          </w:tcPr>
          <w:p>
            <w:r>
              <w:t>Confirm corrected version, build, package, or configuration</w:t>
            </w:r>
          </w:p>
        </w:tc>
        <w:tc>
          <w:tcPr>
            <w:tcW w:type="dxa" w:w="2880"/>
          </w:tcPr>
          <w:p>
            <w:r>
              <w:t>Version output or scanner result</w:t>
            </w:r>
          </w:p>
        </w:tc>
      </w:tr>
      <w:tr>
        <w:tc>
          <w:tcPr>
            <w:tcW w:type="dxa" w:w="2880"/>
          </w:tcPr>
          <w:p>
            <w:r>
              <w:t>SWIFT application functionality</w:t>
            </w:r>
          </w:p>
        </w:tc>
        <w:tc>
          <w:tcPr>
            <w:tcW w:type="dxa" w:w="2880"/>
          </w:tcPr>
          <w:p>
            <w:r>
              <w:t>Confirm relevant SWIFT services and application screens operate normally</w:t>
            </w:r>
          </w:p>
        </w:tc>
        <w:tc>
          <w:tcPr>
            <w:tcW w:type="dxa" w:w="2880"/>
          </w:tcPr>
          <w:p>
            <w:r>
              <w:t>Test script result or sign-off</w:t>
            </w:r>
          </w:p>
        </w:tc>
      </w:tr>
      <w:tr>
        <w:tc>
          <w:tcPr>
            <w:tcW w:type="dxa" w:w="2880"/>
          </w:tcPr>
          <w:p>
            <w:r>
              <w:t>Messaging workflow</w:t>
            </w:r>
          </w:p>
        </w:tc>
        <w:tc>
          <w:tcPr>
            <w:tcW w:type="dxa" w:w="2880"/>
          </w:tcPr>
          <w:p>
            <w:r>
              <w:t>Test message creation, approval, release, transmission, receipt, or applicable equivalent</w:t>
            </w:r>
          </w:p>
        </w:tc>
        <w:tc>
          <w:tcPr>
            <w:tcW w:type="dxa" w:w="2880"/>
          </w:tcPr>
          <w:p>
            <w:r>
              <w:t>Test result record</w:t>
            </w:r>
          </w:p>
        </w:tc>
      </w:tr>
      <w:tr>
        <w:tc>
          <w:tcPr>
            <w:tcW w:type="dxa" w:w="2880"/>
          </w:tcPr>
          <w:p>
            <w:r>
              <w:t>Connectivity</w:t>
            </w:r>
          </w:p>
        </w:tc>
        <w:tc>
          <w:tcPr>
            <w:tcW w:type="dxa" w:w="2880"/>
          </w:tcPr>
          <w:p>
            <w:r>
              <w:t>Confirm connectivity to SWIFT, internal systems, databases, monitoring, and administration paths</w:t>
            </w:r>
          </w:p>
        </w:tc>
        <w:tc>
          <w:tcPr>
            <w:tcW w:type="dxa" w:w="2880"/>
          </w:tcPr>
          <w:p>
            <w:r>
              <w:t>Connectivity test evidence</w:t>
            </w:r>
          </w:p>
        </w:tc>
      </w:tr>
      <w:tr>
        <w:tc>
          <w:tcPr>
            <w:tcW w:type="dxa" w:w="2880"/>
          </w:tcPr>
          <w:p>
            <w:r>
              <w:t>Authentication</w:t>
            </w:r>
          </w:p>
        </w:tc>
        <w:tc>
          <w:tcPr>
            <w:tcW w:type="dxa" w:w="2880"/>
          </w:tcPr>
          <w:p>
            <w:r>
              <w:t>Confirm operator and administrator authentication, MFA, and privileged access</w:t>
            </w:r>
          </w:p>
        </w:tc>
        <w:tc>
          <w:tcPr>
            <w:tcW w:type="dxa" w:w="2880"/>
          </w:tcPr>
          <w:p>
            <w:r>
              <w:t>Test result record</w:t>
            </w:r>
          </w:p>
        </w:tc>
      </w:tr>
      <w:tr>
        <w:tc>
          <w:tcPr>
            <w:tcW w:type="dxa" w:w="2880"/>
          </w:tcPr>
          <w:p>
            <w:r>
              <w:t>Security tooling</w:t>
            </w:r>
          </w:p>
        </w:tc>
        <w:tc>
          <w:tcPr>
            <w:tcW w:type="dxa" w:w="2880"/>
          </w:tcPr>
          <w:p>
            <w:r>
              <w:t>Confirm EDR, anti-malware, logging, SIEM forwarding, backup agent, and monitoring remain active</w:t>
            </w:r>
          </w:p>
        </w:tc>
        <w:tc>
          <w:tcPr>
            <w:tcW w:type="dxa" w:w="2880"/>
          </w:tcPr>
          <w:p>
            <w:r>
              <w:t>Tool status screenshot or log</w:t>
            </w:r>
          </w:p>
        </w:tc>
      </w:tr>
      <w:tr>
        <w:tc>
          <w:tcPr>
            <w:tcW w:type="dxa" w:w="2880"/>
          </w:tcPr>
          <w:p>
            <w:r>
              <w:t>Performance</w:t>
            </w:r>
          </w:p>
        </w:tc>
        <w:tc>
          <w:tcPr>
            <w:tcW w:type="dxa" w:w="2880"/>
          </w:tcPr>
          <w:p>
            <w:r>
              <w:t>Confirm no material degradation or resource exhaustion</w:t>
            </w:r>
          </w:p>
        </w:tc>
        <w:tc>
          <w:tcPr>
            <w:tcW w:type="dxa" w:w="2880"/>
          </w:tcPr>
          <w:p>
            <w:r>
              <w:t>Monitoring output</w:t>
            </w:r>
          </w:p>
        </w:tc>
      </w:tr>
      <w:tr>
        <w:tc>
          <w:tcPr>
            <w:tcW w:type="dxa" w:w="2880"/>
          </w:tcPr>
          <w:p>
            <w:r>
              <w:t>Rollback</w:t>
            </w:r>
          </w:p>
        </w:tc>
        <w:tc>
          <w:tcPr>
            <w:tcW w:type="dxa" w:w="2880"/>
          </w:tcPr>
          <w:p>
            <w:r>
              <w:t>Confirm rollback method is available and understood</w:t>
            </w:r>
          </w:p>
        </w:tc>
        <w:tc>
          <w:tcPr>
            <w:tcW w:type="dxa" w:w="2880"/>
          </w:tcPr>
          <w:p>
            <w:r>
              <w:t>Rollback plan or recovery evidence</w:t>
            </w:r>
          </w:p>
        </w:tc>
      </w:tr>
    </w:tbl>
    <w:p>
      <w:r>
        <w:t>8.3. Test failures must be recorded and investigated before production deployment.</w:t>
      </w:r>
    </w:p>
    <w:p>
      <w:r>
        <w:t>8.4. If a patch is unsuitable because it causes unacceptable operational impact, the Technical Custodian must document the issue and propose either an alternative remediation, compensating control, or exception.</w:t>
      </w:r>
    </w:p>
    <w:p>
      <w:r>
        <w:t>8.5. Information Security must review compensating controls for Critical and High vulnerabilities before acceptance.</w:t>
      </w:r>
    </w:p>
    <w:p>
      <w:pPr>
        <w:pStyle w:val="ListBullet"/>
      </w:pPr>
      <w:r>
        <w:t>Raise and approve the production change</w:t>
      </w:r>
    </w:p>
    <w:p>
      <w:r>
        <w:t>9.1. The Technical Custodian must raise a production change in [Change Management System] before deploying patches to production, except where an approved emergency change process is invoked.</w:t>
      </w:r>
    </w:p>
    <w:p>
      <w:r>
        <w:t>9.2. The change record must include:</w:t>
      </w:r>
    </w:p>
    <w:p>
      <w:pPr>
        <w:pStyle w:val="ListBullet"/>
      </w:pPr>
      <w:r>
        <w:t>Vulnerability or patch reference.</w:t>
      </w:r>
    </w:p>
    <w:p>
      <w:pPr>
        <w:pStyle w:val="ListBullet"/>
      </w:pPr>
      <w:r>
        <w:t>Affected systems.</w:t>
      </w:r>
    </w:p>
    <w:p>
      <w:pPr>
        <w:pStyle w:val="ListBullet"/>
      </w:pPr>
      <w:r>
        <w:t>Business and SWIFT operational impact.</w:t>
      </w:r>
    </w:p>
    <w:p>
      <w:pPr>
        <w:pStyle w:val="ListBullet"/>
      </w:pPr>
      <w:r>
        <w:t>Implementation steps.</w:t>
      </w:r>
    </w:p>
    <w:p>
      <w:pPr>
        <w:pStyle w:val="ListBullet"/>
      </w:pPr>
      <w:r>
        <w:t>Test evidence.</w:t>
      </w:r>
    </w:p>
    <w:p>
      <w:pPr>
        <w:pStyle w:val="ListBullet"/>
      </w:pPr>
      <w:r>
        <w:t>Backup or snapshot confirmation.</w:t>
      </w:r>
    </w:p>
    <w:p>
      <w:pPr>
        <w:pStyle w:val="ListBullet"/>
      </w:pPr>
      <w:r>
        <w:t>Rollback plan.</w:t>
      </w:r>
    </w:p>
    <w:p>
      <w:pPr>
        <w:pStyle w:val="ListBullet"/>
      </w:pPr>
      <w:r>
        <w:t>Implementation window.</w:t>
      </w:r>
    </w:p>
    <w:p>
      <w:pPr>
        <w:pStyle w:val="ListBullet"/>
      </w:pPr>
      <w:r>
        <w:t>Communications plan.</w:t>
      </w:r>
    </w:p>
    <w:p>
      <w:pPr>
        <w:pStyle w:val="ListBullet"/>
      </w:pPr>
      <w:r>
        <w:t>Post-implementation validation steps.</w:t>
      </w:r>
    </w:p>
    <w:p>
      <w:pPr>
        <w:pStyle w:val="ListBullet"/>
      </w:pPr>
      <w:r>
        <w:t>Required approvers.</w:t>
      </w:r>
    </w:p>
    <w:p>
      <w:r>
        <w:t>9.3. Standard patching may use pre-approved change templates where the risk, method, and maintenance window have been reviewed and approved in advance.</w:t>
      </w:r>
    </w:p>
    <w:p>
      <w:r>
        <w:t>9.4. Critical security patches may follow the emergency change route when delay would create unacceptable security exposure.</w:t>
      </w:r>
    </w:p>
    <w:p>
      <w:r>
        <w:t>9.5. No patch may be deployed to production without a documented rollback or recovery approach unless explicitly approved by the Information Security Manager and relevant Technology Owner.</w:t>
      </w:r>
    </w:p>
    <w:p>
      <w:pPr>
        <w:pStyle w:val="ListBullet"/>
      </w:pPr>
      <w:r>
        <w:t>Communicate planned patching</w:t>
      </w:r>
    </w:p>
    <w:p>
      <w:r>
        <w:t>10.1. The Technical Custodian must notify affected stakeholders before production patching, including:</w:t>
      </w:r>
    </w:p>
    <w:p>
      <w:pPr>
        <w:pStyle w:val="ListBullet"/>
      </w:pPr>
      <w:r>
        <w:t>SWIFT Operations.</w:t>
      </w:r>
    </w:p>
    <w:p>
      <w:pPr>
        <w:pStyle w:val="ListBullet"/>
      </w:pPr>
      <w:r>
        <w:t>Payment Operations.</w:t>
      </w:r>
    </w:p>
    <w:p>
      <w:pPr>
        <w:pStyle w:val="ListBullet"/>
      </w:pPr>
      <w:r>
        <w:t>Information Security.</w:t>
      </w:r>
    </w:p>
    <w:p>
      <w:pPr>
        <w:pStyle w:val="ListBullet"/>
      </w:pPr>
      <w:r>
        <w:t>Security Operations Centre.</w:t>
      </w:r>
    </w:p>
    <w:p>
      <w:pPr>
        <w:pStyle w:val="ListBullet"/>
      </w:pPr>
      <w:r>
        <w:t>Service Desk.</w:t>
      </w:r>
    </w:p>
    <w:p>
      <w:pPr>
        <w:pStyle w:val="ListBullet"/>
      </w:pPr>
      <w:r>
        <w:t>Application Owners.</w:t>
      </w:r>
    </w:p>
    <w:p>
      <w:pPr>
        <w:pStyle w:val="ListBullet"/>
      </w:pPr>
      <w:r>
        <w:t>Infrastructure and Network teams.</w:t>
      </w:r>
    </w:p>
    <w:p>
      <w:pPr>
        <w:pStyle w:val="ListBullet"/>
      </w:pPr>
      <w:r>
        <w:t>Third-party providers, where applicable.</w:t>
      </w:r>
    </w:p>
    <w:p>
      <w:r>
        <w:t>10.2. Communications must include:</w:t>
      </w:r>
    </w:p>
    <w:p>
      <w:pPr>
        <w:pStyle w:val="ListBullet"/>
      </w:pPr>
      <w:r>
        <w:t>Systems affected.</w:t>
      </w:r>
    </w:p>
    <w:p>
      <w:pPr>
        <w:pStyle w:val="ListBullet"/>
      </w:pPr>
      <w:r>
        <w:t>Date and time of implementation.</w:t>
      </w:r>
    </w:p>
    <w:p>
      <w:pPr>
        <w:pStyle w:val="ListBullet"/>
      </w:pPr>
      <w:r>
        <w:t>Expected downtime or service risk.</w:t>
      </w:r>
    </w:p>
    <w:p>
      <w:pPr>
        <w:pStyle w:val="ListBullet"/>
      </w:pPr>
      <w:r>
        <w:t>User actions required, if any.</w:t>
      </w:r>
    </w:p>
    <w:p>
      <w:pPr>
        <w:pStyle w:val="ListBullet"/>
      </w:pPr>
      <w:r>
        <w:t>Monitoring arrangements.</w:t>
      </w:r>
    </w:p>
    <w:p>
      <w:pPr>
        <w:pStyle w:val="ListBullet"/>
      </w:pPr>
      <w:r>
        <w:t>Escalation contact.</w:t>
      </w:r>
    </w:p>
    <w:p>
      <w:pPr>
        <w:pStyle w:val="ListBullet"/>
      </w:pPr>
      <w:r>
        <w:t>Rollback decision point.</w:t>
      </w:r>
    </w:p>
    <w:p>
      <w:r>
        <w:t>10.3. For patches that may affect payment cut-off times, message transmission, settlement processing, or customer obligations, the SWIFT Operations Manager must confirm that the implementation window is operationally acceptable.</w:t>
      </w:r>
    </w:p>
    <w:p>
      <w:pPr>
        <w:pStyle w:val="ListBullet"/>
      </w:pPr>
      <w:r>
        <w:t>Back up and prepare for production deployment</w:t>
      </w:r>
    </w:p>
    <w:p>
      <w:r>
        <w:t>11.1. Before patching production systems, the Technical Custodian must confirm that backups, snapshots, configuration exports, or recovery points are available and recent.</w:t>
      </w:r>
    </w:p>
    <w:p>
      <w:r>
        <w:t>11.2. Minimum preparation requirements are:</w:t>
      </w:r>
    </w:p>
    <w:tbl>
      <w:tblPr>
        <w:tblStyle w:val="TableGrid"/>
        <w:tblW w:type="auto" w:w="0"/>
        <w:tblLook w:firstColumn="1" w:firstRow="1" w:lastColumn="0" w:lastRow="0" w:noHBand="0" w:noVBand="1" w:val="04A0"/>
      </w:tblPr>
      <w:tblGrid>
        <w:gridCol w:w="4320"/>
        <w:gridCol w:w="4320"/>
      </w:tblGrid>
      <w:tr>
        <w:tc>
          <w:tcPr>
            <w:tcW w:type="dxa" w:w="4320"/>
          </w:tcPr>
          <w:p>
            <w:r>
              <w:t>Asset Type</w:t>
            </w:r>
          </w:p>
        </w:tc>
        <w:tc>
          <w:tcPr>
            <w:tcW w:type="dxa" w:w="4320"/>
          </w:tcPr>
          <w:p>
            <w:r>
              <w:t>Minimum Preparation</w:t>
            </w:r>
          </w:p>
        </w:tc>
      </w:tr>
      <w:tr>
        <w:tc>
          <w:tcPr>
            <w:tcW w:type="dxa" w:w="4320"/>
          </w:tcPr>
          <w:p>
            <w:r>
              <w:t>Server or virtual machine</w:t>
            </w:r>
          </w:p>
        </w:tc>
        <w:tc>
          <w:tcPr>
            <w:tcW w:type="dxa" w:w="4320"/>
          </w:tcPr>
          <w:p>
            <w:r>
              <w:t>Confirm recent backup or create snapshot where supported</w:t>
            </w:r>
          </w:p>
        </w:tc>
      </w:tr>
      <w:tr>
        <w:tc>
          <w:tcPr>
            <w:tcW w:type="dxa" w:w="4320"/>
          </w:tcPr>
          <w:p>
            <w:r>
              <w:t>Database</w:t>
            </w:r>
          </w:p>
        </w:tc>
        <w:tc>
          <w:tcPr>
            <w:tcW w:type="dxa" w:w="4320"/>
          </w:tcPr>
          <w:p>
            <w:r>
              <w:t>Confirm database backup and recovery procedure</w:t>
            </w:r>
          </w:p>
        </w:tc>
      </w:tr>
      <w:tr>
        <w:tc>
          <w:tcPr>
            <w:tcW w:type="dxa" w:w="4320"/>
          </w:tcPr>
          <w:p>
            <w:r>
              <w:t>Network device</w:t>
            </w:r>
          </w:p>
        </w:tc>
        <w:tc>
          <w:tcPr>
            <w:tcW w:type="dxa" w:w="4320"/>
          </w:tcPr>
          <w:p>
            <w:r>
              <w:t>Export running and startup configuration</w:t>
            </w:r>
          </w:p>
        </w:tc>
      </w:tr>
      <w:tr>
        <w:tc>
          <w:tcPr>
            <w:tcW w:type="dxa" w:w="4320"/>
          </w:tcPr>
          <w:p>
            <w:r>
              <w:t>Security appliance</w:t>
            </w:r>
          </w:p>
        </w:tc>
        <w:tc>
          <w:tcPr>
            <w:tcW w:type="dxa" w:w="4320"/>
          </w:tcPr>
          <w:p>
            <w:r>
              <w:t>Export configuration and confirm management access</w:t>
            </w:r>
          </w:p>
        </w:tc>
      </w:tr>
      <w:tr>
        <w:tc>
          <w:tcPr>
            <w:tcW w:type="dxa" w:w="4320"/>
          </w:tcPr>
          <w:p>
            <w:r>
              <w:t>SWIFT application component</w:t>
            </w:r>
          </w:p>
        </w:tc>
        <w:tc>
          <w:tcPr>
            <w:tcW w:type="dxa" w:w="4320"/>
          </w:tcPr>
          <w:p>
            <w:r>
              <w:t>Confirm application backup, configuration backup, and vendor recovery guidance</w:t>
            </w:r>
          </w:p>
        </w:tc>
      </w:tr>
      <w:tr>
        <w:tc>
          <w:tcPr>
            <w:tcW w:type="dxa" w:w="4320"/>
          </w:tcPr>
          <w:p>
            <w:r>
              <w:t>Workstation</w:t>
            </w:r>
          </w:p>
        </w:tc>
        <w:tc>
          <w:tcPr>
            <w:tcW w:type="dxa" w:w="4320"/>
          </w:tcPr>
          <w:p>
            <w:r>
              <w:t>Confirm restore method or standard rebuild procedure</w:t>
            </w:r>
          </w:p>
        </w:tc>
      </w:tr>
      <w:tr>
        <w:tc>
          <w:tcPr>
            <w:tcW w:type="dxa" w:w="4320"/>
          </w:tcPr>
          <w:p>
            <w:r>
              <w:t>Cloud-hosted component</w:t>
            </w:r>
          </w:p>
        </w:tc>
        <w:tc>
          <w:tcPr>
            <w:tcW w:type="dxa" w:w="4320"/>
          </w:tcPr>
          <w:p>
            <w:r>
              <w:t>Confirm snapshot, image, infrastructure-as-code state, or provider rollback method</w:t>
            </w:r>
          </w:p>
        </w:tc>
      </w:tr>
    </w:tbl>
    <w:p>
      <w:r>
        <w:t>11.3. The Technical Custodian must confirm sufficient disk space, required dependencies, administrative access, and vendor instructions before implementation.</w:t>
      </w:r>
    </w:p>
    <w:p>
      <w:r>
        <w:t>11.4. The Security Operations Centre must be notified before significant SWIFT-related patching begins so that planned activity is not mistaken for malicious activity and so that enhanced monitoring can be applied.</w:t>
      </w:r>
    </w:p>
    <w:p>
      <w:pPr>
        <w:pStyle w:val="ListBullet"/>
      </w:pPr>
      <w:r>
        <w:t>Deploy the patch or remediation</w:t>
      </w:r>
    </w:p>
    <w:p>
      <w:r>
        <w:t>12.1. The Technical Custodian must deploy patches according to the approved change record.</w:t>
      </w:r>
    </w:p>
    <w:p>
      <w:r>
        <w:t>12.2. Patching must follow the principle of controlled rollout, prioritising:</w:t>
      </w:r>
    </w:p>
    <w:p>
      <w:pPr>
        <w:pStyle w:val="ListBullet"/>
      </w:pPr>
      <w:r>
        <w:t>Non-production before production.</w:t>
      </w:r>
    </w:p>
    <w:p>
      <w:pPr>
        <w:pStyle w:val="ListBullet"/>
      </w:pPr>
      <w:r>
        <w:t>Standby or secondary nodes before active nodes, where applicable.</w:t>
      </w:r>
    </w:p>
    <w:p>
      <w:pPr>
        <w:pStyle w:val="ListBullet"/>
      </w:pPr>
      <w:r>
        <w:t>Lower-risk production systems before critical production systems, where feasible.</w:t>
      </w:r>
    </w:p>
    <w:p>
      <w:pPr>
        <w:pStyle w:val="ListBullet"/>
      </w:pPr>
      <w:r>
        <w:t>Management and monitoring continuity throughout the activity.</w:t>
      </w:r>
    </w:p>
    <w:p>
      <w:r>
        <w:t>12.3. For clustered, highly available, or disaster recovery systems, the Technical Custodian must ensure that failover, replication, and synchronisation are not adversely affected.</w:t>
      </w:r>
    </w:p>
    <w:p>
      <w:r>
        <w:t>12.4. For network and security devices, administrative access must be maintained through a secure out-of-band or fallback path where available.</w:t>
      </w:r>
    </w:p>
    <w:p>
      <w:r>
        <w:t>12.5. For operator workstations, patching must preserve hardening settings, endpoint protection, restricted access controls, and application allowlisting.</w:t>
      </w:r>
    </w:p>
    <w:p>
      <w:r>
        <w:t>12.6. For SWIFT application components, vendor guidance and internal runbooks must be followed, including any required service stop/start sequence.</w:t>
      </w:r>
    </w:p>
    <w:p>
      <w:r>
        <w:t>12.7. Any deviation from the approved implementation plan must be recorded in the change record and escalated to the Change Manager when it affects risk, scope, timing, or rollback.</w:t>
      </w:r>
    </w:p>
    <w:p>
      <w:pPr>
        <w:pStyle w:val="ListBullet"/>
      </w:pPr>
      <w:r>
        <w:t>Perform post-deployment validation</w:t>
      </w:r>
    </w:p>
    <w:p>
      <w:r>
        <w:t>13.1. Immediately after deployment, the Technical Custodian must verify that the patch or remediation was successful.</w:t>
      </w:r>
    </w:p>
    <w:p>
      <w:r>
        <w:t>13.2. Post-deployment validation must include:</w:t>
      </w:r>
    </w:p>
    <w:p>
      <w:pPr>
        <w:pStyle w:val="ListBullet"/>
      </w:pPr>
      <w:r>
        <w:t>Confirming the system is available.</w:t>
      </w:r>
    </w:p>
    <w:p>
      <w:pPr>
        <w:pStyle w:val="ListBullet"/>
      </w:pPr>
      <w:r>
        <w:t>Confirming services have restarted successfully.</w:t>
      </w:r>
    </w:p>
    <w:p>
      <w:pPr>
        <w:pStyle w:val="ListBullet"/>
      </w:pPr>
      <w:r>
        <w:t>Confirming the patch, version, firmware, package, or configuration has been applied.</w:t>
      </w:r>
    </w:p>
    <w:p>
      <w:pPr>
        <w:pStyle w:val="ListBullet"/>
      </w:pPr>
      <w:r>
        <w:t>Confirming SWIFT application functions remain operational.</w:t>
      </w:r>
    </w:p>
    <w:p>
      <w:pPr>
        <w:pStyle w:val="ListBullet"/>
      </w:pPr>
      <w:r>
        <w:t>Confirming connectivity to required internal and external services.</w:t>
      </w:r>
    </w:p>
    <w:p>
      <w:pPr>
        <w:pStyle w:val="ListBullet"/>
      </w:pPr>
      <w:r>
        <w:t>Confirming logging, monitoring, EDR, anti-malware, backup, and alerting remain active.</w:t>
      </w:r>
    </w:p>
    <w:p>
      <w:pPr>
        <w:pStyle w:val="ListBullet"/>
      </w:pPr>
      <w:r>
        <w:t>Reviewing system, application, and security logs for errors.</w:t>
      </w:r>
    </w:p>
    <w:p>
      <w:pPr>
        <w:pStyle w:val="ListBullet"/>
      </w:pPr>
      <w:r>
        <w:t>Confirming no unexpected privileged access, service account, certificate, or authentication issue has occurred.</w:t>
      </w:r>
    </w:p>
    <w:p>
      <w:pPr>
        <w:pStyle w:val="ListBullet"/>
      </w:pPr>
      <w:r>
        <w:t>Confirming operational acceptance from SWIFT Operations where applicable.</w:t>
      </w:r>
    </w:p>
    <w:p>
      <w:r>
        <w:t>13.3. For Critical and High vulnerabilities, the Vulnerability Management Team must perform or schedule a validation scan, targeted check, or other verification method.</w:t>
      </w:r>
    </w:p>
    <w:p>
      <w:r>
        <w:t>13.4. The Security Operations Centre must monitor for suspicious activity following remediation, particularly where the vulnerability was actively exploited or exposed externally.</w:t>
      </w:r>
    </w:p>
    <w:p>
      <w:pPr>
        <w:pStyle w:val="ListBullet"/>
      </w:pPr>
      <w:r>
        <w:t>Decide whether to continue, rollback, or apply workaround</w:t>
      </w:r>
    </w:p>
    <w:p>
      <w:r>
        <w:t>14.1. If post-deployment validation is successful, the Technical Custodian may proceed with remaining systems according to the approved rollout plan.</w:t>
      </w:r>
    </w:p>
    <w:p>
      <w:r>
        <w:t>14.2. If the patch causes instability, service interruption, failed SWIFT functionality, authentication failure, monitoring failure, or unacceptable operational impact, the Technical Custodian must consult the Change Manager, SWIFT Operations Manager, and Information Security Manager.</w:t>
      </w:r>
    </w:p>
    <w:p>
      <w:r>
        <w:t>14.3. A rollback decision must be made using the criteria in the change record. Rollback must be initiated where:</w:t>
      </w:r>
    </w:p>
    <w:p>
      <w:pPr>
        <w:pStyle w:val="ListBullet"/>
      </w:pPr>
      <w:r>
        <w:t>SWIFT messaging capability is materially impaired.</w:t>
      </w:r>
    </w:p>
    <w:p>
      <w:pPr>
        <w:pStyle w:val="ListBullet"/>
      </w:pPr>
      <w:r>
        <w:t>Security monitoring or access control is materially impaired.</w:t>
      </w:r>
    </w:p>
    <w:p>
      <w:pPr>
        <w:pStyle w:val="ListBullet"/>
      </w:pPr>
      <w:r>
        <w:t>The system cannot be restored to stable operation within the approved window.</w:t>
      </w:r>
    </w:p>
    <w:p>
      <w:pPr>
        <w:pStyle w:val="ListBullet"/>
      </w:pPr>
      <w:r>
        <w:t>Payment operations are at risk of missing critical deadlines.</w:t>
      </w:r>
    </w:p>
    <w:p>
      <w:pPr>
        <w:pStyle w:val="ListBullet"/>
      </w:pPr>
      <w:r>
        <w:t>The remediation introduces a higher risk than the vulnerability being addressed.</w:t>
      </w:r>
    </w:p>
    <w:p>
      <w:r>
        <w:t>14.4. If rollback is performed, the vulnerability record must remain open and an alternative remediation or compensating control must be defined.</w:t>
      </w:r>
    </w:p>
    <w:p>
      <w:r>
        <w:t>14.5. Any emergency workaround must be documented, time-bound, risk-assessed, and approved by Information Security.</w:t>
      </w:r>
    </w:p>
    <w:p>
      <w:pPr>
        <w:pStyle w:val="ListBullet"/>
      </w:pPr>
      <w:r>
        <w:t>Implement compensating controls where immediate patching is not possible</w:t>
      </w:r>
    </w:p>
    <w:p>
      <w:r>
        <w:t>15.1. If a patch cannot be applied within the target remediation timeline, the Technical Custodian must propose compensating controls.</w:t>
      </w:r>
    </w:p>
    <w:p>
      <w:r>
        <w:t>15.2. Compensating controls may include:</w:t>
      </w:r>
    </w:p>
    <w:p>
      <w:pPr>
        <w:pStyle w:val="ListBullet"/>
      </w:pPr>
      <w:r>
        <w:t>Disabling vulnerable services, modules, or protocols.</w:t>
      </w:r>
    </w:p>
    <w:p>
      <w:pPr>
        <w:pStyle w:val="ListBullet"/>
      </w:pPr>
      <w:r>
        <w:t>Restricting access using firewall rules, access control lists, or network segmentation.</w:t>
      </w:r>
    </w:p>
    <w:p>
      <w:pPr>
        <w:pStyle w:val="ListBullet"/>
      </w:pPr>
      <w:r>
        <w:t>Blocking indicators of compromise.</w:t>
      </w:r>
    </w:p>
    <w:p>
      <w:pPr>
        <w:pStyle w:val="ListBullet"/>
      </w:pPr>
      <w:r>
        <w:t>Increasing monitoring and alerting.</w:t>
      </w:r>
    </w:p>
    <w:p>
      <w:pPr>
        <w:pStyle w:val="ListBullet"/>
      </w:pPr>
      <w:r>
        <w:t>Applying virtual patching through web application firewalls, intrusion prevention systems, or endpoint protection tools.</w:t>
      </w:r>
    </w:p>
    <w:p>
      <w:pPr>
        <w:pStyle w:val="ListBullet"/>
      </w:pPr>
      <w:r>
        <w:t>Removing internet exposure.</w:t>
      </w:r>
    </w:p>
    <w:p>
      <w:pPr>
        <w:pStyle w:val="ListBullet"/>
      </w:pPr>
      <w:r>
        <w:t>Enforcing MFA or additional access restrictions.</w:t>
      </w:r>
    </w:p>
    <w:p>
      <w:pPr>
        <w:pStyle w:val="ListBullet"/>
      </w:pPr>
      <w:r>
        <w:t>Restricting privileged access to named administrators.</w:t>
      </w:r>
    </w:p>
    <w:p>
      <w:pPr>
        <w:pStyle w:val="ListBullet"/>
      </w:pPr>
      <w:r>
        <w:t>Increasing log review frequency.</w:t>
      </w:r>
    </w:p>
    <w:p>
      <w:pPr>
        <w:pStyle w:val="ListBullet"/>
      </w:pPr>
      <w:r>
        <w:t>Isolating or decommissioning the affected system.</w:t>
      </w:r>
    </w:p>
    <w:p>
      <w:pPr>
        <w:pStyle w:val="ListBullet"/>
      </w:pPr>
      <w:r>
        <w:t>Applying vendor-recommended mitigation steps.</w:t>
      </w:r>
    </w:p>
    <w:p>
      <w:r>
        <w:t>15.3. Compensating controls must be reviewed and approved by Information Security.</w:t>
      </w:r>
    </w:p>
    <w:p>
      <w:r>
        <w:t>15.4. Compensating controls for Critical and High vulnerabilities must include an expiry date and a confirmed plan for permanent remediation.</w:t>
      </w:r>
    </w:p>
    <w:p>
      <w:pPr>
        <w:pStyle w:val="ListBullet"/>
      </w:pPr>
      <w:r>
        <w:t>Close the vulnerability or patch record</w:t>
      </w:r>
    </w:p>
    <w:p>
      <w:r>
        <w:t>16.1. A vulnerability or patch record may be closed only when remediation has been verified.</w:t>
      </w:r>
    </w:p>
    <w:p>
      <w:r>
        <w:t>16.2. Closure evidence must include at least one of the following:</w:t>
      </w:r>
    </w:p>
    <w:p>
      <w:pPr>
        <w:pStyle w:val="ListBullet"/>
      </w:pPr>
      <w:r>
        <w:t>Successful authenticated vulnerability scan result.</w:t>
      </w:r>
    </w:p>
    <w:p>
      <w:pPr>
        <w:pStyle w:val="ListBullet"/>
      </w:pPr>
      <w:r>
        <w:t>Version or build confirmation.</w:t>
      </w:r>
    </w:p>
    <w:p>
      <w:pPr>
        <w:pStyle w:val="ListBullet"/>
      </w:pPr>
      <w:r>
        <w:t>Vendor tool confirmation.</w:t>
      </w:r>
    </w:p>
    <w:p>
      <w:pPr>
        <w:pStyle w:val="ListBullet"/>
      </w:pPr>
      <w:r>
        <w:t>Configuration evidence showing the vulnerable condition no longer exists.</w:t>
      </w:r>
    </w:p>
    <w:p>
      <w:pPr>
        <w:pStyle w:val="ListBullet"/>
      </w:pPr>
      <w:r>
        <w:t>Change completion record with validation results.</w:t>
      </w:r>
    </w:p>
    <w:p>
      <w:pPr>
        <w:pStyle w:val="ListBullet"/>
      </w:pPr>
      <w:r>
        <w:t>Third-party attestation or service report.</w:t>
      </w:r>
    </w:p>
    <w:p>
      <w:pPr>
        <w:pStyle w:val="ListBullet"/>
      </w:pPr>
      <w:r>
        <w:t>Decommissioning evidence.</w:t>
      </w:r>
    </w:p>
    <w:p>
      <w:r>
        <w:t>16.3. The Vulnerability Management Team must confirm that evidence is sufficient before closing Critical and High vulnerabilities.</w:t>
      </w:r>
    </w:p>
    <w:p>
      <w:r>
        <w:t>16.4. Closed records must include the remediation date, closure date, evidence location, and approver where applicable.</w:t>
      </w:r>
    </w:p>
    <w:p>
      <w:pPr>
        <w:pStyle w:val="ListBullet"/>
      </w:pPr>
      <w:r>
        <w:t>Handle emergency vulnerabilities</w:t>
      </w:r>
    </w:p>
    <w:p>
      <w:r>
        <w:t>17.1. Emergency handling must be invoked when a vulnerability presents immediate or imminent risk to the SWIFT environment.</w:t>
      </w:r>
    </w:p>
    <w:p>
      <w:r>
        <w:t>17.2. Examples include:</w:t>
      </w:r>
    </w:p>
    <w:p>
      <w:pPr>
        <w:pStyle w:val="ListBullet"/>
      </w:pPr>
      <w:r>
        <w:t>Active exploitation observed internally or reported by credible external sources.</w:t>
      </w:r>
    </w:p>
    <w:p>
      <w:pPr>
        <w:pStyle w:val="ListBullet"/>
      </w:pPr>
      <w:r>
        <w:t>Remote code execution affecting an exposed system.</w:t>
      </w:r>
    </w:p>
    <w:p>
      <w:pPr>
        <w:pStyle w:val="ListBullet"/>
      </w:pPr>
      <w:r>
        <w:t>Vulnerability affecting SWIFT interfaces, perimeter systems, VPN, identity services, privileged access platforms, EDR, SIEM, or firewalls.</w:t>
      </w:r>
    </w:p>
    <w:p>
      <w:pPr>
        <w:pStyle w:val="ListBullet"/>
      </w:pPr>
      <w:r>
        <w:t>Vendor or SWIFT notice requiring urgent action.</w:t>
      </w:r>
    </w:p>
    <w:p>
      <w:pPr>
        <w:pStyle w:val="ListBullet"/>
      </w:pPr>
      <w:r>
        <w:t>Evidence that a vulnerability could enable unauthorised payment message creation, approval, release, alteration, or suppression.</w:t>
      </w:r>
    </w:p>
    <w:p>
      <w:r>
        <w:t>17.3. The Security Operations Centre must notify the Information Security Manager, SWIFT Operations Manager, Technical Custodian, and Incident Response Lead as soon as practical.</w:t>
      </w:r>
    </w:p>
    <w:p>
      <w:r>
        <w:t>17.4. Emergency remediation may proceed under the emergency change process with expedited approval from [Emergency Change Approver Role].</w:t>
      </w:r>
    </w:p>
    <w:p>
      <w:r>
        <w:t>17.5. Testing must still be performed to the extent practical. Where full testing is not possible before deployment, enhanced post-deployment validation and monitoring must be applied.</w:t>
      </w:r>
    </w:p>
    <w:p>
      <w:r>
        <w:t>17.6. Emergency changes must be retrospectively documented and reviewed within five business days.</w:t>
      </w:r>
    </w:p>
    <w:p>
      <w:pPr>
        <w:pStyle w:val="ListBullet"/>
      </w:pPr>
      <w:r>
        <w:t>Report patch and vulnerability status</w:t>
      </w:r>
    </w:p>
    <w:p>
      <w:r>
        <w:t>18.1. The Vulnerability Management Team must prepare regular status reporting for SWIFT-related vulnerabilities.</w:t>
      </w:r>
    </w:p>
    <w:p>
      <w:r>
        <w:t>18.2. Reports must include: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Open vulnerabilities by severity</w:t>
            </w:r>
          </w:p>
        </w:tc>
        <w:tc>
          <w:tcPr>
            <w:tcW w:type="dxa" w:w="4320"/>
          </w:tcPr>
          <w:p>
            <w:r>
              <w:t>Count of Critical, High, Medium, and Low items</w:t>
            </w:r>
          </w:p>
        </w:tc>
      </w:tr>
      <w:tr>
        <w:tc>
          <w:tcPr>
            <w:tcW w:type="dxa" w:w="4320"/>
          </w:tcPr>
          <w:p>
            <w:r>
              <w:t>Overdue vulnerabilities</w:t>
            </w:r>
          </w:p>
        </w:tc>
        <w:tc>
          <w:tcPr>
            <w:tcW w:type="dxa" w:w="4320"/>
          </w:tcPr>
          <w:p>
            <w:r>
              <w:t>Items past target remediation date</w:t>
            </w:r>
          </w:p>
        </w:tc>
      </w:tr>
      <w:tr>
        <w:tc>
          <w:tcPr>
            <w:tcW w:type="dxa" w:w="4320"/>
          </w:tcPr>
          <w:p>
            <w:r>
              <w:t>Exception count</w:t>
            </w:r>
          </w:p>
        </w:tc>
        <w:tc>
          <w:tcPr>
            <w:tcW w:type="dxa" w:w="4320"/>
          </w:tcPr>
          <w:p>
            <w:r>
              <w:t>Approved exceptions and pending exception requests</w:t>
            </w:r>
          </w:p>
        </w:tc>
      </w:tr>
      <w:tr>
        <w:tc>
          <w:tcPr>
            <w:tcW w:type="dxa" w:w="4320"/>
          </w:tcPr>
          <w:p>
            <w:r>
              <w:t>Mean remediation time</w:t>
            </w:r>
          </w:p>
        </w:tc>
        <w:tc>
          <w:tcPr>
            <w:tcW w:type="dxa" w:w="4320"/>
          </w:tcPr>
          <w:p>
            <w:r>
              <w:t>Average time to remediate by severity</w:t>
            </w:r>
          </w:p>
        </w:tc>
      </w:tr>
      <w:tr>
        <w:tc>
          <w:tcPr>
            <w:tcW w:type="dxa" w:w="4320"/>
          </w:tcPr>
          <w:p>
            <w:r>
              <w:t>Critical and High ageing</w:t>
            </w:r>
          </w:p>
        </w:tc>
        <w:tc>
          <w:tcPr>
            <w:tcW w:type="dxa" w:w="4320"/>
          </w:tcPr>
          <w:p>
            <w:r>
              <w:t>Age of unresolved Critical and High items</w:t>
            </w:r>
          </w:p>
        </w:tc>
      </w:tr>
      <w:tr>
        <w:tc>
          <w:tcPr>
            <w:tcW w:type="dxa" w:w="4320"/>
          </w:tcPr>
          <w:p>
            <w:r>
              <w:t>Reopened vulnerabilities</w:t>
            </w:r>
          </w:p>
        </w:tc>
        <w:tc>
          <w:tcPr>
            <w:tcW w:type="dxa" w:w="4320"/>
          </w:tcPr>
          <w:p>
            <w:r>
              <w:t>Items previously closed but detected again</w:t>
            </w:r>
          </w:p>
        </w:tc>
      </w:tr>
      <w:tr>
        <w:tc>
          <w:tcPr>
            <w:tcW w:type="dxa" w:w="4320"/>
          </w:tcPr>
          <w:p>
            <w:r>
              <w:t>Unsupported assets</w:t>
            </w:r>
          </w:p>
        </w:tc>
        <w:tc>
          <w:tcPr>
            <w:tcW w:type="dxa" w:w="4320"/>
          </w:tcPr>
          <w:p>
            <w:r>
              <w:t>Assets requiring upgrade, replacement, or decommissioning</w:t>
            </w:r>
          </w:p>
        </w:tc>
      </w:tr>
      <w:tr>
        <w:tc>
          <w:tcPr>
            <w:tcW w:type="dxa" w:w="4320"/>
          </w:tcPr>
          <w:p>
            <w:r>
              <w:t>Scan coverage</w:t>
            </w:r>
          </w:p>
        </w:tc>
        <w:tc>
          <w:tcPr>
            <w:tcW w:type="dxa" w:w="4320"/>
          </w:tcPr>
          <w:p>
            <w:r>
              <w:t>Percentage of in-scope assets scanned</w:t>
            </w:r>
          </w:p>
        </w:tc>
      </w:tr>
      <w:tr>
        <w:tc>
          <w:tcPr>
            <w:tcW w:type="dxa" w:w="4320"/>
          </w:tcPr>
          <w:p>
            <w:r>
              <w:t>Failed or incomplete scans</w:t>
            </w:r>
          </w:p>
        </w:tc>
        <w:tc>
          <w:tcPr>
            <w:tcW w:type="dxa" w:w="4320"/>
          </w:tcPr>
          <w:p>
            <w:r>
              <w:t>Assets not scanned successfully</w:t>
            </w:r>
          </w:p>
        </w:tc>
      </w:tr>
      <w:tr>
        <w:tc>
          <w:tcPr>
            <w:tcW w:type="dxa" w:w="4320"/>
          </w:tcPr>
          <w:p>
            <w:r>
              <w:t>Emergency patches</w:t>
            </w:r>
          </w:p>
        </w:tc>
        <w:tc>
          <w:tcPr>
            <w:tcW w:type="dxa" w:w="4320"/>
          </w:tcPr>
          <w:p>
            <w:r>
              <w:t>Emergency changes completed during the period</w:t>
            </w:r>
          </w:p>
        </w:tc>
      </w:tr>
    </w:tbl>
    <w:p>
      <w:r>
        <w:t>18.3. Critical and High overdue items must be reviewed with the relevant Technology Owner and Information Security Manager.</w:t>
      </w:r>
    </w:p>
    <w:p>
      <w:r>
        <w:t>18.4. Persistent delays, repeated patch failures, or recurring vulnerabilities must be escalated for management attention.</w:t>
      </w:r>
    </w:p>
    <w:p>
      <w:pPr>
        <w:pStyle w:val="ListBullet"/>
      </w:pPr>
      <w:r>
        <w:t>Review third-party remediation</w:t>
      </w:r>
    </w:p>
    <w:p>
      <w:r>
        <w:t>19.1. Where SWIFT-related systems are managed or hosted by third parties, the Service Owner must ensure patching and vulnerability remediation obligations are included in service arrangements.</w:t>
      </w:r>
    </w:p>
    <w:p>
      <w:r>
        <w:t>19.2. The Service Owner must obtain evidence of remediation for vulnerabilities affecting third-party managed assets.</w:t>
      </w:r>
    </w:p>
    <w:p>
      <w:r>
        <w:t>19.3. Evidence may include:</w:t>
      </w:r>
    </w:p>
    <w:p>
      <w:pPr>
        <w:pStyle w:val="ListBullet"/>
      </w:pPr>
      <w:r>
        <w:t>Patch completion report.</w:t>
      </w:r>
    </w:p>
    <w:p>
      <w:pPr>
        <w:pStyle w:val="ListBullet"/>
      </w:pPr>
      <w:r>
        <w:t>Vulnerability scan summary.</w:t>
      </w:r>
    </w:p>
    <w:p>
      <w:pPr>
        <w:pStyle w:val="ListBullet"/>
      </w:pPr>
      <w:r>
        <w:t>Vendor attestation.</w:t>
      </w:r>
    </w:p>
    <w:p>
      <w:pPr>
        <w:pStyle w:val="ListBullet"/>
      </w:pPr>
      <w:r>
        <w:t>Managed service ticket.</w:t>
      </w:r>
    </w:p>
    <w:p>
      <w:pPr>
        <w:pStyle w:val="ListBullet"/>
      </w:pPr>
      <w:r>
        <w:t>Security bulletin response.</w:t>
      </w:r>
    </w:p>
    <w:p>
      <w:pPr>
        <w:pStyle w:val="ListBullet"/>
      </w:pPr>
      <w:r>
        <w:t>Change record extract.</w:t>
      </w:r>
    </w:p>
    <w:p>
      <w:pPr>
        <w:pStyle w:val="ListBullet"/>
      </w:pPr>
      <w:r>
        <w:t>Configuration or version confirmation.</w:t>
      </w:r>
    </w:p>
    <w:p>
      <w:r>
        <w:t>19.4. If a third party cannot remediate within required timelines, the risk must be assessed by Information Security and escalated according to this procedure.</w:t>
      </w:r>
    </w:p>
    <w:p>
      <w:pPr>
        <w:pStyle w:val="ListBullet"/>
      </w:pPr>
      <w:r>
        <w:t>Retain evidence</w:t>
      </w:r>
    </w:p>
    <w:p>
      <w:r>
        <w:t>20.1. All records related to SWIFT patching and vulnerability management must be stored in approved systems.</w:t>
      </w:r>
    </w:p>
    <w:p>
      <w:r>
        <w:t>20.2. Evidence must be retained for at least [Retention Period] unless a longer retention period is required by legal, contractual, regulatory, or audit requirements.</w:t>
      </w:r>
    </w:p>
    <w:p>
      <w:r>
        <w:t>20.3. Evidence must be protected from unauthorised modification or deletion.</w:t>
      </w:r>
    </w:p>
    <w:p>
      <w:r>
        <w:t>20.4. Evidence must be retrievable for internal review, SWIFT-related assurance activities, external assessment, and audit.</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Information Security Manager</w:t>
            </w:r>
          </w:p>
        </w:tc>
        <w:tc>
          <w:tcPr>
            <w:tcW w:type="dxa" w:w="4320"/>
          </w:tcPr>
          <w:p>
            <w:r>
              <w:t>Owns security requirements, approves risk treatment for significant vulnerabilities, reviews exceptions, and escalates unacceptable risk</w:t>
            </w:r>
          </w:p>
        </w:tc>
      </w:tr>
      <w:tr>
        <w:tc>
          <w:tcPr>
            <w:tcW w:type="dxa" w:w="4320"/>
          </w:tcPr>
          <w:p>
            <w:r>
              <w:t>SWIFT Operations Manager</w:t>
            </w:r>
          </w:p>
        </w:tc>
        <w:tc>
          <w:tcPr>
            <w:tcW w:type="dxa" w:w="4320"/>
          </w:tcPr>
          <w:p>
            <w:r>
              <w:t>Ensures patching activities are aligned with SWIFT operational needs, message processing schedules, and service continuity requirements</w:t>
            </w:r>
          </w:p>
        </w:tc>
      </w:tr>
      <w:tr>
        <w:tc>
          <w:tcPr>
            <w:tcW w:type="dxa" w:w="4320"/>
          </w:tcPr>
          <w:p>
            <w:r>
              <w:t>Vulnerability Management Team</w:t>
            </w:r>
          </w:p>
        </w:tc>
        <w:tc>
          <w:tcPr>
            <w:tcW w:type="dxa" w:w="4320"/>
          </w:tcPr>
          <w:p>
            <w:r>
              <w:t>Operates vulnerability scanning, validates risk ratings, tracks remediation, reports status, and confirms closure evidence</w:t>
            </w:r>
          </w:p>
        </w:tc>
      </w:tr>
      <w:tr>
        <w:tc>
          <w:tcPr>
            <w:tcW w:type="dxa" w:w="4320"/>
          </w:tcPr>
          <w:p>
            <w:r>
              <w:t>Technical Custodian</w:t>
            </w:r>
          </w:p>
        </w:tc>
        <w:tc>
          <w:tcPr>
            <w:tcW w:type="dxa" w:w="4320"/>
          </w:tcPr>
          <w:p>
            <w:r>
              <w:t>Assesses applicability, tests patches, implements remediation, validates results, and maintains technical evidence</w:t>
            </w:r>
          </w:p>
        </w:tc>
      </w:tr>
      <w:tr>
        <w:tc>
          <w:tcPr>
            <w:tcW w:type="dxa" w:w="4320"/>
          </w:tcPr>
          <w:p>
            <w:r>
              <w:t>Asset Owner</w:t>
            </w:r>
          </w:p>
        </w:tc>
        <w:tc>
          <w:tcPr>
            <w:tcW w:type="dxa" w:w="4320"/>
          </w:tcPr>
          <w:p>
            <w:r>
              <w:t>Accountable for risk acceptance, prioritisation, funding, and timely remediation of assigned assets</w:t>
            </w:r>
          </w:p>
        </w:tc>
      </w:tr>
      <w:tr>
        <w:tc>
          <w:tcPr>
            <w:tcW w:type="dxa" w:w="4320"/>
          </w:tcPr>
          <w:p>
            <w:r>
              <w:t>Change Manager</w:t>
            </w:r>
          </w:p>
        </w:tc>
        <w:tc>
          <w:tcPr>
            <w:tcW w:type="dxa" w:w="4320"/>
          </w:tcPr>
          <w:p>
            <w:r>
              <w:t>Ensures patch deployments follow change management, approvals, scheduling, and post-change review requirements</w:t>
            </w:r>
          </w:p>
        </w:tc>
      </w:tr>
      <w:tr>
        <w:tc>
          <w:tcPr>
            <w:tcW w:type="dxa" w:w="4320"/>
          </w:tcPr>
          <w:p>
            <w:r>
              <w:t>Security Operations Centre</w:t>
            </w:r>
          </w:p>
        </w:tc>
        <w:tc>
          <w:tcPr>
            <w:tcW w:type="dxa" w:w="4320"/>
          </w:tcPr>
          <w:p>
            <w:r>
              <w:t>Monitors threats, escalates urgent vulnerabilities, supports emergency response, and performs enhanced monitoring during high-risk remediation</w:t>
            </w:r>
          </w:p>
        </w:tc>
      </w:tr>
      <w:tr>
        <w:tc>
          <w:tcPr>
            <w:tcW w:type="dxa" w:w="4320"/>
          </w:tcPr>
          <w:p>
            <w:r>
              <w:t>Service Desk</w:t>
            </w:r>
          </w:p>
        </w:tc>
        <w:tc>
          <w:tcPr>
            <w:tcW w:type="dxa" w:w="4320"/>
          </w:tcPr>
          <w:p>
            <w:r>
              <w:t>Supports user communication, incident intake, and operator impact management during patching</w:t>
            </w:r>
          </w:p>
        </w:tc>
      </w:tr>
      <w:tr>
        <w:tc>
          <w:tcPr>
            <w:tcW w:type="dxa" w:w="4320"/>
          </w:tcPr>
          <w:p>
            <w:r>
              <w:t>Third-Party Manager / Service Owner</w:t>
            </w:r>
          </w:p>
        </w:tc>
        <w:tc>
          <w:tcPr>
            <w:tcW w:type="dxa" w:w="4320"/>
          </w:tcPr>
          <w:p>
            <w:r>
              <w:t>Coordinates remediation evidence and commitments from managed service providers or vendors</w:t>
            </w:r>
          </w:p>
        </w:tc>
      </w:tr>
      <w:tr>
        <w:tc>
          <w:tcPr>
            <w:tcW w:type="dxa" w:w="4320"/>
          </w:tcPr>
          <w:p>
            <w:r>
              <w:t>Incident Response Lead</w:t>
            </w:r>
          </w:p>
        </w:tc>
        <w:tc>
          <w:tcPr>
            <w:tcW w:type="dxa" w:w="4320"/>
          </w:tcPr>
          <w:p>
            <w:r>
              <w:t>Coordinates response where vulnerability exploitation is suspected or confirmed</w:t>
            </w:r>
          </w:p>
        </w:tc>
      </w:tr>
      <w:tr>
        <w:tc>
          <w:tcPr>
            <w:tcW w:type="dxa" w:w="4320"/>
          </w:tcPr>
          <w:p>
            <w:r>
              <w:t>Internal Audit / Assurance</w:t>
            </w:r>
          </w:p>
        </w:tc>
        <w:tc>
          <w:tcPr>
            <w:tcW w:type="dxa" w:w="4320"/>
          </w:tcPr>
          <w:p>
            <w:r>
              <w:t>Reviews compliance with this procedure and evaluates evidence when required</w:t>
            </w:r>
          </w:p>
        </w:tc>
      </w:tr>
    </w:tbl>
    <w:p>
      <w:pPr>
        <w:pStyle w:val="Heading3"/>
      </w:pPr>
      <w:r>
        <w:t>RACI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Information Security Manager</w:t>
            </w:r>
          </w:p>
        </w:tc>
        <w:tc>
          <w:tcPr>
            <w:tcW w:type="dxa" w:w="960"/>
          </w:tcPr>
          <w:p>
            <w:r>
              <w:t>SWIFT Operations Manager</w:t>
            </w:r>
          </w:p>
        </w:tc>
        <w:tc>
          <w:tcPr>
            <w:tcW w:type="dxa" w:w="960"/>
          </w:tcPr>
          <w:p>
            <w:r>
              <w:t>Vulnerability Management Team</w:t>
            </w:r>
          </w:p>
        </w:tc>
        <w:tc>
          <w:tcPr>
            <w:tcW w:type="dxa" w:w="960"/>
          </w:tcPr>
          <w:p>
            <w:r>
              <w:t>Technical Custodian</w:t>
            </w:r>
          </w:p>
        </w:tc>
        <w:tc>
          <w:tcPr>
            <w:tcW w:type="dxa" w:w="960"/>
          </w:tcPr>
          <w:p>
            <w:r>
              <w:t>Asset Owner</w:t>
            </w:r>
          </w:p>
        </w:tc>
        <w:tc>
          <w:tcPr>
            <w:tcW w:type="dxa" w:w="960"/>
          </w:tcPr>
          <w:p>
            <w:r>
              <w:t>Change Manager</w:t>
            </w:r>
          </w:p>
        </w:tc>
        <w:tc>
          <w:tcPr>
            <w:tcW w:type="dxa" w:w="960"/>
          </w:tcPr>
          <w:p>
            <w:r>
              <w:t>Security Operations Centre</w:t>
            </w:r>
          </w:p>
        </w:tc>
        <w:tc>
          <w:tcPr>
            <w:tcW w:type="dxa" w:w="960"/>
          </w:tcPr>
          <w:p>
            <w:r>
              <w:t>Third-Party Manager / Service Owner</w:t>
            </w:r>
          </w:p>
        </w:tc>
      </w:tr>
      <w:tr>
        <w:tc>
          <w:tcPr>
            <w:tcW w:type="dxa" w:w="960"/>
          </w:tcPr>
          <w:p>
            <w:r>
              <w:t>Maintain SWIFT asset scope</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C</w:t>
            </w:r>
          </w:p>
        </w:tc>
      </w:tr>
      <w:tr>
        <w:tc>
          <w:tcPr>
            <w:tcW w:type="dxa" w:w="960"/>
          </w:tcPr>
          <w:p>
            <w:r>
              <w:t>Monitor vulnerability sources</w:t>
            </w:r>
          </w:p>
        </w:tc>
        <w:tc>
          <w:tcPr>
            <w:tcW w:type="dxa" w:w="960"/>
          </w:tcPr>
          <w:p>
            <w:r>
              <w:t>C</w:t>
            </w:r>
          </w:p>
        </w:tc>
        <w:tc>
          <w:tcPr>
            <w:tcW w:type="dxa" w:w="960"/>
          </w:tcPr>
          <w:p>
            <w:r>
              <w:t>R</w:t>
            </w:r>
          </w:p>
        </w:tc>
        <w:tc>
          <w:tcPr>
            <w:tcW w:type="dxa" w:w="960"/>
          </w:tcPr>
          <w:p>
            <w:r>
              <w:t>R</w:t>
            </w:r>
          </w:p>
        </w:tc>
        <w:tc>
          <w:tcPr>
            <w:tcW w:type="dxa" w:w="960"/>
          </w:tcPr>
          <w:p>
            <w:r>
              <w:t>R</w:t>
            </w:r>
          </w:p>
        </w:tc>
        <w:tc>
          <w:tcPr>
            <w:tcW w:type="dxa" w:w="960"/>
          </w:tcPr>
          <w:p>
            <w:r>
              <w:t>I</w:t>
            </w:r>
          </w:p>
        </w:tc>
        <w:tc>
          <w:tcPr>
            <w:tcW w:type="dxa" w:w="960"/>
          </w:tcPr>
          <w:p>
            <w:r>
              <w:t>I</w:t>
            </w:r>
          </w:p>
        </w:tc>
        <w:tc>
          <w:tcPr>
            <w:tcW w:type="dxa" w:w="960"/>
          </w:tcPr>
          <w:p>
            <w:r>
              <w:t>R</w:t>
            </w:r>
          </w:p>
        </w:tc>
        <w:tc>
          <w:tcPr>
            <w:tcW w:type="dxa" w:w="960"/>
          </w:tcPr>
          <w:p>
            <w:r>
              <w:t>C</w:t>
            </w:r>
          </w:p>
        </w:tc>
      </w:tr>
      <w:tr>
        <w:tc>
          <w:tcPr>
            <w:tcW w:type="dxa" w:w="960"/>
          </w:tcPr>
          <w:p>
            <w:r>
              <w:t>Register vulnerability record</w:t>
            </w:r>
          </w:p>
        </w:tc>
        <w:tc>
          <w:tcPr>
            <w:tcW w:type="dxa" w:w="960"/>
          </w:tcPr>
          <w:p>
            <w:r>
              <w:t>I</w:t>
            </w:r>
          </w:p>
        </w:tc>
        <w:tc>
          <w:tcPr>
            <w:tcW w:type="dxa" w:w="960"/>
          </w:tcPr>
          <w:p>
            <w:r>
              <w:t>C</w:t>
            </w:r>
          </w:p>
        </w:tc>
        <w:tc>
          <w:tcPr>
            <w:tcW w:type="dxa" w:w="960"/>
          </w:tcPr>
          <w:p>
            <w:r>
              <w:t>R</w:t>
            </w:r>
          </w:p>
        </w:tc>
        <w:tc>
          <w:tcPr>
            <w:tcW w:type="dxa" w:w="960"/>
          </w:tcPr>
          <w:p>
            <w:r>
              <w:t>R</w:t>
            </w:r>
          </w:p>
        </w:tc>
        <w:tc>
          <w:tcPr>
            <w:tcW w:type="dxa" w:w="960"/>
          </w:tcPr>
          <w:p>
            <w:r>
              <w:t>I</w:t>
            </w:r>
          </w:p>
        </w:tc>
        <w:tc>
          <w:tcPr>
            <w:tcW w:type="dxa" w:w="960"/>
          </w:tcPr>
          <w:p>
            <w:r>
              <w:t>I</w:t>
            </w:r>
          </w:p>
        </w:tc>
        <w:tc>
          <w:tcPr>
            <w:tcW w:type="dxa" w:w="960"/>
          </w:tcPr>
          <w:p>
            <w:r>
              <w:t>R</w:t>
            </w:r>
          </w:p>
        </w:tc>
        <w:tc>
          <w:tcPr>
            <w:tcW w:type="dxa" w:w="960"/>
          </w:tcPr>
          <w:p>
            <w:r>
              <w:t>R</w:t>
            </w:r>
          </w:p>
        </w:tc>
      </w:tr>
      <w:tr>
        <w:tc>
          <w:tcPr>
            <w:tcW w:type="dxa" w:w="960"/>
          </w:tcPr>
          <w:p>
            <w:r>
              <w:t>Validate applicability</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C</w:t>
            </w:r>
          </w:p>
        </w:tc>
      </w:tr>
      <w:tr>
        <w:tc>
          <w:tcPr>
            <w:tcW w:type="dxa" w:w="960"/>
          </w:tcPr>
          <w:p>
            <w:r>
              <w:t>Assign severity and priority</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r>
      <w:tr>
        <w:tc>
          <w:tcPr>
            <w:tcW w:type="dxa" w:w="960"/>
          </w:tcPr>
          <w:p>
            <w:r>
              <w:t>Define remediation plan</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A</w:t>
            </w:r>
          </w:p>
        </w:tc>
        <w:tc>
          <w:tcPr>
            <w:tcW w:type="dxa" w:w="960"/>
          </w:tcPr>
          <w:p>
            <w:r>
              <w:t>C</w:t>
            </w:r>
          </w:p>
        </w:tc>
        <w:tc>
          <w:tcPr>
            <w:tcW w:type="dxa" w:w="960"/>
          </w:tcPr>
          <w:p>
            <w:r>
              <w:t>I</w:t>
            </w:r>
          </w:p>
        </w:tc>
        <w:tc>
          <w:tcPr>
            <w:tcW w:type="dxa" w:w="960"/>
          </w:tcPr>
          <w:p>
            <w:r>
              <w:t>C</w:t>
            </w:r>
          </w:p>
        </w:tc>
      </w:tr>
      <w:tr>
        <w:tc>
          <w:tcPr>
            <w:tcW w:type="dxa" w:w="960"/>
          </w:tcPr>
          <w:p>
            <w:r>
              <w:t>Test patch or remediation</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C</w:t>
            </w:r>
          </w:p>
        </w:tc>
      </w:tr>
      <w:tr>
        <w:tc>
          <w:tcPr>
            <w:tcW w:type="dxa" w:w="960"/>
          </w:tcPr>
          <w:p>
            <w:r>
              <w:t>Approve production change</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A</w:t>
            </w:r>
          </w:p>
        </w:tc>
        <w:tc>
          <w:tcPr>
            <w:tcW w:type="dxa" w:w="960"/>
          </w:tcPr>
          <w:p>
            <w:r>
              <w:t>A</w:t>
            </w:r>
          </w:p>
        </w:tc>
        <w:tc>
          <w:tcPr>
            <w:tcW w:type="dxa" w:w="960"/>
          </w:tcPr>
          <w:p>
            <w:r>
              <w:t>I</w:t>
            </w:r>
          </w:p>
        </w:tc>
        <w:tc>
          <w:tcPr>
            <w:tcW w:type="dxa" w:w="960"/>
          </w:tcPr>
          <w:p>
            <w:r>
              <w:t>C</w:t>
            </w:r>
          </w:p>
        </w:tc>
      </w:tr>
      <w:tr>
        <w:tc>
          <w:tcPr>
            <w:tcW w:type="dxa" w:w="960"/>
          </w:tcPr>
          <w:p>
            <w:r>
              <w:t>Deploy production patch</w:t>
            </w:r>
          </w:p>
        </w:tc>
        <w:tc>
          <w:tcPr>
            <w:tcW w:type="dxa" w:w="960"/>
          </w:tcPr>
          <w:p>
            <w:r>
              <w:t>I</w:t>
            </w:r>
          </w:p>
        </w:tc>
        <w:tc>
          <w:tcPr>
            <w:tcW w:type="dxa" w:w="960"/>
          </w:tcPr>
          <w:p>
            <w:r>
              <w:t>C</w:t>
            </w:r>
          </w:p>
        </w:tc>
        <w:tc>
          <w:tcPr>
            <w:tcW w:type="dxa" w:w="960"/>
          </w:tcPr>
          <w:p>
            <w:r>
              <w:t>I</w:t>
            </w:r>
          </w:p>
        </w:tc>
        <w:tc>
          <w:tcPr>
            <w:tcW w:type="dxa" w:w="960"/>
          </w:tcPr>
          <w:p>
            <w:r>
              <w:t>R</w:t>
            </w:r>
          </w:p>
        </w:tc>
        <w:tc>
          <w:tcPr>
            <w:tcW w:type="dxa" w:w="960"/>
          </w:tcPr>
          <w:p>
            <w:r>
              <w:t>A</w:t>
            </w:r>
          </w:p>
        </w:tc>
        <w:tc>
          <w:tcPr>
            <w:tcW w:type="dxa" w:w="960"/>
          </w:tcPr>
          <w:p>
            <w:r>
              <w:t>C</w:t>
            </w:r>
          </w:p>
        </w:tc>
        <w:tc>
          <w:tcPr>
            <w:tcW w:type="dxa" w:w="960"/>
          </w:tcPr>
          <w:p>
            <w:r>
              <w:t>I</w:t>
            </w:r>
          </w:p>
        </w:tc>
        <w:tc>
          <w:tcPr>
            <w:tcW w:type="dxa" w:w="960"/>
          </w:tcPr>
          <w:p>
            <w:r>
              <w:t>C</w:t>
            </w:r>
          </w:p>
        </w:tc>
      </w:tr>
      <w:tr>
        <w:tc>
          <w:tcPr>
            <w:tcW w:type="dxa" w:w="960"/>
          </w:tcPr>
          <w:p>
            <w:r>
              <w:t>Validate remediation</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A</w:t>
            </w:r>
          </w:p>
        </w:tc>
        <w:tc>
          <w:tcPr>
            <w:tcW w:type="dxa" w:w="960"/>
          </w:tcPr>
          <w:p>
            <w:r>
              <w:t>I</w:t>
            </w:r>
          </w:p>
        </w:tc>
        <w:tc>
          <w:tcPr>
            <w:tcW w:type="dxa" w:w="960"/>
          </w:tcPr>
          <w:p>
            <w:r>
              <w:t>C</w:t>
            </w:r>
          </w:p>
        </w:tc>
        <w:tc>
          <w:tcPr>
            <w:tcW w:type="dxa" w:w="960"/>
          </w:tcPr>
          <w:p>
            <w:r>
              <w:t>C</w:t>
            </w:r>
          </w:p>
        </w:tc>
      </w:tr>
      <w:tr>
        <w:tc>
          <w:tcPr>
            <w:tcW w:type="dxa" w:w="960"/>
          </w:tcPr>
          <w:p>
            <w:r>
              <w:t>Approve exception</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C</w:t>
            </w:r>
          </w:p>
        </w:tc>
      </w:tr>
      <w:tr>
        <w:tc>
          <w:tcPr>
            <w:tcW w:type="dxa" w:w="960"/>
          </w:tcPr>
          <w:p>
            <w:r>
              <w:t>Emergency escalation</w:t>
            </w:r>
          </w:p>
        </w:tc>
        <w:tc>
          <w:tcPr>
            <w:tcW w:type="dxa" w:w="960"/>
          </w:tcPr>
          <w:p>
            <w:r>
              <w:t>A</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R</w:t>
            </w:r>
          </w:p>
        </w:tc>
        <w:tc>
          <w:tcPr>
            <w:tcW w:type="dxa" w:w="960"/>
          </w:tcPr>
          <w:p>
            <w:r>
              <w:t>C</w:t>
            </w:r>
          </w:p>
        </w:tc>
      </w:tr>
      <w:tr>
        <w:tc>
          <w:tcPr>
            <w:tcW w:type="dxa" w:w="960"/>
          </w:tcPr>
          <w:p>
            <w:r>
              <w:t>Close vulnerability record</w:t>
            </w:r>
          </w:p>
        </w:tc>
        <w:tc>
          <w:tcPr>
            <w:tcW w:type="dxa" w:w="960"/>
          </w:tcPr>
          <w:p>
            <w:r>
              <w:t>C</w:t>
            </w:r>
          </w:p>
        </w:tc>
        <w:tc>
          <w:tcPr>
            <w:tcW w:type="dxa" w:w="960"/>
          </w:tcPr>
          <w:p>
            <w:r>
              <w:t>I</w:t>
            </w:r>
          </w:p>
        </w:tc>
        <w:tc>
          <w:tcPr>
            <w:tcW w:type="dxa" w:w="960"/>
          </w:tcPr>
          <w:p>
            <w:r>
              <w:t>A/R</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r>
      <w:tr>
        <w:tc>
          <w:tcPr>
            <w:tcW w:type="dxa" w:w="960"/>
          </w:tcPr>
          <w:p>
            <w:r>
              <w:t>Report status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r>
    </w:tbl>
    <w:p>
      <w:r>
        <w:t>R = Responsible, A = Accountable, C = Consulted, I = Informed.</w:t>
      </w:r>
    </w:p>
    <w:p>
      <w:pPr>
        <w:pStyle w:val="Heading2"/>
      </w:pPr>
      <w:r>
        <w:t>Records &amp; Outputs</w:t>
      </w:r>
    </w:p>
    <w:p>
      <w:r>
        <w:t>The following records must be produced and retained as evidence of operation.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Storage Location</w:t>
            </w:r>
          </w:p>
        </w:tc>
        <w:tc>
          <w:tcPr>
            <w:tcW w:type="dxa" w:w="1728"/>
          </w:tcPr>
          <w:p>
            <w:r>
              <w:t>Retention</w:t>
            </w:r>
          </w:p>
        </w:tc>
      </w:tr>
      <w:tr>
        <w:tc>
          <w:tcPr>
            <w:tcW w:type="dxa" w:w="1728"/>
          </w:tcPr>
          <w:p>
            <w:r>
              <w:t>SWIFT-related asset inventory</w:t>
            </w:r>
          </w:p>
        </w:tc>
        <w:tc>
          <w:tcPr>
            <w:tcW w:type="dxa" w:w="1728"/>
          </w:tcPr>
          <w:p>
            <w:r>
              <w:t>Current list of in-scope assets and ownership details</w:t>
            </w:r>
          </w:p>
        </w:tc>
        <w:tc>
          <w:tcPr>
            <w:tcW w:type="dxa" w:w="1728"/>
          </w:tcPr>
          <w:p>
            <w:r>
              <w:t>Asset Owner / Technical Custodian</w:t>
            </w:r>
          </w:p>
        </w:tc>
        <w:tc>
          <w:tcPr>
            <w:tcW w:type="dxa" w:w="1728"/>
          </w:tcPr>
          <w:p>
            <w:r>
              <w:t>[CMDB or Asset Repository]</w:t>
            </w:r>
          </w:p>
        </w:tc>
        <w:tc>
          <w:tcPr>
            <w:tcW w:type="dxa" w:w="1728"/>
          </w:tcPr>
          <w:p>
            <w:r>
              <w:t>[Retention Period]</w:t>
            </w:r>
          </w:p>
        </w:tc>
      </w:tr>
      <w:tr>
        <w:tc>
          <w:tcPr>
            <w:tcW w:type="dxa" w:w="1728"/>
          </w:tcPr>
          <w:p>
            <w:r>
              <w:t>Vulnerability scan results</w:t>
            </w:r>
          </w:p>
        </w:tc>
        <w:tc>
          <w:tcPr>
            <w:tcW w:type="dxa" w:w="1728"/>
          </w:tcPr>
          <w:p>
            <w:r>
              <w:t>Authenticated and unauthenticated scan outputs, coverage reports, and failed scan reports</w:t>
            </w:r>
          </w:p>
        </w:tc>
        <w:tc>
          <w:tcPr>
            <w:tcW w:type="dxa" w:w="1728"/>
          </w:tcPr>
          <w:p>
            <w:r>
              <w:t>Vulnerability Management Team</w:t>
            </w:r>
          </w:p>
        </w:tc>
        <w:tc>
          <w:tcPr>
            <w:tcW w:type="dxa" w:w="1728"/>
          </w:tcPr>
          <w:p>
            <w:r>
              <w:t>[Vulnerability Management Platform]</w:t>
            </w:r>
          </w:p>
        </w:tc>
        <w:tc>
          <w:tcPr>
            <w:tcW w:type="dxa" w:w="1728"/>
          </w:tcPr>
          <w:p>
            <w:r>
              <w:t>[Retention Period]</w:t>
            </w:r>
          </w:p>
        </w:tc>
      </w:tr>
      <w:tr>
        <w:tc>
          <w:tcPr>
            <w:tcW w:type="dxa" w:w="1728"/>
          </w:tcPr>
          <w:p>
            <w:r>
              <w:t>Vulnerability records</w:t>
            </w:r>
          </w:p>
        </w:tc>
        <w:tc>
          <w:tcPr>
            <w:tcW w:type="dxa" w:w="1728"/>
          </w:tcPr>
          <w:p>
            <w:r>
              <w:t>Tickets or findings showing assessment, severity, target date, status, and closure</w:t>
            </w:r>
          </w:p>
        </w:tc>
        <w:tc>
          <w:tcPr>
            <w:tcW w:type="dxa" w:w="1728"/>
          </w:tcPr>
          <w:p>
            <w:r>
              <w:t>Vulnerability Management Team</w:t>
            </w:r>
          </w:p>
        </w:tc>
        <w:tc>
          <w:tcPr>
            <w:tcW w:type="dxa" w:w="1728"/>
          </w:tcPr>
          <w:p>
            <w:r>
              <w:t>[Ticketing System]</w:t>
            </w:r>
          </w:p>
        </w:tc>
        <w:tc>
          <w:tcPr>
            <w:tcW w:type="dxa" w:w="1728"/>
          </w:tcPr>
          <w:p>
            <w:r>
              <w:t>[Retention Period]</w:t>
            </w:r>
          </w:p>
        </w:tc>
      </w:tr>
      <w:tr>
        <w:tc>
          <w:tcPr>
            <w:tcW w:type="dxa" w:w="1728"/>
          </w:tcPr>
          <w:p>
            <w:r>
              <w:t>Patch assessment records</w:t>
            </w:r>
          </w:p>
        </w:tc>
        <w:tc>
          <w:tcPr>
            <w:tcW w:type="dxa" w:w="1728"/>
          </w:tcPr>
          <w:p>
            <w:r>
              <w:t>Applicability assessment, vendor guidance, risk assessment, and remediation decision</w:t>
            </w:r>
          </w:p>
        </w:tc>
        <w:tc>
          <w:tcPr>
            <w:tcW w:type="dxa" w:w="1728"/>
          </w:tcPr>
          <w:p>
            <w:r>
              <w:t>Technical Custodian</w:t>
            </w:r>
          </w:p>
        </w:tc>
        <w:tc>
          <w:tcPr>
            <w:tcW w:type="dxa" w:w="1728"/>
          </w:tcPr>
          <w:p>
            <w:r>
              <w:t>[Ticketing System / Repository]</w:t>
            </w:r>
          </w:p>
        </w:tc>
        <w:tc>
          <w:tcPr>
            <w:tcW w:type="dxa" w:w="1728"/>
          </w:tcPr>
          <w:p>
            <w:r>
              <w:t>[Retention Period]</w:t>
            </w:r>
          </w:p>
        </w:tc>
      </w:tr>
      <w:tr>
        <w:tc>
          <w:tcPr>
            <w:tcW w:type="dxa" w:w="1728"/>
          </w:tcPr>
          <w:p>
            <w:r>
              <w:t>Test evidence</w:t>
            </w:r>
          </w:p>
        </w:tc>
        <w:tc>
          <w:tcPr>
            <w:tcW w:type="dxa" w:w="1728"/>
          </w:tcPr>
          <w:p>
            <w:r>
              <w:t>Test plans, test results, screenshots, logs, validation outputs, and defect records</w:t>
            </w:r>
          </w:p>
        </w:tc>
        <w:tc>
          <w:tcPr>
            <w:tcW w:type="dxa" w:w="1728"/>
          </w:tcPr>
          <w:p>
            <w:r>
              <w:t>Technical Custodian</w:t>
            </w:r>
          </w:p>
        </w:tc>
        <w:tc>
          <w:tcPr>
            <w:tcW w:type="dxa" w:w="1728"/>
          </w:tcPr>
          <w:p>
            <w:r>
              <w:t>[Change Management System / Repository]</w:t>
            </w:r>
          </w:p>
        </w:tc>
        <w:tc>
          <w:tcPr>
            <w:tcW w:type="dxa" w:w="1728"/>
          </w:tcPr>
          <w:p>
            <w:r>
              <w:t>[Retention Period]</w:t>
            </w:r>
          </w:p>
        </w:tc>
      </w:tr>
      <w:tr>
        <w:tc>
          <w:tcPr>
            <w:tcW w:type="dxa" w:w="1728"/>
          </w:tcPr>
          <w:p>
            <w:r>
              <w:t>Change records</w:t>
            </w:r>
          </w:p>
        </w:tc>
        <w:tc>
          <w:tcPr>
            <w:tcW w:type="dxa" w:w="1728"/>
          </w:tcPr>
          <w:p>
            <w:r>
              <w:t>Approved changes, implementation steps, approval history, rollback plan, and post-change review</w:t>
            </w:r>
          </w:p>
        </w:tc>
        <w:tc>
          <w:tcPr>
            <w:tcW w:type="dxa" w:w="1728"/>
          </w:tcPr>
          <w:p>
            <w:r>
              <w:t>Change Manager</w:t>
            </w:r>
          </w:p>
        </w:tc>
        <w:tc>
          <w:tcPr>
            <w:tcW w:type="dxa" w:w="1728"/>
          </w:tcPr>
          <w:p>
            <w:r>
              <w:t>[Change Management System]</w:t>
            </w:r>
          </w:p>
        </w:tc>
        <w:tc>
          <w:tcPr>
            <w:tcW w:type="dxa" w:w="1728"/>
          </w:tcPr>
          <w:p>
            <w:r>
              <w:t>[Retention Period]</w:t>
            </w:r>
          </w:p>
        </w:tc>
      </w:tr>
      <w:tr>
        <w:tc>
          <w:tcPr>
            <w:tcW w:type="dxa" w:w="1728"/>
          </w:tcPr>
          <w:p>
            <w:r>
              <w:t>Backup and rollback evidence</w:t>
            </w:r>
          </w:p>
        </w:tc>
        <w:tc>
          <w:tcPr>
            <w:tcW w:type="dxa" w:w="1728"/>
          </w:tcPr>
          <w:p>
            <w:r>
              <w:t>Backup confirmation, snapshot records, configuration exports, and recovery instructions</w:t>
            </w:r>
          </w:p>
        </w:tc>
        <w:tc>
          <w:tcPr>
            <w:tcW w:type="dxa" w:w="1728"/>
          </w:tcPr>
          <w:p>
            <w:r>
              <w:t>Technical Custodian</w:t>
            </w:r>
          </w:p>
        </w:tc>
        <w:tc>
          <w:tcPr>
            <w:tcW w:type="dxa" w:w="1728"/>
          </w:tcPr>
          <w:p>
            <w:r>
              <w:t>[Backup System / Repository]</w:t>
            </w:r>
          </w:p>
        </w:tc>
        <w:tc>
          <w:tcPr>
            <w:tcW w:type="dxa" w:w="1728"/>
          </w:tcPr>
          <w:p>
            <w:r>
              <w:t>[Retention Period]</w:t>
            </w:r>
          </w:p>
        </w:tc>
      </w:tr>
      <w:tr>
        <w:tc>
          <w:tcPr>
            <w:tcW w:type="dxa" w:w="1728"/>
          </w:tcPr>
          <w:p>
            <w:r>
              <w:t>Deployment evidence</w:t>
            </w:r>
          </w:p>
        </w:tc>
        <w:tc>
          <w:tcPr>
            <w:tcW w:type="dxa" w:w="1728"/>
          </w:tcPr>
          <w:p>
            <w:r>
              <w:t>Patch logs, installation outputs, version confirmation, firmware confirmation, and implementation notes</w:t>
            </w:r>
          </w:p>
        </w:tc>
        <w:tc>
          <w:tcPr>
            <w:tcW w:type="dxa" w:w="1728"/>
          </w:tcPr>
          <w:p>
            <w:r>
              <w:t>Technical Custodian</w:t>
            </w:r>
          </w:p>
        </w:tc>
        <w:tc>
          <w:tcPr>
            <w:tcW w:type="dxa" w:w="1728"/>
          </w:tcPr>
          <w:p>
            <w:r>
              <w:t>[Ticketing System / Repository]</w:t>
            </w:r>
          </w:p>
        </w:tc>
        <w:tc>
          <w:tcPr>
            <w:tcW w:type="dxa" w:w="1728"/>
          </w:tcPr>
          <w:p>
            <w:r>
              <w:t>[Retention Period]</w:t>
            </w:r>
          </w:p>
        </w:tc>
      </w:tr>
      <w:tr>
        <w:tc>
          <w:tcPr>
            <w:tcW w:type="dxa" w:w="1728"/>
          </w:tcPr>
          <w:p>
            <w:r>
              <w:t>Remediation validation evidence</w:t>
            </w:r>
          </w:p>
        </w:tc>
        <w:tc>
          <w:tcPr>
            <w:tcW w:type="dxa" w:w="1728"/>
          </w:tcPr>
          <w:p>
            <w:r>
              <w:t>Re-scan results, targeted checks, screenshots, configuration verification, or vendor confirmation</w:t>
            </w:r>
          </w:p>
        </w:tc>
        <w:tc>
          <w:tcPr>
            <w:tcW w:type="dxa" w:w="1728"/>
          </w:tcPr>
          <w:p>
            <w:r>
              <w:t>Vulnerability Management Team</w:t>
            </w:r>
          </w:p>
        </w:tc>
        <w:tc>
          <w:tcPr>
            <w:tcW w:type="dxa" w:w="1728"/>
          </w:tcPr>
          <w:p>
            <w:r>
              <w:t>[Vulnerability Management Platform / Repository]</w:t>
            </w:r>
          </w:p>
        </w:tc>
        <w:tc>
          <w:tcPr>
            <w:tcW w:type="dxa" w:w="1728"/>
          </w:tcPr>
          <w:p>
            <w:r>
              <w:t>[Retention Period]</w:t>
            </w:r>
          </w:p>
        </w:tc>
      </w:tr>
      <w:tr>
        <w:tc>
          <w:tcPr>
            <w:tcW w:type="dxa" w:w="1728"/>
          </w:tcPr>
          <w:p>
            <w:r>
              <w:t>Exception records</w:t>
            </w:r>
          </w:p>
        </w:tc>
        <w:tc>
          <w:tcPr>
            <w:tcW w:type="dxa" w:w="1728"/>
          </w:tcPr>
          <w:p>
            <w:r>
              <w:t>Approved deviations, risk acceptance, compensating controls, expiry date, and review history</w:t>
            </w:r>
          </w:p>
        </w:tc>
        <w:tc>
          <w:tcPr>
            <w:tcW w:type="dxa" w:w="1728"/>
          </w:tcPr>
          <w:p>
            <w:r>
              <w:t>Information Security Manager</w:t>
            </w:r>
          </w:p>
        </w:tc>
        <w:tc>
          <w:tcPr>
            <w:tcW w:type="dxa" w:w="1728"/>
          </w:tcPr>
          <w:p>
            <w:r>
              <w:t>[Risk Register / Exception Register]</w:t>
            </w:r>
          </w:p>
        </w:tc>
        <w:tc>
          <w:tcPr>
            <w:tcW w:type="dxa" w:w="1728"/>
          </w:tcPr>
          <w:p>
            <w:r>
              <w:t>[Retention Period]</w:t>
            </w:r>
          </w:p>
        </w:tc>
      </w:tr>
      <w:tr>
        <w:tc>
          <w:tcPr>
            <w:tcW w:type="dxa" w:w="1728"/>
          </w:tcPr>
          <w:p>
            <w:r>
              <w:t>Emergency change records</w:t>
            </w:r>
          </w:p>
        </w:tc>
        <w:tc>
          <w:tcPr>
            <w:tcW w:type="dxa" w:w="1728"/>
          </w:tcPr>
          <w:p>
            <w:r>
              <w:t>Emergency approvals, implementation evidence, post-change review, and retrospective documentation</w:t>
            </w:r>
          </w:p>
        </w:tc>
        <w:tc>
          <w:tcPr>
            <w:tcW w:type="dxa" w:w="1728"/>
          </w:tcPr>
          <w:p>
            <w:r>
              <w:t>Change Manager</w:t>
            </w:r>
          </w:p>
        </w:tc>
        <w:tc>
          <w:tcPr>
            <w:tcW w:type="dxa" w:w="1728"/>
          </w:tcPr>
          <w:p>
            <w:r>
              <w:t>[Change Management System]</w:t>
            </w:r>
          </w:p>
        </w:tc>
        <w:tc>
          <w:tcPr>
            <w:tcW w:type="dxa" w:w="1728"/>
          </w:tcPr>
          <w:p>
            <w:r>
              <w:t>[Retention Period]</w:t>
            </w:r>
          </w:p>
        </w:tc>
      </w:tr>
      <w:tr>
        <w:tc>
          <w:tcPr>
            <w:tcW w:type="dxa" w:w="1728"/>
          </w:tcPr>
          <w:p>
            <w:r>
              <w:t>Third-party remediation evidence</w:t>
            </w:r>
          </w:p>
        </w:tc>
        <w:tc>
          <w:tcPr>
            <w:tcW w:type="dxa" w:w="1728"/>
          </w:tcPr>
          <w:p>
            <w:r>
              <w:t>Provider reports, attestations, managed service tickets, or vendor confirmations</w:t>
            </w:r>
          </w:p>
        </w:tc>
        <w:tc>
          <w:tcPr>
            <w:tcW w:type="dxa" w:w="1728"/>
          </w:tcPr>
          <w:p>
            <w:r>
              <w:t>Third-Party Manager / Service Owner</w:t>
            </w:r>
          </w:p>
        </w:tc>
        <w:tc>
          <w:tcPr>
            <w:tcW w:type="dxa" w:w="1728"/>
          </w:tcPr>
          <w:p>
            <w:r>
              <w:t>[Third-Party Risk Repository]</w:t>
            </w:r>
          </w:p>
        </w:tc>
        <w:tc>
          <w:tcPr>
            <w:tcW w:type="dxa" w:w="1728"/>
          </w:tcPr>
          <w:p>
            <w:r>
              <w:t>[Retention Period]</w:t>
            </w:r>
          </w:p>
        </w:tc>
      </w:tr>
      <w:tr>
        <w:tc>
          <w:tcPr>
            <w:tcW w:type="dxa" w:w="1728"/>
          </w:tcPr>
          <w:p>
            <w:r>
              <w:t>Management reports</w:t>
            </w:r>
          </w:p>
        </w:tc>
        <w:tc>
          <w:tcPr>
            <w:tcW w:type="dxa" w:w="1728"/>
          </w:tcPr>
          <w:p>
            <w:r>
              <w:t>Metrics, overdue items, trends, escalations, and management actions</w:t>
            </w:r>
          </w:p>
        </w:tc>
        <w:tc>
          <w:tcPr>
            <w:tcW w:type="dxa" w:w="1728"/>
          </w:tcPr>
          <w:p>
            <w:r>
              <w:t>Vulnerability Management Team</w:t>
            </w:r>
          </w:p>
        </w:tc>
        <w:tc>
          <w:tcPr>
            <w:tcW w:type="dxa" w:w="1728"/>
          </w:tcPr>
          <w:p>
            <w:r>
              <w:t>[Reporting Repository]</w:t>
            </w:r>
          </w:p>
        </w:tc>
        <w:tc>
          <w:tcPr>
            <w:tcW w:type="dxa" w:w="1728"/>
          </w:tcPr>
          <w:p>
            <w:r>
              <w:t>[Retention Period]</w:t>
            </w:r>
          </w:p>
        </w:tc>
      </w:tr>
    </w:tbl>
    <w:p>
      <w:r>
        <w:t>Minimum closure evidence for Critical and High vulnerabilities must include both implementation evidence and independent validation evidence, unless Information Security approves an alternative due to tool limitations or operational constraints.</w:t>
      </w:r>
    </w:p>
    <w:p>
      <w:pPr>
        <w:pStyle w:val="Heading2"/>
      </w:pPr>
      <w:r>
        <w:t>Exceptions &amp; Escalation</w:t>
      </w:r>
    </w:p>
    <w:p>
      <w:pPr>
        <w:pStyle w:val="Heading3"/>
      </w:pPr>
      <w:r>
        <w:t>Exceptions</w:t>
      </w:r>
    </w:p>
    <w:p>
      <w:r>
        <w:t>An exception is required when a vulnerability or patch cannot be remediated within the timelines defined in this procedure, when required testing cannot be performed, or when the approved remediation method is not feasible.</w:t>
      </w:r>
    </w:p>
    <w:p>
      <w:r>
        <w:t>Exception requests must be submitted before the remediation deadline unless the delay is caused by an unexpected implementation failure.</w:t>
      </w:r>
    </w:p>
    <w:p>
      <w:r>
        <w:t>Each exception request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reference</w:t>
            </w:r>
          </w:p>
        </w:tc>
        <w:tc>
          <w:tcPr>
            <w:tcW w:type="dxa" w:w="4320"/>
          </w:tcPr>
          <w:p>
            <w:r>
              <w:t>Unique exception ID</w:t>
            </w:r>
          </w:p>
        </w:tc>
      </w:tr>
      <w:tr>
        <w:tc>
          <w:tcPr>
            <w:tcW w:type="dxa" w:w="4320"/>
          </w:tcPr>
          <w:p>
            <w:r>
              <w:t>Affected asset</w:t>
            </w:r>
          </w:p>
        </w:tc>
        <w:tc>
          <w:tcPr>
            <w:tcW w:type="dxa" w:w="4320"/>
          </w:tcPr>
          <w:p>
            <w:r>
              <w:t>Asset name, owner, environment, and SWIFT relevance</w:t>
            </w:r>
          </w:p>
        </w:tc>
      </w:tr>
      <w:tr>
        <w:tc>
          <w:tcPr>
            <w:tcW w:type="dxa" w:w="4320"/>
          </w:tcPr>
          <w:p>
            <w:r>
              <w:t>Vulnerability or patch reference</w:t>
            </w:r>
          </w:p>
        </w:tc>
        <w:tc>
          <w:tcPr>
            <w:tcW w:type="dxa" w:w="4320"/>
          </w:tcPr>
          <w:p>
            <w:r>
              <w:t>Scanner ID, advisory, ticket, or patch identifier</w:t>
            </w:r>
          </w:p>
        </w:tc>
      </w:tr>
      <w:tr>
        <w:tc>
          <w:tcPr>
            <w:tcW w:type="dxa" w:w="4320"/>
          </w:tcPr>
          <w:p>
            <w:r>
              <w:t>Severity</w:t>
            </w:r>
          </w:p>
        </w:tc>
        <w:tc>
          <w:tcPr>
            <w:tcW w:type="dxa" w:w="4320"/>
          </w:tcPr>
          <w:p>
            <w:r>
              <w:t>Critical, High, Medium, or Low</w:t>
            </w:r>
          </w:p>
        </w:tc>
      </w:tr>
      <w:tr>
        <w:tc>
          <w:tcPr>
            <w:tcW w:type="dxa" w:w="4320"/>
          </w:tcPr>
          <w:p>
            <w:r>
              <w:t>Reason for exception</w:t>
            </w:r>
          </w:p>
        </w:tc>
        <w:tc>
          <w:tcPr>
            <w:tcW w:type="dxa" w:w="4320"/>
          </w:tcPr>
          <w:p>
            <w:r>
              <w:t>Technical incompatibility, vendor dependency, operational constraint, outage risk, unavailable patch, or other reason</w:t>
            </w:r>
          </w:p>
        </w:tc>
      </w:tr>
      <w:tr>
        <w:tc>
          <w:tcPr>
            <w:tcW w:type="dxa" w:w="4320"/>
          </w:tcPr>
          <w:p>
            <w:r>
              <w:t>Risk assessment</w:t>
            </w:r>
          </w:p>
        </w:tc>
        <w:tc>
          <w:tcPr>
            <w:tcW w:type="dxa" w:w="4320"/>
          </w:tcPr>
          <w:p>
            <w:r>
              <w:t>Potential impact to confidentiality, integrity, availability, SWIFT operations, and payment processing</w:t>
            </w:r>
          </w:p>
        </w:tc>
      </w:tr>
      <w:tr>
        <w:tc>
          <w:tcPr>
            <w:tcW w:type="dxa" w:w="4320"/>
          </w:tcPr>
          <w:p>
            <w:r>
              <w:t>Compensating controls</w:t>
            </w:r>
          </w:p>
        </w:tc>
        <w:tc>
          <w:tcPr>
            <w:tcW w:type="dxa" w:w="4320"/>
          </w:tcPr>
          <w:p>
            <w:r>
              <w:t>Temporary controls implemented to reduce risk</w:t>
            </w:r>
          </w:p>
        </w:tc>
      </w:tr>
      <w:tr>
        <w:tc>
          <w:tcPr>
            <w:tcW w:type="dxa" w:w="4320"/>
          </w:tcPr>
          <w:p>
            <w:r>
              <w:t>Permanent remediation plan</w:t>
            </w:r>
          </w:p>
        </w:tc>
        <w:tc>
          <w:tcPr>
            <w:tcW w:type="dxa" w:w="4320"/>
          </w:tcPr>
          <w:p>
            <w:r>
              <w:t>Planned fix, upgrade, replacement, decommissioning, or vendor action</w:t>
            </w:r>
          </w:p>
        </w:tc>
      </w:tr>
      <w:tr>
        <w:tc>
          <w:tcPr>
            <w:tcW w:type="dxa" w:w="4320"/>
          </w:tcPr>
          <w:p>
            <w:r>
              <w:t>Requested expiry date</w:t>
            </w:r>
          </w:p>
        </w:tc>
        <w:tc>
          <w:tcPr>
            <w:tcW w:type="dxa" w:w="4320"/>
          </w:tcPr>
          <w:p>
            <w:r>
              <w:t>Date by which exception will be resolved or re-approved</w:t>
            </w:r>
          </w:p>
        </w:tc>
      </w:tr>
      <w:tr>
        <w:tc>
          <w:tcPr>
            <w:tcW w:type="dxa" w:w="4320"/>
          </w:tcPr>
          <w:p>
            <w:r>
              <w:t>Business owner acceptance</w:t>
            </w:r>
          </w:p>
        </w:tc>
        <w:tc>
          <w:tcPr>
            <w:tcW w:type="dxa" w:w="4320"/>
          </w:tcPr>
          <w:p>
            <w:r>
              <w:t>Asset Owner or delegated business approver</w:t>
            </w:r>
          </w:p>
        </w:tc>
      </w:tr>
      <w:tr>
        <w:tc>
          <w:tcPr>
            <w:tcW w:type="dxa" w:w="4320"/>
          </w:tcPr>
          <w:p>
            <w:r>
              <w:t>Security approval</w:t>
            </w:r>
          </w:p>
        </w:tc>
        <w:tc>
          <w:tcPr>
            <w:tcW w:type="dxa" w:w="4320"/>
          </w:tcPr>
          <w:p>
            <w:r>
              <w:t>Information Security Manager approval</w:t>
            </w:r>
          </w:p>
        </w:tc>
      </w:tr>
      <w:tr>
        <w:tc>
          <w:tcPr>
            <w:tcW w:type="dxa" w:w="4320"/>
          </w:tcPr>
          <w:p>
            <w:r>
              <w:t>Review frequency</w:t>
            </w:r>
          </w:p>
        </w:tc>
        <w:tc>
          <w:tcPr>
            <w:tcW w:type="dxa" w:w="4320"/>
          </w:tcPr>
          <w:p>
            <w:r>
              <w:t>Frequency for reassessing the exception</w:t>
            </w:r>
          </w:p>
        </w:tc>
      </w:tr>
    </w:tbl>
    <w:p>
      <w:r>
        <w:t>Exceptions must be:</w:t>
      </w:r>
    </w:p>
    <w:p>
      <w:pPr>
        <w:pStyle w:val="ListBullet"/>
      </w:pPr>
      <w:r>
        <w:t>Risk-assessed before approval.</w:t>
      </w:r>
    </w:p>
    <w:p>
      <w:pPr>
        <w:pStyle w:val="ListBullet"/>
      </w:pPr>
      <w:r>
        <w:t>Time-bound with an expiry date.</w:t>
      </w:r>
    </w:p>
    <w:p>
      <w:pPr>
        <w:pStyle w:val="ListBullet"/>
      </w:pPr>
      <w:r>
        <w:t>Supported by compensating controls where practical.</w:t>
      </w:r>
    </w:p>
    <w:p>
      <w:pPr>
        <w:pStyle w:val="ListBullet"/>
      </w:pPr>
      <w:r>
        <w:t>Reviewed at least monthly for Critical and High vulnerabilities.</w:t>
      </w:r>
    </w:p>
    <w:p>
      <w:pPr>
        <w:pStyle w:val="ListBullet"/>
      </w:pPr>
      <w:r>
        <w:t>Reviewed at least quarterly for Medium and Low vulnerabilities.</w:t>
      </w:r>
    </w:p>
    <w:p>
      <w:pPr>
        <w:pStyle w:val="ListBullet"/>
      </w:pPr>
      <w:r>
        <w:t>Closed when permanent remediation is completed.</w:t>
      </w:r>
    </w:p>
    <w:p>
      <w:r>
        <w:t>Exceptions must not be used to indefinitely defer patching of unsupported, exposed, or high-risk systems. Where repeated exceptions are requested for the same asset, the Asset Owner must provide a funded remediation plan or decommissioning plan.</w:t>
      </w:r>
    </w:p>
    <w:p>
      <w:pPr>
        <w:pStyle w:val="Heading3"/>
      </w:pPr>
      <w:r>
        <w:t>Escalation Triggers</w:t>
      </w:r>
    </w:p>
    <w:p>
      <w:r>
        <w:t>Escalation is required when:</w:t>
      </w:r>
    </w:p>
    <w:p>
      <w:pPr>
        <w:pStyle w:val="ListBullet"/>
      </w:pPr>
      <w:r>
        <w:t>A Critical vulnerability affects the SWIFT environment.</w:t>
      </w:r>
    </w:p>
    <w:p>
      <w:pPr>
        <w:pStyle w:val="ListBullet"/>
      </w:pPr>
      <w:r>
        <w:t>A High vulnerability becomes overdue.</w:t>
      </w:r>
    </w:p>
    <w:p>
      <w:pPr>
        <w:pStyle w:val="ListBullet"/>
      </w:pPr>
      <w:r>
        <w:t>A vulnerability is actively exploited or exploitation is suspected.</w:t>
      </w:r>
    </w:p>
    <w:p>
      <w:pPr>
        <w:pStyle w:val="ListBullet"/>
      </w:pPr>
      <w:r>
        <w:t>A patch deployment fails and leaves a system exposed.</w:t>
      </w:r>
    </w:p>
    <w:p>
      <w:pPr>
        <w:pStyle w:val="ListBullet"/>
      </w:pPr>
      <w:r>
        <w:t>A patch causes SWIFT operational disruption.</w:t>
      </w:r>
    </w:p>
    <w:p>
      <w:pPr>
        <w:pStyle w:val="ListBullet"/>
      </w:pPr>
      <w:r>
        <w:t>A third party cannot provide remediation evidence within agreed timelines.</w:t>
      </w:r>
    </w:p>
    <w:p>
      <w:pPr>
        <w:pStyle w:val="ListBullet"/>
      </w:pPr>
      <w:r>
        <w:t>A system is unsupported and cannot be patched.</w:t>
      </w:r>
    </w:p>
    <w:p>
      <w:pPr>
        <w:pStyle w:val="ListBullet"/>
      </w:pPr>
      <w:r>
        <w:t>Vulnerability scanning coverage drops below the approved threshold.</w:t>
      </w:r>
    </w:p>
    <w:p>
      <w:pPr>
        <w:pStyle w:val="ListBullet"/>
      </w:pPr>
      <w:r>
        <w:t>A compensating control fails or is no longer effective.</w:t>
      </w:r>
    </w:p>
    <w:p>
      <w:pPr>
        <w:pStyle w:val="ListBullet"/>
      </w:pPr>
      <w:r>
        <w:t>A vulnerability could affect payment message creation, approval, transmission, receipt, logging, reconciliation, or monitoring.</w:t>
      </w:r>
    </w:p>
    <w:p>
      <w:pPr>
        <w:pStyle w:val="Heading3"/>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Escalation Level</w:t>
            </w:r>
          </w:p>
        </w:tc>
        <w:tc>
          <w:tcPr>
            <w:tcW w:type="dxa" w:w="2160"/>
          </w:tcPr>
          <w:p>
            <w:r>
              <w:t>Trigger</w:t>
            </w:r>
          </w:p>
        </w:tc>
        <w:tc>
          <w:tcPr>
            <w:tcW w:type="dxa" w:w="2160"/>
          </w:tcPr>
          <w:p>
            <w:r>
              <w:t>Escalated To</w:t>
            </w:r>
          </w:p>
        </w:tc>
        <w:tc>
          <w:tcPr>
            <w:tcW w:type="dxa" w:w="2160"/>
          </w:tcPr>
          <w:p>
            <w:r>
              <w:t>Expected Action</w:t>
            </w:r>
          </w:p>
        </w:tc>
      </w:tr>
      <w:tr>
        <w:tc>
          <w:tcPr>
            <w:tcW w:type="dxa" w:w="2160"/>
          </w:tcPr>
          <w:p>
            <w:r>
              <w:t>Level 1</w:t>
            </w:r>
          </w:p>
        </w:tc>
        <w:tc>
          <w:tcPr>
            <w:tcW w:type="dxa" w:w="2160"/>
          </w:tcPr>
          <w:p>
            <w:r>
              <w:t>Routine delay, assessment issue, or missing evidence</w:t>
            </w:r>
          </w:p>
        </w:tc>
        <w:tc>
          <w:tcPr>
            <w:tcW w:type="dxa" w:w="2160"/>
          </w:tcPr>
          <w:p>
            <w:r>
              <w:t>Technical Custodian and Vulnerability Management Lead</w:t>
            </w:r>
          </w:p>
        </w:tc>
        <w:tc>
          <w:tcPr>
            <w:tcW w:type="dxa" w:w="2160"/>
          </w:tcPr>
          <w:p>
            <w:r>
              <w:t>Resolve within agreed operational timeframe</w:t>
            </w:r>
          </w:p>
        </w:tc>
      </w:tr>
      <w:tr>
        <w:tc>
          <w:tcPr>
            <w:tcW w:type="dxa" w:w="2160"/>
          </w:tcPr>
          <w:p>
            <w:r>
              <w:t>Level 2</w:t>
            </w:r>
          </w:p>
        </w:tc>
        <w:tc>
          <w:tcPr>
            <w:tcW w:type="dxa" w:w="2160"/>
          </w:tcPr>
          <w:p>
            <w:r>
              <w:t>High vulnerability overdue, repeated scan failure, or patch deployment issue</w:t>
            </w:r>
          </w:p>
        </w:tc>
        <w:tc>
          <w:tcPr>
            <w:tcW w:type="dxa" w:w="2160"/>
          </w:tcPr>
          <w:p>
            <w:r>
              <w:t>Asset Owner, SWIFT Operations Manager, Information Security Manager</w:t>
            </w:r>
          </w:p>
        </w:tc>
        <w:tc>
          <w:tcPr>
            <w:tcW w:type="dxa" w:w="2160"/>
          </w:tcPr>
          <w:p>
            <w:r>
              <w:t>Agree remediation plan and target date</w:t>
            </w:r>
          </w:p>
        </w:tc>
      </w:tr>
      <w:tr>
        <w:tc>
          <w:tcPr>
            <w:tcW w:type="dxa" w:w="2160"/>
          </w:tcPr>
          <w:p>
            <w:r>
              <w:t>Level 3</w:t>
            </w:r>
          </w:p>
        </w:tc>
        <w:tc>
          <w:tcPr>
            <w:tcW w:type="dxa" w:w="2160"/>
          </w:tcPr>
          <w:p>
            <w:r>
              <w:t>Critical vulnerability, active exploitation, significant SWIFT operational risk, or failed compensating control</w:t>
            </w:r>
          </w:p>
        </w:tc>
        <w:tc>
          <w:tcPr>
            <w:tcW w:type="dxa" w:w="2160"/>
          </w:tcPr>
          <w:p>
            <w:r>
              <w:t>Chief Information Security Officer, Technology Head, Incident Response Lead</w:t>
            </w:r>
          </w:p>
        </w:tc>
        <w:tc>
          <w:tcPr>
            <w:tcW w:type="dxa" w:w="2160"/>
          </w:tcPr>
          <w:p>
            <w:r>
              <w:t>Direct urgent remediation, emergency change, or incident response</w:t>
            </w:r>
          </w:p>
        </w:tc>
      </w:tr>
      <w:tr>
        <w:tc>
          <w:tcPr>
            <w:tcW w:type="dxa" w:w="2160"/>
          </w:tcPr>
          <w:p>
            <w:r>
              <w:t>Level 4</w:t>
            </w:r>
          </w:p>
        </w:tc>
        <w:tc>
          <w:tcPr>
            <w:tcW w:type="dxa" w:w="2160"/>
          </w:tcPr>
          <w:p>
            <w:r>
              <w:t>Material business impact, unacceptable residual risk, or unresolved third-party exposure</w:t>
            </w:r>
          </w:p>
        </w:tc>
        <w:tc>
          <w:tcPr>
            <w:tcW w:type="dxa" w:w="2160"/>
          </w:tcPr>
          <w:p>
            <w:r>
              <w:t>Executive Risk Committee or equivalent governance body</w:t>
            </w:r>
          </w:p>
        </w:tc>
        <w:tc>
          <w:tcPr>
            <w:tcW w:type="dxa" w:w="2160"/>
          </w:tcPr>
          <w:p>
            <w:r>
              <w:t>Decide risk treatment, funding, service restriction, or formal risk acceptance</w:t>
            </w:r>
          </w:p>
        </w:tc>
      </w:tr>
    </w:tbl>
    <w:p>
      <w:r>
        <w:t>Where exploitation is suspected or confirmed, the Incident Response Procedure must be invoked immediately. Patch deployment must be coordinated with incident containment and forensic preservation requirements.</w:t>
      </w:r>
    </w:p>
    <w:p>
      <w:pPr>
        <w:pStyle w:val="Heading2"/>
      </w:pPr>
      <w:r>
        <w:t>Review</w:t>
      </w:r>
    </w:p>
    <w:p>
      <w:r>
        <w:t>This procedure must be reviewed at least annually and whenever any of the following occur:</w:t>
      </w:r>
    </w:p>
    <w:p>
      <w:pPr>
        <w:pStyle w:val="ListBullet"/>
      </w:pPr>
      <w:r>
        <w:t>Significant change to the SWIFT environment.</w:t>
      </w:r>
    </w:p>
    <w:p>
      <w:pPr>
        <w:pStyle w:val="ListBullet"/>
      </w:pPr>
      <w:r>
        <w:t>Introduction of a new SWIFT interface, service provider, hosting model, or connectivity method.</w:t>
      </w:r>
    </w:p>
    <w:p>
      <w:pPr>
        <w:pStyle w:val="ListBullet"/>
      </w:pPr>
      <w:r>
        <w:t>Material change to patching tools, vulnerability scanning tools, or change management processes.</w:t>
      </w:r>
    </w:p>
    <w:p>
      <w:pPr>
        <w:pStyle w:val="ListBullet"/>
      </w:pPr>
      <w:r>
        <w:t>Significant patch failure or SWIFT service disruption related to patching.</w:t>
      </w:r>
    </w:p>
    <w:p>
      <w:pPr>
        <w:pStyle w:val="ListBullet"/>
      </w:pPr>
      <w:r>
        <w:t>Security incident involving exploitation of a known vulnerability.</w:t>
      </w:r>
    </w:p>
    <w:p>
      <w:pPr>
        <w:pStyle w:val="ListBullet"/>
      </w:pPr>
      <w:r>
        <w:t>Repeated non-compliance with remediation timelines.</w:t>
      </w:r>
    </w:p>
    <w:p>
      <w:pPr>
        <w:pStyle w:val="ListBullet"/>
      </w:pPr>
      <w:r>
        <w:t>Changes in threat landscape affecting financial messaging or payment operations.</w:t>
      </w:r>
    </w:p>
    <w:p>
      <w:pPr>
        <w:pStyle w:val="ListBullet"/>
      </w:pPr>
      <w:r>
        <w:t>Audit, assurance, or assessment findings requiring improvement.</w:t>
      </w:r>
    </w:p>
    <w:p>
      <w:r>
        <w:t>The review must confirm that:</w:t>
      </w:r>
    </w:p>
    <w:p>
      <w:pPr>
        <w:pStyle w:val="ListBullet"/>
      </w:pPr>
      <w:r>
        <w:t>Scope remains accurate and aligned to the SWIFT environment.</w:t>
      </w:r>
    </w:p>
    <w:p>
      <w:pPr>
        <w:pStyle w:val="ListBullet"/>
      </w:pPr>
      <w:r>
        <w:t>Asset inventory coverage is complete.</w:t>
      </w:r>
    </w:p>
    <w:p>
      <w:pPr>
        <w:pStyle w:val="ListBullet"/>
      </w:pPr>
      <w:r>
        <w:t>Vulnerability scanning coverage is appropriate.</w:t>
      </w:r>
    </w:p>
    <w:p>
      <w:pPr>
        <w:pStyle w:val="ListBullet"/>
      </w:pPr>
      <w:r>
        <w:t>Remediation timelines remain suitable for risk.</w:t>
      </w:r>
    </w:p>
    <w:p>
      <w:pPr>
        <w:pStyle w:val="ListBullet"/>
      </w:pPr>
      <w:r>
        <w:t>Testing requirements are effective and practical.</w:t>
      </w:r>
    </w:p>
    <w:p>
      <w:pPr>
        <w:pStyle w:val="ListBullet"/>
      </w:pPr>
      <w:r>
        <w:t>Emergency patching arrangements are workable.</w:t>
      </w:r>
    </w:p>
    <w:p>
      <w:pPr>
        <w:pStyle w:val="ListBullet"/>
      </w:pPr>
      <w:r>
        <w:t>Exceptions are being managed and closed appropriately.</w:t>
      </w:r>
    </w:p>
    <w:p>
      <w:pPr>
        <w:pStyle w:val="ListBullet"/>
      </w:pPr>
      <w:r>
        <w:t>Records are complete and retrievable.</w:t>
      </w:r>
    </w:p>
    <w:p>
      <w:pPr>
        <w:pStyle w:val="ListBullet"/>
      </w:pPr>
      <w:r>
        <w:t>Roles and responsibilities remain current.</w:t>
      </w:r>
    </w:p>
    <w:p>
      <w:pPr>
        <w:pStyle w:val="ListBullet"/>
      </w:pPr>
      <w:r>
        <w:t>Metrics demonstrate effective remediation performance.</w:t>
      </w:r>
    </w:p>
    <w:p>
      <w:r>
        <w:t>Review outcomes, approved changes, and version updates must be documented in [Document Repository]. Material changes must be approved by [Approving Authority]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