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Data Management Policy &amp; Catalogue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Document ID</w:t>
            </w:r>
          </w:p>
        </w:tc>
        <w:tc>
          <w:tcPr>
            <w:tcW w:type="dxa" w:w="1440"/>
          </w:tcPr>
          <w:p>
            <w:r>
              <w:t>Version</w:t>
            </w:r>
          </w:p>
        </w:tc>
        <w:tc>
          <w:tcPr>
            <w:tcW w:type="dxa" w:w="1440"/>
          </w:tcPr>
          <w:p>
            <w:r>
              <w:t>Owner</w:t>
            </w:r>
          </w:p>
        </w:tc>
        <w:tc>
          <w:tcPr>
            <w:tcW w:type="dxa" w:w="1440"/>
          </w:tcPr>
          <w:p>
            <w:r>
              <w:t>Effective Date</w:t>
            </w:r>
          </w:p>
        </w:tc>
        <w:tc>
          <w:tcPr>
            <w:tcW w:type="dxa" w:w="1440"/>
          </w:tcPr>
          <w:p>
            <w:r>
              <w:t>Framework</w:t>
            </w:r>
          </w:p>
        </w:tc>
        <w:tc>
          <w:tcPr>
            <w:tcW w:type="dxa" w:w="1440"/>
          </w:tcPr>
          <w:p>
            <w:r>
              <w:t>Classification</w:t>
            </w:r>
          </w:p>
        </w:tc>
      </w:tr>
      <w:tr>
        <w:tc>
          <w:tcPr>
            <w:tcW w:type="dxa" w:w="1440"/>
          </w:tcPr>
          <w:p>
            <w:r>
              <w:t>POL-DATA-001</w:t>
            </w:r>
          </w:p>
        </w:tc>
        <w:tc>
          <w:tcPr>
            <w:tcW w:type="dxa" w:w="1440"/>
          </w:tcPr>
          <w:p>
            <w:r>
              <w:t>1.0</w:t>
            </w:r>
          </w:p>
        </w:tc>
        <w:tc>
          <w:tcPr>
            <w:tcW w:type="dxa" w:w="1440"/>
          </w:tcPr>
          <w:p>
            <w:r>
              <w:t>Chief Data Officer</w:t>
            </w:r>
          </w:p>
        </w:tc>
        <w:tc>
          <w:tcPr>
            <w:tcW w:type="dxa" w:w="1440"/>
          </w:tcPr>
          <w:p>
            <w:r>
              <w:t>[Effective Date]</w:t>
            </w:r>
          </w:p>
        </w:tc>
        <w:tc>
          <w:tcPr>
            <w:tcW w:type="dxa" w:w="1440"/>
          </w:tcPr>
          <w:p>
            <w:r>
              <w:t>COBIT 2019</w:t>
            </w:r>
          </w:p>
        </w:tc>
        <w:tc>
          <w:tcPr>
            <w:tcW w:type="dxa" w:w="1440"/>
          </w:tcPr>
          <w:p>
            <w:r>
              <w:t>Internal</w:t>
            </w:r>
          </w:p>
        </w:tc>
      </w:tr>
    </w:tbl>
    <w:p>
      <w:pPr>
        <w:pStyle w:val="Heading2"/>
      </w:pPr>
      <w:r>
        <w:t>Purpose</w:t>
      </w:r>
    </w:p>
    <w:p>
      <w:r>
        <w:t>This policy establishes mandatory requirements for the ownership, classification, cataloguing, lifecycle management, protection, quality, retention, and disposal of organisational data.</w:t>
      </w:r>
    </w:p>
    <w:p>
      <w:r>
        <w:t>The purpose of this policy is to ensure that data is:</w:t>
      </w:r>
    </w:p>
    <w:p>
      <w:pPr>
        <w:pStyle w:val="ListBullet"/>
      </w:pPr>
      <w:r>
        <w:t>Recognised and managed as a business asset.</w:t>
      </w:r>
    </w:p>
    <w:p>
      <w:pPr>
        <w:pStyle w:val="ListBullet"/>
      </w:pPr>
      <w:r>
        <w:t>Assigned accountable ownership throughout its lifecycle.</w:t>
      </w:r>
    </w:p>
    <w:p>
      <w:pPr>
        <w:pStyle w:val="ListBullet"/>
      </w:pPr>
      <w:r>
        <w:t>Classified according to sensitivity, criticality, and business value.</w:t>
      </w:r>
    </w:p>
    <w:p>
      <w:pPr>
        <w:pStyle w:val="ListBullet"/>
      </w:pPr>
      <w:r>
        <w:t>Recorded in an authoritative data catalogue.</w:t>
      </w:r>
    </w:p>
    <w:p>
      <w:pPr>
        <w:pStyle w:val="ListBullet"/>
      </w:pPr>
      <w:r>
        <w:t>Protected in line with business, legal, regulatory, contractual, privacy, and security requirements.</w:t>
      </w:r>
    </w:p>
    <w:p>
      <w:pPr>
        <w:pStyle w:val="ListBullet"/>
      </w:pPr>
      <w:r>
        <w:t>Accurate, complete, timely, traceable, and fit for intended use.</w:t>
      </w:r>
    </w:p>
    <w:p>
      <w:pPr>
        <w:pStyle w:val="ListBullet"/>
      </w:pPr>
      <w:r>
        <w:t>Retained only for approved business and compliance purposes.</w:t>
      </w:r>
    </w:p>
    <w:p>
      <w:pPr>
        <w:pStyle w:val="ListBullet"/>
      </w:pPr>
      <w:r>
        <w:t>Disposed of securely when no longer required.</w:t>
      </w:r>
    </w:p>
    <w:p>
      <w:r>
        <w:t>This policy supports effective governance of enterprise information and enables reliable decision-making, regulatory compliance, operational resilience, information security, privacy protection, and responsible use of data across the organisation.</w:t>
      </w:r>
    </w:p>
    <w:p>
      <w:pPr>
        <w:pStyle w:val="Heading2"/>
      </w:pPr>
      <w:r>
        <w:t>Scope</w:t>
      </w:r>
    </w:p>
    <w:p>
      <w:r>
        <w:t>This policy applies to:</w:t>
      </w:r>
    </w:p>
    <w:p>
      <w:pPr>
        <w:pStyle w:val="ListBullet"/>
      </w:pPr>
      <w:r>
        <w:t>All data created, collected, received, stored, processed, transmitted, shared, archived, or disposed of by or on behalf of the organisation.</w:t>
      </w:r>
    </w:p>
    <w:p>
      <w:pPr>
        <w:pStyle w:val="ListBullet"/>
      </w:pPr>
      <w:r>
        <w:t>All structured, semi-structured, and unstructured data, including data held in applications, databases, data warehouses, data lakes, collaboration platforms, file repositories, end-user computing tools, reports, backups, logs, archives, and physical records.</w:t>
      </w:r>
    </w:p>
    <w:p>
      <w:pPr>
        <w:pStyle w:val="ListBullet"/>
      </w:pPr>
      <w:r>
        <w:t>All information systems, business processes, analytics platforms, artificial intelligence and machine learning solutions, integrations, interfaces, and reporting tools that use organisational data.</w:t>
      </w:r>
    </w:p>
    <w:p>
      <w:pPr>
        <w:pStyle w:val="ListBullet"/>
      </w:pPr>
      <w:r>
        <w:t>All employees, contractors, temporary workers, consultants, third parties, service providers, and partners who access, process, manage, or support organisational data.</w:t>
      </w:r>
    </w:p>
    <w:p>
      <w:pPr>
        <w:pStyle w:val="ListBullet"/>
      </w:pPr>
      <w:r>
        <w:t>All environments where organisational data is processed, including production, non-production, development, testing, training, cloud, on-premises, mobile, remote working, and third-party hosted environments.</w:t>
      </w:r>
    </w:p>
    <w:p>
      <w:r>
        <w:t>This policy applies to data throughout its full lifecycle, including:</w:t>
      </w:r>
    </w:p>
    <w:tbl>
      <w:tblPr>
        <w:tblStyle w:val="TableGrid"/>
        <w:tblW w:type="auto" w:w="0"/>
        <w:tblLook w:firstColumn="1" w:firstRow="1" w:lastColumn="0" w:lastRow="0" w:noHBand="0" w:noVBand="1" w:val="04A0"/>
      </w:tblPr>
      <w:tblGrid>
        <w:gridCol w:w="4320"/>
        <w:gridCol w:w="4320"/>
      </w:tblGrid>
      <w:tr>
        <w:tc>
          <w:tcPr>
            <w:tcW w:type="dxa" w:w="4320"/>
          </w:tcPr>
          <w:p>
            <w:r>
              <w:t>Lifecycle Stage</w:t>
            </w:r>
          </w:p>
        </w:tc>
        <w:tc>
          <w:tcPr>
            <w:tcW w:type="dxa" w:w="4320"/>
          </w:tcPr>
          <w:p>
            <w:r>
              <w:t>Description</w:t>
            </w:r>
          </w:p>
        </w:tc>
      </w:tr>
      <w:tr>
        <w:tc>
          <w:tcPr>
            <w:tcW w:type="dxa" w:w="4320"/>
          </w:tcPr>
          <w:p>
            <w:r>
              <w:t>Create / Collect</w:t>
            </w:r>
          </w:p>
        </w:tc>
        <w:tc>
          <w:tcPr>
            <w:tcW w:type="dxa" w:w="4320"/>
          </w:tcPr>
          <w:p>
            <w:r>
              <w:t>Data is generated, obtained, captured, purchased, or received.</w:t>
            </w:r>
          </w:p>
        </w:tc>
      </w:tr>
      <w:tr>
        <w:tc>
          <w:tcPr>
            <w:tcW w:type="dxa" w:w="4320"/>
          </w:tcPr>
          <w:p>
            <w:r>
              <w:t>Classify</w:t>
            </w:r>
          </w:p>
        </w:tc>
        <w:tc>
          <w:tcPr>
            <w:tcW w:type="dxa" w:w="4320"/>
          </w:tcPr>
          <w:p>
            <w:r>
              <w:t>Data is assessed and labelled according to sensitivity, criticality, and handling requirements.</w:t>
            </w:r>
          </w:p>
        </w:tc>
      </w:tr>
      <w:tr>
        <w:tc>
          <w:tcPr>
            <w:tcW w:type="dxa" w:w="4320"/>
          </w:tcPr>
          <w:p>
            <w:r>
              <w:t>Store</w:t>
            </w:r>
          </w:p>
        </w:tc>
        <w:tc>
          <w:tcPr>
            <w:tcW w:type="dxa" w:w="4320"/>
          </w:tcPr>
          <w:p>
            <w:r>
              <w:t>Data is retained in approved systems, repositories, or physical locations.</w:t>
            </w:r>
          </w:p>
        </w:tc>
      </w:tr>
      <w:tr>
        <w:tc>
          <w:tcPr>
            <w:tcW w:type="dxa" w:w="4320"/>
          </w:tcPr>
          <w:p>
            <w:r>
              <w:t>Use</w:t>
            </w:r>
          </w:p>
        </w:tc>
        <w:tc>
          <w:tcPr>
            <w:tcW w:type="dxa" w:w="4320"/>
          </w:tcPr>
          <w:p>
            <w:r>
              <w:t>Data is accessed, processed, analysed, reported, or transformed for approved purposes.</w:t>
            </w:r>
          </w:p>
        </w:tc>
      </w:tr>
      <w:tr>
        <w:tc>
          <w:tcPr>
            <w:tcW w:type="dxa" w:w="4320"/>
          </w:tcPr>
          <w:p>
            <w:r>
              <w:t>Share</w:t>
            </w:r>
          </w:p>
        </w:tc>
        <w:tc>
          <w:tcPr>
            <w:tcW w:type="dxa" w:w="4320"/>
          </w:tcPr>
          <w:p>
            <w:r>
              <w:t>Data is exchanged internally or externally through approved channels.</w:t>
            </w:r>
          </w:p>
        </w:tc>
      </w:tr>
      <w:tr>
        <w:tc>
          <w:tcPr>
            <w:tcW w:type="dxa" w:w="4320"/>
          </w:tcPr>
          <w:p>
            <w:r>
              <w:t>Maintain</w:t>
            </w:r>
          </w:p>
        </w:tc>
        <w:tc>
          <w:tcPr>
            <w:tcW w:type="dxa" w:w="4320"/>
          </w:tcPr>
          <w:p>
            <w:r>
              <w:t>Data is corrected, updated, enriched, monitored, and governed for quality.</w:t>
            </w:r>
          </w:p>
        </w:tc>
      </w:tr>
      <w:tr>
        <w:tc>
          <w:tcPr>
            <w:tcW w:type="dxa" w:w="4320"/>
          </w:tcPr>
          <w:p>
            <w:r>
              <w:t>Retain / Archive</w:t>
            </w:r>
          </w:p>
        </w:tc>
        <w:tc>
          <w:tcPr>
            <w:tcW w:type="dxa" w:w="4320"/>
          </w:tcPr>
          <w:p>
            <w:r>
              <w:t>Data is preserved for business, legal, regulatory, contractual, historical, or audit needs.</w:t>
            </w:r>
          </w:p>
        </w:tc>
      </w:tr>
      <w:tr>
        <w:tc>
          <w:tcPr>
            <w:tcW w:type="dxa" w:w="4320"/>
          </w:tcPr>
          <w:p>
            <w:r>
              <w:t>Dispose</w:t>
            </w:r>
          </w:p>
        </w:tc>
        <w:tc>
          <w:tcPr>
            <w:tcW w:type="dxa" w:w="4320"/>
          </w:tcPr>
          <w:p>
            <w:r>
              <w:t>Data is securely deleted, destroyed, anonymised, or otherwise rendered unrecoverable when no longer required.</w:t>
            </w:r>
          </w:p>
        </w:tc>
      </w:tr>
    </w:tbl>
    <w:p>
      <w:r>
        <w:t>This policy does not replace more specific requirements in privacy, records management, information security, acceptable use, third-party risk management, incident management, or business continuity policies. Where multiple requirements apply, the most protective requirement shall prevail.</w:t>
      </w:r>
    </w:p>
    <w:p>
      <w:pPr>
        <w:pStyle w:val="Heading2"/>
      </w:pPr>
      <w:r>
        <w:t>Policy Statements</w:t>
      </w:r>
    </w:p>
    <w:p>
      <w:pPr>
        <w:pStyle w:val="ListBullet"/>
      </w:pPr>
      <w:r>
        <w:t>Data governance accountability</w:t>
      </w:r>
    </w:p>
    <w:p>
      <w:pPr>
        <w:pStyle w:val="ListBullet"/>
      </w:pPr>
      <w:r>
        <w:t>The organisation shall govern data as a critical business asset with defined accountability, decision rights, and management responsibilities.</w:t>
      </w:r>
    </w:p>
    <w:p>
      <w:pPr>
        <w:pStyle w:val="ListBullet"/>
      </w:pPr>
      <w:r>
        <w:t>Each significant data domain shall have an assigned Data Owner who is accountable for the appropriate use, protection, quality, retention, and classification of data within that domain.</w:t>
      </w:r>
    </w:p>
    <w:p>
      <w:pPr>
        <w:pStyle w:val="ListBullet"/>
      </w:pPr>
      <w:r>
        <w:t>Data ownership shall be assigned based on business accountability, not system administration responsibility.</w:t>
      </w:r>
    </w:p>
    <w:p>
      <w:pPr>
        <w:pStyle w:val="ListBullet"/>
      </w:pPr>
      <w:r>
        <w:t>Data governance decisions shall consider business value, risk, privacy, security, regulatory obligations, operational impact, and stakeholder needs.</w:t>
      </w:r>
    </w:p>
    <w:p>
      <w:pPr>
        <w:pStyle w:val="ListBullet"/>
      </w:pPr>
      <w:r>
        <w:t>Data management requirements shall be embedded into business processes, system design, project delivery, procurement, change management, and operational support.</w:t>
      </w:r>
    </w:p>
    <w:p>
      <w:pPr>
        <w:pStyle w:val="ListBullet"/>
      </w:pPr>
      <w:r>
        <w:t>Data domain and data owner assignment</w:t>
      </w:r>
    </w:p>
    <w:p>
      <w:pPr>
        <w:pStyle w:val="ListBullet"/>
      </w:pPr>
      <w:r>
        <w:t>The organisation shall maintain an approved register of data domains, Data Owners, Data Stewards, custodians, and key systems of record.</w:t>
      </w:r>
    </w:p>
    <w:p>
      <w:pPr>
        <w:pStyle w:val="ListBullet"/>
      </w:pPr>
      <w:r>
        <w:t>A Data Owner shall be assigned before new significant data collections, repositories, integrations, analytics datasets, or reporting solutions are implemented.</w:t>
      </w:r>
    </w:p>
    <w:p>
      <w:pPr>
        <w:pStyle w:val="ListBullet"/>
      </w:pPr>
      <w:r>
        <w:t>Where data spans multiple business functions, a lead Data Owner shall be assigned, and shared responsibilities shall be documented.</w:t>
      </w:r>
    </w:p>
    <w:p>
      <w:pPr>
        <w:pStyle w:val="ListBullet"/>
      </w:pPr>
      <w:r>
        <w:t>Ownership disputes shall be escalated to the data governance forum or equivalent decision-making body for resolution.</w:t>
      </w:r>
    </w:p>
    <w:p>
      <w:pPr>
        <w:pStyle w:val="ListBullet"/>
      </w:pPr>
      <w:r>
        <w:t>Data ownership shall be reviewed whenever there is a material change to business processes, systems, organisational structure, legal obligations, or data usage.</w:t>
      </w:r>
    </w:p>
    <w:p>
      <w:pPr>
        <w:pStyle w:val="ListBullet"/>
      </w:pPr>
      <w:r>
        <w:t>Data catalogue</w:t>
      </w:r>
    </w:p>
    <w:p>
      <w:pPr>
        <w:pStyle w:val="ListBullet"/>
      </w:pPr>
      <w:r>
        <w:t>The organisation shall maintain an authoritative data catalogue for significant data assets.</w:t>
      </w:r>
    </w:p>
    <w:p>
      <w:pPr>
        <w:pStyle w:val="ListBullet"/>
      </w:pPr>
      <w:r>
        <w:t>Data assets shall be recorded in the catalogue before being used for production reporting, analytics, integration, external sharing, or material business decision-making.</w:t>
      </w:r>
    </w:p>
    <w:p>
      <w:pPr>
        <w:pStyle w:val="ListBullet"/>
      </w:pPr>
      <w:r>
        <w:t>The data catalogue shall identify, at minimum, the data asset name, description, business purpose, Data Owner, Data Steward, system of record, classification, retention requirement, key users, permitted uses, sharing restrictions, quality expectations, and lineage where available.</w:t>
      </w:r>
    </w:p>
    <w:p>
      <w:pPr>
        <w:pStyle w:val="ListBullet"/>
      </w:pPr>
      <w:r>
        <w:t>The data catalogue shall distinguish between authoritative sources, derived datasets, replicas, extracts, reports, and unofficial working copies.</w:t>
      </w:r>
    </w:p>
    <w:p>
      <w:pPr>
        <w:pStyle w:val="ListBullet"/>
      </w:pPr>
      <w:r>
        <w:t>Data catalogue entries shall be kept current and reviewed by the assigned Data Owner or Data Steward at defined intervals.</w:t>
      </w:r>
    </w:p>
    <w:p>
      <w:pPr>
        <w:pStyle w:val="ListBullet"/>
      </w:pPr>
      <w:r>
        <w:t>Business terms used in material reporting, regulatory submissions, customer processes, finance processes, risk management, and operational performance measurement shall be defined in the data catalogue or approved business glossary.</w:t>
      </w:r>
    </w:p>
    <w:p>
      <w:pPr>
        <w:pStyle w:val="ListBullet"/>
      </w:pPr>
      <w:r>
        <w:t>Data assets not recorded in the approved catalogue shall not be treated as authoritative sources for critical business decisions unless formally approved as an exception.</w:t>
      </w:r>
    </w:p>
    <w:p>
      <w:pPr>
        <w:pStyle w:val="ListBullet"/>
      </w:pPr>
      <w:r>
        <w:t>Minimum catalogue content</w:t>
      </w:r>
    </w:p>
    <w:p>
      <w:pPr>
        <w:pStyle w:val="ListBullet"/>
      </w:pPr>
      <w:r>
        <w:t>Catalogue records for significant data assets shall include the following mandatory fields:</w:t>
      </w:r>
    </w:p>
    <w:tbl>
      <w:tblPr>
        <w:tblStyle w:val="TableGrid"/>
        <w:tblW w:type="auto" w:w="0"/>
        <w:tblLook w:firstColumn="1" w:firstRow="1" w:lastColumn="0" w:lastRow="0" w:noHBand="0" w:noVBand="1" w:val="04A0"/>
      </w:tblPr>
      <w:tblGrid>
        <w:gridCol w:w="4320"/>
        <w:gridCol w:w="4320"/>
      </w:tblGrid>
      <w:tr>
        <w:tc>
          <w:tcPr>
            <w:tcW w:type="dxa" w:w="4320"/>
          </w:tcPr>
          <w:p>
            <w:r>
              <w:t>Catalogue Field</w:t>
            </w:r>
          </w:p>
        </w:tc>
        <w:tc>
          <w:tcPr>
            <w:tcW w:type="dxa" w:w="4320"/>
          </w:tcPr>
          <w:p>
            <w:r>
              <w:t>Requirement</w:t>
            </w:r>
          </w:p>
        </w:tc>
      </w:tr>
      <w:tr>
        <w:tc>
          <w:tcPr>
            <w:tcW w:type="dxa" w:w="4320"/>
          </w:tcPr>
          <w:p>
            <w:r>
              <w:t>Data Asset Name</w:t>
            </w:r>
          </w:p>
        </w:tc>
        <w:tc>
          <w:tcPr>
            <w:tcW w:type="dxa" w:w="4320"/>
          </w:tcPr>
          <w:p>
            <w:r>
              <w:t>Clear, unique, and business-recognisable name.</w:t>
            </w:r>
          </w:p>
        </w:tc>
      </w:tr>
      <w:tr>
        <w:tc>
          <w:tcPr>
            <w:tcW w:type="dxa" w:w="4320"/>
          </w:tcPr>
          <w:p>
            <w:r>
              <w:t>Business Description</w:t>
            </w:r>
          </w:p>
        </w:tc>
        <w:tc>
          <w:tcPr>
            <w:tcW w:type="dxa" w:w="4320"/>
          </w:tcPr>
          <w:p>
            <w:r>
              <w:t>Plain-language description of the data and its intended purpose.</w:t>
            </w:r>
          </w:p>
        </w:tc>
      </w:tr>
      <w:tr>
        <w:tc>
          <w:tcPr>
            <w:tcW w:type="dxa" w:w="4320"/>
          </w:tcPr>
          <w:p>
            <w:r>
              <w:t>Data Domain</w:t>
            </w:r>
          </w:p>
        </w:tc>
        <w:tc>
          <w:tcPr>
            <w:tcW w:type="dxa" w:w="4320"/>
          </w:tcPr>
          <w:p>
            <w:r>
              <w:t>Approved domain or subject area to which the data belongs.</w:t>
            </w:r>
          </w:p>
        </w:tc>
      </w:tr>
      <w:tr>
        <w:tc>
          <w:tcPr>
            <w:tcW w:type="dxa" w:w="4320"/>
          </w:tcPr>
          <w:p>
            <w:r>
              <w:t>Data Owner</w:t>
            </w:r>
          </w:p>
        </w:tc>
        <w:tc>
          <w:tcPr>
            <w:tcW w:type="dxa" w:w="4320"/>
          </w:tcPr>
          <w:p>
            <w:r>
              <w:t>Accountable business owner for the data.</w:t>
            </w:r>
          </w:p>
        </w:tc>
      </w:tr>
      <w:tr>
        <w:tc>
          <w:tcPr>
            <w:tcW w:type="dxa" w:w="4320"/>
          </w:tcPr>
          <w:p>
            <w:r>
              <w:t>Data Steward</w:t>
            </w:r>
          </w:p>
        </w:tc>
        <w:tc>
          <w:tcPr>
            <w:tcW w:type="dxa" w:w="4320"/>
          </w:tcPr>
          <w:p>
            <w:r>
              <w:t>Person or role responsible for day-to-day data management coordination.</w:t>
            </w:r>
          </w:p>
        </w:tc>
      </w:tr>
      <w:tr>
        <w:tc>
          <w:tcPr>
            <w:tcW w:type="dxa" w:w="4320"/>
          </w:tcPr>
          <w:p>
            <w:r>
              <w:t>System of Record</w:t>
            </w:r>
          </w:p>
        </w:tc>
        <w:tc>
          <w:tcPr>
            <w:tcW w:type="dxa" w:w="4320"/>
          </w:tcPr>
          <w:p>
            <w:r>
              <w:t>Authoritative source system or repository.</w:t>
            </w:r>
          </w:p>
        </w:tc>
      </w:tr>
      <w:tr>
        <w:tc>
          <w:tcPr>
            <w:tcW w:type="dxa" w:w="4320"/>
          </w:tcPr>
          <w:p>
            <w:r>
              <w:t>System Custodian</w:t>
            </w:r>
          </w:p>
        </w:tc>
        <w:tc>
          <w:tcPr>
            <w:tcW w:type="dxa" w:w="4320"/>
          </w:tcPr>
          <w:p>
            <w:r>
              <w:t>Technical owner or service team responsible for platform operation.</w:t>
            </w:r>
          </w:p>
        </w:tc>
      </w:tr>
      <w:tr>
        <w:tc>
          <w:tcPr>
            <w:tcW w:type="dxa" w:w="4320"/>
          </w:tcPr>
          <w:p>
            <w:r>
              <w:t>Classification</w:t>
            </w:r>
          </w:p>
        </w:tc>
        <w:tc>
          <w:tcPr>
            <w:tcW w:type="dxa" w:w="4320"/>
          </w:tcPr>
          <w:p>
            <w:r>
              <w:t>Approved data classification level.</w:t>
            </w:r>
          </w:p>
        </w:tc>
      </w:tr>
      <w:tr>
        <w:tc>
          <w:tcPr>
            <w:tcW w:type="dxa" w:w="4320"/>
          </w:tcPr>
          <w:p>
            <w:r>
              <w:t>Data Subject / Entity</w:t>
            </w:r>
          </w:p>
        </w:tc>
        <w:tc>
          <w:tcPr>
            <w:tcW w:type="dxa" w:w="4320"/>
          </w:tcPr>
          <w:p>
            <w:r>
              <w:t>Main person, organisation, product, transaction, asset, or process represented.</w:t>
            </w:r>
          </w:p>
        </w:tc>
      </w:tr>
      <w:tr>
        <w:tc>
          <w:tcPr>
            <w:tcW w:type="dxa" w:w="4320"/>
          </w:tcPr>
          <w:p>
            <w:r>
              <w:t>Permitted Uses</w:t>
            </w:r>
          </w:p>
        </w:tc>
        <w:tc>
          <w:tcPr>
            <w:tcW w:type="dxa" w:w="4320"/>
          </w:tcPr>
          <w:p>
            <w:r>
              <w:t>Approved business, operational, reporting, analytics, or compliance purposes.</w:t>
            </w:r>
          </w:p>
        </w:tc>
      </w:tr>
      <w:tr>
        <w:tc>
          <w:tcPr>
            <w:tcW w:type="dxa" w:w="4320"/>
          </w:tcPr>
          <w:p>
            <w:r>
              <w:t>Restricted Uses</w:t>
            </w:r>
          </w:p>
        </w:tc>
        <w:tc>
          <w:tcPr>
            <w:tcW w:type="dxa" w:w="4320"/>
          </w:tcPr>
          <w:p>
            <w:r>
              <w:t>Prohibited or conditional uses, including privacy, ethical, contractual, or regulatory restrictions.</w:t>
            </w:r>
          </w:p>
        </w:tc>
      </w:tr>
      <w:tr>
        <w:tc>
          <w:tcPr>
            <w:tcW w:type="dxa" w:w="4320"/>
          </w:tcPr>
          <w:p>
            <w:r>
              <w:t>Retention Requirement</w:t>
            </w:r>
          </w:p>
        </w:tc>
        <w:tc>
          <w:tcPr>
            <w:tcW w:type="dxa" w:w="4320"/>
          </w:tcPr>
          <w:p>
            <w:r>
              <w:t>Approved retention period or retention schedule reference.</w:t>
            </w:r>
          </w:p>
        </w:tc>
      </w:tr>
      <w:tr>
        <w:tc>
          <w:tcPr>
            <w:tcW w:type="dxa" w:w="4320"/>
          </w:tcPr>
          <w:p>
            <w:r>
              <w:t>Disposal Method</w:t>
            </w:r>
          </w:p>
        </w:tc>
        <w:tc>
          <w:tcPr>
            <w:tcW w:type="dxa" w:w="4320"/>
          </w:tcPr>
          <w:p>
            <w:r>
              <w:t>Approved secure disposal, destruction, anonymisation, or archival method.</w:t>
            </w:r>
          </w:p>
        </w:tc>
      </w:tr>
      <w:tr>
        <w:tc>
          <w:tcPr>
            <w:tcW w:type="dxa" w:w="4320"/>
          </w:tcPr>
          <w:p>
            <w:r>
              <w:t>Quality Rules</w:t>
            </w:r>
          </w:p>
        </w:tc>
        <w:tc>
          <w:tcPr>
            <w:tcW w:type="dxa" w:w="4320"/>
          </w:tcPr>
          <w:p>
            <w:r>
              <w:t>Key completeness, accuracy, validity, timeliness, uniqueness, or consistency expectations.</w:t>
            </w:r>
          </w:p>
        </w:tc>
      </w:tr>
      <w:tr>
        <w:tc>
          <w:tcPr>
            <w:tcW w:type="dxa" w:w="4320"/>
          </w:tcPr>
          <w:p>
            <w:r>
              <w:t>Criticality</w:t>
            </w:r>
          </w:p>
        </w:tc>
        <w:tc>
          <w:tcPr>
            <w:tcW w:type="dxa" w:w="4320"/>
          </w:tcPr>
          <w:p>
            <w:r>
              <w:t>Business criticality and impact if unavailable, inaccurate, or disclosed.</w:t>
            </w:r>
          </w:p>
        </w:tc>
      </w:tr>
      <w:tr>
        <w:tc>
          <w:tcPr>
            <w:tcW w:type="dxa" w:w="4320"/>
          </w:tcPr>
          <w:p>
            <w:r>
              <w:t>Lineage</w:t>
            </w:r>
          </w:p>
        </w:tc>
        <w:tc>
          <w:tcPr>
            <w:tcW w:type="dxa" w:w="4320"/>
          </w:tcPr>
          <w:p>
            <w:r>
              <w:t>Known source, transformation, integration, and downstream usage details.</w:t>
            </w:r>
          </w:p>
        </w:tc>
      </w:tr>
      <w:tr>
        <w:tc>
          <w:tcPr>
            <w:tcW w:type="dxa" w:w="4320"/>
          </w:tcPr>
          <w:p>
            <w:r>
              <w:t>Access Requirements</w:t>
            </w:r>
          </w:p>
        </w:tc>
        <w:tc>
          <w:tcPr>
            <w:tcW w:type="dxa" w:w="4320"/>
          </w:tcPr>
          <w:p>
            <w:r>
              <w:t>Access eligibility, approval requirements, and segregation considerations.</w:t>
            </w:r>
          </w:p>
        </w:tc>
      </w:tr>
      <w:tr>
        <w:tc>
          <w:tcPr>
            <w:tcW w:type="dxa" w:w="4320"/>
          </w:tcPr>
          <w:p>
            <w:r>
              <w:t>External Sharing</w:t>
            </w:r>
          </w:p>
        </w:tc>
        <w:tc>
          <w:tcPr>
            <w:tcW w:type="dxa" w:w="4320"/>
          </w:tcPr>
          <w:p>
            <w:r>
              <w:t>Approved external recipients, transfer methods, and contractual safeguards.</w:t>
            </w:r>
          </w:p>
        </w:tc>
      </w:tr>
      <w:tr>
        <w:tc>
          <w:tcPr>
            <w:tcW w:type="dxa" w:w="4320"/>
          </w:tcPr>
          <w:p>
            <w:r>
              <w:t>Review Date</w:t>
            </w:r>
          </w:p>
        </w:tc>
        <w:tc>
          <w:tcPr>
            <w:tcW w:type="dxa" w:w="4320"/>
          </w:tcPr>
          <w:p>
            <w:r>
              <w:t>Date of last review and next required review.</w:t>
            </w:r>
          </w:p>
        </w:tc>
      </w:tr>
    </w:tbl>
    <w:p>
      <w:pPr>
        <w:pStyle w:val="ListBullet"/>
      </w:pPr>
      <w:r>
        <w:t>Data classification</w:t>
      </w:r>
    </w:p>
    <w:p>
      <w:pPr>
        <w:pStyle w:val="ListBullet"/>
      </w:pPr>
      <w:r>
        <w:t>All organisational data shall be classified according to approved classification levels based on sensitivity, confidentiality, regulatory obligations, business criticality, and potential harm from unauthorised disclosure, alteration, loss, or misuse.</w:t>
      </w:r>
    </w:p>
    <w:p>
      <w:pPr>
        <w:pStyle w:val="ListBullet"/>
      </w:pPr>
      <w:r>
        <w:t>Data shall be classified at creation or collection and reviewed when its content, context, use, audience, or regulatory status changes.</w:t>
      </w:r>
    </w:p>
    <w:p>
      <w:pPr>
        <w:pStyle w:val="ListBullet"/>
      </w:pPr>
      <w:r>
        <w:t>Where a dataset contains multiple data types, the highest applicable classification shall apply unless approved controls allow segregation or de-identification.</w:t>
      </w:r>
    </w:p>
    <w:p>
      <w:pPr>
        <w:pStyle w:val="ListBullet"/>
      </w:pPr>
      <w:r>
        <w:t>Classification labels shall be visible or otherwise technically enforceable where supported by the relevant system or repository.</w:t>
      </w:r>
    </w:p>
    <w:p>
      <w:pPr>
        <w:pStyle w:val="ListBullet"/>
      </w:pPr>
      <w:r>
        <w:t>Data classification shall determine minimum handling, access, storage, transmission, sharing, retention, monitoring, and disposal requirements.</w:t>
      </w:r>
    </w:p>
    <w:p>
      <w:pPr>
        <w:pStyle w:val="ListBullet"/>
      </w:pPr>
      <w:r>
        <w:t>Data classified above public level shall not be stored, shared, or processed using unauthorised tools, personal accounts, unmanaged devices, or consumer services.</w:t>
      </w:r>
    </w:p>
    <w:p>
      <w:pPr>
        <w:pStyle w:val="ListBullet"/>
      </w:pPr>
      <w:r>
        <w:t>Approved classification scheme</w:t>
      </w:r>
    </w:p>
    <w:p>
      <w:pPr>
        <w:pStyle w:val="ListBullet"/>
      </w:pPr>
      <w:r>
        <w:t>The organisation shall use the following classification scheme unless a more specific approved scheme applies: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Classification</w:t>
            </w:r>
          </w:p>
        </w:tc>
        <w:tc>
          <w:tcPr>
            <w:tcW w:type="dxa" w:w="2160"/>
          </w:tcPr>
          <w:p>
            <w:r>
              <w:t>Description</w:t>
            </w:r>
          </w:p>
        </w:tc>
        <w:tc>
          <w:tcPr>
            <w:tcW w:type="dxa" w:w="2160"/>
          </w:tcPr>
          <w:p>
            <w:r>
              <w:t>Examples</w:t>
            </w:r>
          </w:p>
        </w:tc>
        <w:tc>
          <w:tcPr>
            <w:tcW w:type="dxa" w:w="2160"/>
          </w:tcPr>
          <w:p>
            <w:r>
              <w:t>Minimum Handling Requirements</w:t>
            </w:r>
          </w:p>
        </w:tc>
      </w:tr>
      <w:tr>
        <w:tc>
          <w:tcPr>
            <w:tcW w:type="dxa" w:w="2160"/>
          </w:tcPr>
          <w:p>
            <w:r>
              <w:t>Public</w:t>
            </w:r>
          </w:p>
        </w:tc>
        <w:tc>
          <w:tcPr>
            <w:tcW w:type="dxa" w:w="2160"/>
          </w:tcPr>
          <w:p>
            <w:r>
              <w:t>Approved for public release and not expected to cause harm if disclosed.</w:t>
            </w:r>
          </w:p>
        </w:tc>
        <w:tc>
          <w:tcPr>
            <w:tcW w:type="dxa" w:w="2160"/>
          </w:tcPr>
          <w:p>
            <w:r>
              <w:t>Published marketing material, public website content, approved press releases.</w:t>
            </w:r>
          </w:p>
        </w:tc>
        <w:tc>
          <w:tcPr>
            <w:tcW w:type="dxa" w:w="2160"/>
          </w:tcPr>
          <w:p>
            <w:r>
              <w:t>May be shared externally after approval for publication; integrity shall be protected.</w:t>
            </w:r>
          </w:p>
        </w:tc>
      </w:tr>
      <w:tr>
        <w:tc>
          <w:tcPr>
            <w:tcW w:type="dxa" w:w="2160"/>
          </w:tcPr>
          <w:p>
            <w:r>
              <w:t>Internal</w:t>
            </w:r>
          </w:p>
        </w:tc>
        <w:tc>
          <w:tcPr>
            <w:tcW w:type="dxa" w:w="2160"/>
          </w:tcPr>
          <w:p>
            <w:r>
              <w:t>Intended for internal business use and not approved for public release.</w:t>
            </w:r>
          </w:p>
        </w:tc>
        <w:tc>
          <w:tcPr>
            <w:tcW w:type="dxa" w:w="2160"/>
          </w:tcPr>
          <w:p>
            <w:r>
              <w:t>Internal procedures, routine operational reports, internal meeting materials.</w:t>
            </w:r>
          </w:p>
        </w:tc>
        <w:tc>
          <w:tcPr>
            <w:tcW w:type="dxa" w:w="2160"/>
          </w:tcPr>
          <w:p>
            <w:r>
              <w:t>Access limited to authorised personnel and approved third parties with a business need.</w:t>
            </w:r>
          </w:p>
        </w:tc>
      </w:tr>
      <w:tr>
        <w:tc>
          <w:tcPr>
            <w:tcW w:type="dxa" w:w="2160"/>
          </w:tcPr>
          <w:p>
            <w:r>
              <w:t>Confidential</w:t>
            </w:r>
          </w:p>
        </w:tc>
        <w:tc>
          <w:tcPr>
            <w:tcW w:type="dxa" w:w="2160"/>
          </w:tcPr>
          <w:p>
            <w:r>
              <w:t>Sensitive business, customer, employee, financial, commercial, legal, or operational data where unauthorised disclosure could cause harm.</w:t>
            </w:r>
          </w:p>
        </w:tc>
        <w:tc>
          <w:tcPr>
            <w:tcW w:type="dxa" w:w="2160"/>
          </w:tcPr>
          <w:p>
            <w:r>
              <w:t>Customer records, employee records, contracts, non-public financials, security documentation.</w:t>
            </w:r>
          </w:p>
        </w:tc>
        <w:tc>
          <w:tcPr>
            <w:tcW w:type="dxa" w:w="2160"/>
          </w:tcPr>
          <w:p>
            <w:r>
              <w:t>Access shall be role-based; encryption required for storage or transmission where supported; external sharing requires approval and safeguards.</w:t>
            </w:r>
          </w:p>
        </w:tc>
      </w:tr>
      <w:tr>
        <w:tc>
          <w:tcPr>
            <w:tcW w:type="dxa" w:w="2160"/>
          </w:tcPr>
          <w:p>
            <w:r>
              <w:t>Restricted</w:t>
            </w:r>
          </w:p>
        </w:tc>
        <w:tc>
          <w:tcPr>
            <w:tcW w:type="dxa" w:w="2160"/>
          </w:tcPr>
          <w:p>
            <w:r>
              <w:t>Highly sensitive data where unauthorised disclosure, alteration, or loss could cause serious legal, regulatory, financial, operational, safety, or reputational harm.</w:t>
            </w:r>
          </w:p>
        </w:tc>
        <w:tc>
          <w:tcPr>
            <w:tcW w:type="dxa" w:w="2160"/>
          </w:tcPr>
          <w:p>
            <w:r>
              <w:t>Authentication secrets, high-risk personal data, payment data, merger activity, privileged legal material, critical infrastructure information.</w:t>
            </w:r>
          </w:p>
        </w:tc>
        <w:tc>
          <w:tcPr>
            <w:tcW w:type="dxa" w:w="2160"/>
          </w:tcPr>
          <w:p>
            <w:r>
              <w:t>Access shall be strictly limited, monitored, and periodically reviewed; strong encryption and approved secure transfer required; external sharing requires formal approval and documented controls.</w:t>
            </w:r>
          </w:p>
        </w:tc>
      </w:tr>
    </w:tbl>
    <w:p>
      <w:pPr>
        <w:pStyle w:val="ListBullet"/>
      </w:pPr>
      <w:r>
        <w:t>Data handling requirements</w:t>
      </w:r>
    </w:p>
    <w:p>
      <w:pPr>
        <w:pStyle w:val="ListBullet"/>
      </w:pPr>
      <w:r>
        <w:t>Data shall be handled in accordance with its approved classification and business purpose.</w:t>
      </w:r>
    </w:p>
    <w:p>
      <w:pPr>
        <w:pStyle w:val="ListBullet"/>
      </w:pPr>
      <w:r>
        <w:t>Access to data shall be granted only to authorised users with a legitimate business need and approved role.</w:t>
      </w:r>
    </w:p>
    <w:p>
      <w:pPr>
        <w:pStyle w:val="ListBullet"/>
      </w:pPr>
      <w:r>
        <w:t>Access rights to Confidential and Restricted data shall be reviewed periodically by the Data Owner or delegate.</w:t>
      </w:r>
    </w:p>
    <w:p>
      <w:pPr>
        <w:pStyle w:val="ListBullet"/>
      </w:pPr>
      <w:r>
        <w:t>Privileged access to data platforms, repositories, and administrative tools shall be limited, monitored, and approved.</w:t>
      </w:r>
    </w:p>
    <w:p>
      <w:pPr>
        <w:pStyle w:val="ListBullet"/>
      </w:pPr>
      <w:r>
        <w:t>Confidential and Restricted data shall be encrypted during transmission over untrusted networks and protected at rest where supported by approved technology.</w:t>
      </w:r>
    </w:p>
    <w:p>
      <w:pPr>
        <w:pStyle w:val="ListBullet"/>
      </w:pPr>
      <w:r>
        <w:t>Data transfers shall use approved secure methods and shall not rely on personal email accounts, unauthorised file-sharing services, removable media, or unmanaged collaboration channels.</w:t>
      </w:r>
    </w:p>
    <w:p>
      <w:pPr>
        <w:pStyle w:val="ListBullet"/>
      </w:pPr>
      <w:r>
        <w:t>Physical records containing Confidential or Restricted data shall be stored securely, protected from unauthorised access, and destroyed using approved secure destruction methods.</w:t>
      </w:r>
    </w:p>
    <w:p>
      <w:pPr>
        <w:pStyle w:val="ListBullet"/>
      </w:pPr>
      <w:r>
        <w:t>Data shall not be copied, extracted, downloaded, printed, cached, or replicated unless required for an approved business purpose and protected according to classification.</w:t>
      </w:r>
    </w:p>
    <w:p>
      <w:pPr>
        <w:pStyle w:val="ListBullet"/>
      </w:pPr>
      <w:r>
        <w:t>Screenshots, exports, reports, extracts, and backups shall inherit the classification and handling requirements of the underlying data.</w:t>
      </w:r>
    </w:p>
    <w:p>
      <w:pPr>
        <w:pStyle w:val="ListBullet"/>
      </w:pPr>
      <w:r>
        <w:t>Production data shall not be used in development, testing, training, or demonstration environments unless approved, protected, and minimised; where feasible, masking, tokenisation, synthetic data, or anonymisation shall be used.</w:t>
      </w:r>
    </w:p>
    <w:p>
      <w:pPr>
        <w:pStyle w:val="ListBullet"/>
      </w:pPr>
      <w:r>
        <w:t>Data lifecycle management</w:t>
      </w:r>
    </w:p>
    <w:p>
      <w:pPr>
        <w:pStyle w:val="ListBullet"/>
      </w:pPr>
      <w:r>
        <w:t>Data shall be managed throughout its lifecycle using documented rules for collection, classification, storage, use, sharing, retention, archival, and disposal.</w:t>
      </w:r>
    </w:p>
    <w:p>
      <w:pPr>
        <w:pStyle w:val="ListBullet"/>
      </w:pPr>
      <w:r>
        <w:t>New data collection shall have a defined business purpose, lawful or authorised basis where applicable, assigned owner, classification, retention requirement, and approved storage location.</w:t>
      </w:r>
    </w:p>
    <w:p>
      <w:pPr>
        <w:pStyle w:val="ListBullet"/>
      </w:pPr>
      <w:r>
        <w:t>Data shall be collected only to the extent necessary for approved business, legal, contractual, operational, or compliance purposes.</w:t>
      </w:r>
    </w:p>
    <w:p>
      <w:pPr>
        <w:pStyle w:val="ListBullet"/>
      </w:pPr>
      <w:r>
        <w:t>Data shall be stored only in approved systems, repositories, or physical locations that meet applicable security, resilience, retention, and access requirements.</w:t>
      </w:r>
    </w:p>
    <w:p>
      <w:pPr>
        <w:pStyle w:val="ListBullet"/>
      </w:pPr>
      <w:r>
        <w:t>Data shall be retained for no longer than necessary unless subject to legal hold, investigation, contractual obligation, regulatory requirement, or approved business need.</w:t>
      </w:r>
    </w:p>
    <w:p>
      <w:pPr>
        <w:pStyle w:val="ListBullet"/>
      </w:pPr>
      <w:r>
        <w:t>Data shall be disposed of securely when retention requirements expire and no approved hold applies.</w:t>
      </w:r>
    </w:p>
    <w:p>
      <w:pPr>
        <w:pStyle w:val="ListBullet"/>
      </w:pPr>
      <w:r>
        <w:t>Archived data shall remain subject to ownership, classification, access control, retention, retrieval, and disposal requirements.</w:t>
      </w:r>
    </w:p>
    <w:p>
      <w:pPr>
        <w:pStyle w:val="ListBullet"/>
      </w:pPr>
      <w:r>
        <w:t>Lifecycle controls shall be automated where practical to reduce manual error, improve consistency, and support auditability.</w:t>
      </w:r>
    </w:p>
    <w:p>
      <w:pPr>
        <w:pStyle w:val="ListBullet"/>
      </w:pPr>
      <w:r>
        <w:t>Retention and disposal</w:t>
      </w:r>
    </w:p>
    <w:p>
      <w:pPr>
        <w:pStyle w:val="ListBullet"/>
      </w:pPr>
      <w:r>
        <w:t>Data Owners shall define or confirm retention requirements for data within their domains in alignment with approved retention schedules, legal requirements, regulatory expectations, business needs, and contractual obligations.</w:t>
      </w:r>
    </w:p>
    <w:p>
      <w:pPr>
        <w:pStyle w:val="ListBullet"/>
      </w:pPr>
      <w:r>
        <w:t>Retention periods shall be documented in the data catalogue or approved records schedule.</w:t>
      </w:r>
    </w:p>
    <w:p>
      <w:pPr>
        <w:pStyle w:val="ListBullet"/>
      </w:pPr>
      <w:r>
        <w:t>Disposal actions shall be authorised, traceable, and appropriate to the data classification and storage medium.</w:t>
      </w:r>
    </w:p>
    <w:p>
      <w:pPr>
        <w:pStyle w:val="ListBullet"/>
      </w:pPr>
      <w:r>
        <w:t>Disposal of Confidential and Restricted data shall render the data unreadable, unrecoverable, or permanently inaccessible using approved methods.</w:t>
      </w:r>
    </w:p>
    <w:p>
      <w:pPr>
        <w:pStyle w:val="ListBullet"/>
      </w:pPr>
      <w:r>
        <w:t>Data subject to legal hold, regulatory investigation, audit requirement, dispute, or incident investigation shall not be deleted, altered, anonymised, overwritten, or destroyed until the hold is formally released.</w:t>
      </w:r>
    </w:p>
    <w:p>
      <w:pPr>
        <w:pStyle w:val="ListBullet"/>
      </w:pPr>
      <w:r>
        <w:t>Backup retention shall be aligned with operational recovery requirements and shall not be used to extend business retention unnecessarily.</w:t>
      </w:r>
    </w:p>
    <w:p>
      <w:pPr>
        <w:pStyle w:val="ListBullet"/>
      </w:pPr>
      <w:r>
        <w:t>Disposal evidence shall be retained where required for audit, legal, regulatory, or contractual purposes.</w:t>
      </w:r>
    </w:p>
    <w:p>
      <w:pPr>
        <w:pStyle w:val="ListBullet"/>
      </w:pPr>
      <w:r>
        <w:t>Data quality</w:t>
      </w:r>
    </w:p>
    <w:p>
      <w:pPr>
        <w:pStyle w:val="ListBullet"/>
      </w:pPr>
      <w:r>
        <w:t>Data Owners shall define data quality expectations for significant data assets based on intended use and business impact.</w:t>
      </w:r>
    </w:p>
    <w:p>
      <w:pPr>
        <w:pStyle w:val="ListBullet"/>
      </w:pPr>
      <w:r>
        <w:t>Data quality requirements shall address relevant dimensions such as accuracy, completeness, validity, timeliness, consistency, uniqueness, integrity, availability, and traceability.</w:t>
      </w:r>
    </w:p>
    <w:p>
      <w:pPr>
        <w:pStyle w:val="ListBullet"/>
      </w:pPr>
      <w:r>
        <w:t>Data Stewards shall monitor data quality for assigned data assets and coordinate remediation of identified issues.</w:t>
      </w:r>
    </w:p>
    <w:p>
      <w:pPr>
        <w:pStyle w:val="ListBullet"/>
      </w:pPr>
      <w:r>
        <w:t>Critical data elements shall be identified for key business processes, regulatory reporting, financial reporting, customer operations, risk management, and executive decision-making.</w:t>
      </w:r>
    </w:p>
    <w:p>
      <w:pPr>
        <w:pStyle w:val="ListBullet"/>
      </w:pPr>
      <w:r>
        <w:t>Data quality issues that could materially affect business decisions, customer outcomes, regulatory submissions, financial results, security, privacy, or operational resilience shall be logged, prioritised, remediated, and escalated.</w:t>
      </w:r>
    </w:p>
    <w:p>
      <w:pPr>
        <w:pStyle w:val="ListBullet"/>
      </w:pPr>
      <w:r>
        <w:t>Data quality metrics shall be reported to relevant governance forums at an agreed frequency.</w:t>
      </w:r>
    </w:p>
    <w:p>
      <w:pPr>
        <w:pStyle w:val="ListBullet"/>
      </w:pPr>
      <w:r>
        <w:t>Manual data corrections, overrides, and adjustments shall be authorised, traceable, and subject to appropriate review.</w:t>
      </w:r>
    </w:p>
    <w:p>
      <w:pPr>
        <w:pStyle w:val="ListBullet"/>
      </w:pPr>
      <w:r>
        <w:t>Data lineage and traceability</w:t>
      </w:r>
    </w:p>
    <w:p>
      <w:pPr>
        <w:pStyle w:val="ListBullet"/>
      </w:pPr>
      <w:r>
        <w:t>Data lineage shall be documented for significant data assets where necessary to support reliability, regulatory reporting, auditability, analytics, financial reporting, customer impact analysis, or operational resilience.</w:t>
      </w:r>
    </w:p>
    <w:p>
      <w:pPr>
        <w:pStyle w:val="ListBullet"/>
      </w:pPr>
      <w:r>
        <w:t>Lineage documentation shall identify authoritative sources, transformations, business rules, interfaces, data movements, downstream consumers, reports, and repositories where practical.</w:t>
      </w:r>
    </w:p>
    <w:p>
      <w:pPr>
        <w:pStyle w:val="ListBullet"/>
      </w:pPr>
      <w:r>
        <w:t>Changes to critical data flows, transformations, integration rules, reporting logic, or data definitions shall be assessed for business impact before implementation.</w:t>
      </w:r>
    </w:p>
    <w:p>
      <w:pPr>
        <w:pStyle w:val="ListBullet"/>
      </w:pPr>
      <w:r>
        <w:t>Data used in material reporting and decision-making shall be traceable to approved sources and subject to documented quality and reconciliation controls.</w:t>
      </w:r>
    </w:p>
    <w:p>
      <w:pPr>
        <w:pStyle w:val="ListBullet"/>
      </w:pPr>
      <w:r>
        <w:t>Master and reference data</w:t>
      </w:r>
    </w:p>
    <w:p>
      <w:pPr>
        <w:pStyle w:val="ListBullet"/>
      </w:pPr>
      <w:r>
        <w:t>Master and reference data shall have assigned ownership, defined sources of truth, approved change processes, and documented quality rules.</w:t>
      </w:r>
    </w:p>
    <w:p>
      <w:pPr>
        <w:pStyle w:val="ListBullet"/>
      </w:pPr>
      <w:r>
        <w:t>Master data records shall be created, modified, merged, archived, or deleted only through approved processes and authorised systems.</w:t>
      </w:r>
    </w:p>
    <w:p>
      <w:pPr>
        <w:pStyle w:val="ListBullet"/>
      </w:pPr>
      <w:r>
        <w:t>Reference data values, hierarchies, codes, and mappings used across business processes shall be controlled to prevent inconsistency and unauthorised change.</w:t>
      </w:r>
    </w:p>
    <w:p>
      <w:pPr>
        <w:pStyle w:val="ListBullet"/>
      </w:pPr>
      <w:r>
        <w:t>Duplicate, obsolete, inconsistent, or conflicting master and reference data shall be identified, assessed, and remediated according to business priority and risk.</w:t>
      </w:r>
    </w:p>
    <w:p>
      <w:pPr>
        <w:pStyle w:val="ListBullet"/>
      </w:pPr>
      <w:r>
        <w:t>Data access and use</w:t>
      </w:r>
    </w:p>
    <w:p>
      <w:pPr>
        <w:pStyle w:val="ListBullet"/>
      </w:pPr>
      <w:r>
        <w:t>Data shall be accessed and used only for approved business purposes consistent with the data catalogue, user role, consent or authorisation where applicable, contractual obligations, and privacy expectations.</w:t>
      </w:r>
    </w:p>
    <w:p>
      <w:pPr>
        <w:pStyle w:val="ListBullet"/>
      </w:pPr>
      <w:r>
        <w:t>Users shall not access, browse, query, extract, or share data without a legitimate business need.</w:t>
      </w:r>
    </w:p>
    <w:p>
      <w:pPr>
        <w:pStyle w:val="ListBullet"/>
      </w:pPr>
      <w:r>
        <w:t>Data shall not be used for surveillance, profiling, automated decision-making, analytics, artificial intelligence, marketing, research, or secondary purposes unless the use is approved and appropriate safeguards are in place.</w:t>
      </w:r>
    </w:p>
    <w:p>
      <w:pPr>
        <w:pStyle w:val="ListBullet"/>
      </w:pPr>
      <w:r>
        <w:t>Data Owners shall approve access to Confidential and Restricted data or delegate approval to an authorised role.</w:t>
      </w:r>
    </w:p>
    <w:p>
      <w:pPr>
        <w:pStyle w:val="ListBullet"/>
      </w:pPr>
      <w:r>
        <w:t>Access models shall support segregation of duties and prevent inappropriate access to sensitive or conflicting data.</w:t>
      </w:r>
    </w:p>
    <w:p>
      <w:pPr>
        <w:pStyle w:val="ListBullet"/>
      </w:pPr>
      <w:r>
        <w:t>User access shall be removed or amended promptly when employment, role, contract, project, or business need changes.</w:t>
      </w:r>
    </w:p>
    <w:p>
      <w:pPr>
        <w:pStyle w:val="ListBullet"/>
      </w:pPr>
      <w:r>
        <w:t>Data sharing and transfer</w:t>
      </w:r>
    </w:p>
    <w:p>
      <w:pPr>
        <w:pStyle w:val="ListBullet"/>
      </w:pPr>
      <w:r>
        <w:t>Internal and external data sharing shall be approved, documented, limited to the minimum necessary, and protected according to classification.</w:t>
      </w:r>
    </w:p>
    <w:p>
      <w:pPr>
        <w:pStyle w:val="ListBullet"/>
      </w:pPr>
      <w:r>
        <w:t>External sharing of Confidential or Restricted data shall require an approved business purpose, Data Owner approval, appropriate contractual terms, security requirements, privacy safeguards, and approved transfer mechanisms.</w:t>
      </w:r>
    </w:p>
    <w:p>
      <w:pPr>
        <w:pStyle w:val="ListBullet"/>
      </w:pPr>
      <w:r>
        <w:t>Data shared with third parties shall be limited to the agreed purpose and shall not be reused, disclosed, sold, retained, or transferred further unless authorised.</w:t>
      </w:r>
    </w:p>
    <w:p>
      <w:pPr>
        <w:pStyle w:val="ListBullet"/>
      </w:pPr>
      <w:r>
        <w:t>Recipients of organisational data shall be required to protect the data at a level appropriate to its classification and agreed use.</w:t>
      </w:r>
    </w:p>
    <w:p>
      <w:pPr>
        <w:pStyle w:val="ListBullet"/>
      </w:pPr>
      <w:r>
        <w:t>Cross-border data transfers shall be assessed for applicable legal, regulatory, contractual, privacy, and security requirements before transfer.</w:t>
      </w:r>
    </w:p>
    <w:p>
      <w:pPr>
        <w:pStyle w:val="ListBullet"/>
      </w:pPr>
      <w:r>
        <w:t>Regular data feeds, interfaces, extracts, or file transfers shall be inventoried, assigned ownership, monitored, and reviewed periodically.</w:t>
      </w:r>
    </w:p>
    <w:p>
      <w:pPr>
        <w:pStyle w:val="ListBullet"/>
      </w:pPr>
      <w:r>
        <w:t>Data sharing arrangements shall be terminated, updated, or revalidated when the business purpose ends or the recipient, scope, method, location, or risk changes.</w:t>
      </w:r>
    </w:p>
    <w:p>
      <w:pPr>
        <w:pStyle w:val="ListBullet"/>
      </w:pPr>
      <w:r>
        <w:t>Privacy and personal data</w:t>
      </w:r>
    </w:p>
    <w:p>
      <w:pPr>
        <w:pStyle w:val="ListBullet"/>
      </w:pPr>
      <w:r>
        <w:t>Personal data shall be collected, used, retained, shared, and disposed of in accordance with applicable privacy requirements and approved privacy practices.</w:t>
      </w:r>
    </w:p>
    <w:p>
      <w:pPr>
        <w:pStyle w:val="ListBullet"/>
      </w:pPr>
      <w:r>
        <w:t>Personal data shall be minimised to what is necessary for the approved purpose.</w:t>
      </w:r>
    </w:p>
    <w:p>
      <w:pPr>
        <w:pStyle w:val="ListBullet"/>
      </w:pPr>
      <w:r>
        <w:t>Sensitive personal data shall be subject to enhanced safeguards, restricted access, and additional review before use or sharing.</w:t>
      </w:r>
    </w:p>
    <w:p>
      <w:pPr>
        <w:pStyle w:val="ListBullet"/>
      </w:pPr>
      <w:r>
        <w:t>Privacy impact, data protection, or equivalent assessments shall be completed for new or materially changed processing activities where required by organisational practice or applicable law.</w:t>
      </w:r>
    </w:p>
    <w:p>
      <w:pPr>
        <w:pStyle w:val="ListBullet"/>
      </w:pPr>
      <w:r>
        <w:t>Data subject rights requests, privacy complaints, and suspected privacy incidents shall be handled through approved channels.</w:t>
      </w:r>
    </w:p>
    <w:p>
      <w:pPr>
        <w:pStyle w:val="ListBullet"/>
      </w:pPr>
      <w:r>
        <w:t>Personal data shall not be used for new, incompatible, or high-risk purposes without appropriate review and approval.</w:t>
      </w:r>
    </w:p>
    <w:p>
      <w:pPr>
        <w:pStyle w:val="ListBullet"/>
      </w:pPr>
      <w:r>
        <w:t>Security of data repositories and platforms</w:t>
      </w:r>
    </w:p>
    <w:p>
      <w:pPr>
        <w:pStyle w:val="ListBullet"/>
      </w:pPr>
      <w:r>
        <w:t>Systems and repositories that store, process, or transmit organisational data shall be approved, protected, monitored, backed up where required, and maintained in accordance with security and operational requirements.</w:t>
      </w:r>
    </w:p>
    <w:p>
      <w:pPr>
        <w:pStyle w:val="ListBullet"/>
      </w:pPr>
      <w:r>
        <w:t>Data repositories shall have access controls, logging, backup, recovery, change control, vulnerability management, and monitoring appropriate to the classification and criticality of the data.</w:t>
      </w:r>
    </w:p>
    <w:p>
      <w:pPr>
        <w:pStyle w:val="ListBullet"/>
      </w:pPr>
      <w:r>
        <w:t>Unauthorised data stores, shadow databases, uncontrolled spreadsheets, unmanaged file shares, and unsupported repositories shall not be used for critical or sensitive data.</w:t>
      </w:r>
    </w:p>
    <w:p>
      <w:pPr>
        <w:pStyle w:val="ListBullet"/>
      </w:pPr>
      <w:r>
        <w:t>Logs of access to Restricted data and critical repositories shall be retained and reviewed based on risk.</w:t>
      </w:r>
    </w:p>
    <w:p>
      <w:pPr>
        <w:pStyle w:val="ListBullet"/>
      </w:pPr>
      <w:r>
        <w:t>Data encryption keys, secrets, certificates, and credentials shall be managed securely and shall not be embedded in code, files, scripts, reports, or user documentation.</w:t>
      </w:r>
    </w:p>
    <w:p>
      <w:pPr>
        <w:pStyle w:val="ListBullet"/>
      </w:pPr>
      <w:r>
        <w:t>Data in analytics, reporting, and artificial intelligence</w:t>
      </w:r>
    </w:p>
    <w:p>
      <w:pPr>
        <w:pStyle w:val="ListBullet"/>
      </w:pPr>
      <w:r>
        <w:t>Data used for analytics, dashboards, reporting, modelling, automation, or artificial intelligence shall come from approved sources or be clearly labelled as exploratory, provisional, or unofficial.</w:t>
      </w:r>
    </w:p>
    <w:p>
      <w:pPr>
        <w:pStyle w:val="ListBullet"/>
      </w:pPr>
      <w:r>
        <w:t>Material reports and dashboards shall identify the source data, owner, reporting period, refresh frequency, definitions, limitations, and quality status.</w:t>
      </w:r>
    </w:p>
    <w:p>
      <w:pPr>
        <w:pStyle w:val="ListBullet"/>
      </w:pPr>
      <w:r>
        <w:t>Data transformations and business rules used in material reporting shall be documented and controlled.</w:t>
      </w:r>
    </w:p>
    <w:p>
      <w:pPr>
        <w:pStyle w:val="ListBullet"/>
      </w:pPr>
      <w:r>
        <w:t>Sensitive data used for analytics or artificial intelligence shall be minimised, protected, and reviewed for appropriate use, bias, privacy risk, and unintended impact.</w:t>
      </w:r>
    </w:p>
    <w:p>
      <w:pPr>
        <w:pStyle w:val="ListBullet"/>
      </w:pPr>
      <w:r>
        <w:t>Outputs generated from aggregated, derived, inferred, or modelled data shall be classified based on the sensitivity of the source data and the potential risk of re-identification or misuse.</w:t>
      </w:r>
    </w:p>
    <w:p>
      <w:pPr>
        <w:pStyle w:val="ListBullet"/>
      </w:pPr>
      <w:r>
        <w:t>Exploratory datasets shall not become operational or authoritative without catalogue registration, ownership, classification, quality assessment, and approval.</w:t>
      </w:r>
    </w:p>
    <w:p>
      <w:pPr>
        <w:pStyle w:val="ListBullet"/>
      </w:pPr>
      <w:r>
        <w:t>Metadata and business glossary</w:t>
      </w:r>
    </w:p>
    <w:p>
      <w:pPr>
        <w:pStyle w:val="ListBullet"/>
      </w:pPr>
      <w:r>
        <w:t>The organisation shall maintain metadata sufficient to understand, locate, protect, use, and govern significant data assets.</w:t>
      </w:r>
    </w:p>
    <w:p>
      <w:pPr>
        <w:pStyle w:val="ListBullet"/>
      </w:pPr>
      <w:r>
        <w:t>Business-critical terms shall have approved definitions and assigned ownership.</w:t>
      </w:r>
    </w:p>
    <w:p>
      <w:pPr>
        <w:pStyle w:val="ListBullet"/>
      </w:pPr>
      <w:r>
        <w:t>Conflicting definitions of key business terms shall be resolved through the data governance process.</w:t>
      </w:r>
    </w:p>
    <w:p>
      <w:pPr>
        <w:pStyle w:val="ListBullet"/>
      </w:pPr>
      <w:r>
        <w:t>Technical metadata, business metadata, operational metadata, and quality metadata shall be captured where needed to support discovery, control, auditability, and reuse.</w:t>
      </w:r>
    </w:p>
    <w:p>
      <w:pPr>
        <w:pStyle w:val="ListBullet"/>
      </w:pPr>
      <w:r>
        <w:t>Change management</w:t>
      </w:r>
    </w:p>
    <w:p>
      <w:pPr>
        <w:pStyle w:val="ListBullet"/>
      </w:pPr>
      <w:r>
        <w:t>Changes to data structures, definitions, quality rules, interfaces, classifications, retention rules, reporting logic, lineage, or authoritative sources shall be assessed, approved, tested, communicated, and implemented through approved change processes.</w:t>
      </w:r>
    </w:p>
    <w:p>
      <w:pPr>
        <w:pStyle w:val="ListBullet"/>
      </w:pPr>
      <w:r>
        <w:t>Data Owners and affected stakeholders shall be consulted before material changes to critical data assets or data flows.</w:t>
      </w:r>
    </w:p>
    <w:p>
      <w:pPr>
        <w:pStyle w:val="ListBullet"/>
      </w:pPr>
      <w:r>
        <w:t>Changes that may affect regulatory reporting, financial reporting, customer outcomes, privacy, security, contractual obligations, or operational resilience shall require documented impact assessment.</w:t>
      </w:r>
    </w:p>
    <w:p>
      <w:pPr>
        <w:pStyle w:val="ListBullet"/>
      </w:pPr>
      <w:r>
        <w:t>The data catalogue shall be updated when approved changes affect catalogue content.</w:t>
      </w:r>
    </w:p>
    <w:p>
      <w:pPr>
        <w:pStyle w:val="ListBullet"/>
      </w:pPr>
      <w:r>
        <w:t>Data incidents and issue management</w:t>
      </w:r>
    </w:p>
    <w:p>
      <w:pPr>
        <w:pStyle w:val="ListBullet"/>
      </w:pPr>
      <w:r>
        <w:t>Suspected or confirmed data incidents shall be reported promptly through approved incident reporting channels.</w:t>
      </w:r>
    </w:p>
    <w:p>
      <w:pPr>
        <w:pStyle w:val="ListBullet"/>
      </w:pPr>
      <w:r>
        <w:t>Data incidents include unauthorised access, disclosure, alteration, loss, corruption, misuse, misclassification, uncontrolled sharing, quality failures, unapproved deletion, retention breaches, and catalogue inaccuracies that create material risk.</w:t>
      </w:r>
    </w:p>
    <w:p>
      <w:pPr>
        <w:pStyle w:val="ListBullet"/>
      </w:pPr>
      <w:r>
        <w:t>Data Owners, Information Security, Privacy, Legal, Technology, and relevant business teams shall support investigation, containment, remediation, notification, and lessons learned activities as applicable.</w:t>
      </w:r>
    </w:p>
    <w:p>
      <w:pPr>
        <w:pStyle w:val="ListBullet"/>
      </w:pPr>
      <w:r>
        <w:t>Significant data issues shall be logged, assigned an owner, prioritised, tracked to closure, and reported to appropriate governance forums.</w:t>
      </w:r>
    </w:p>
    <w:p>
      <w:pPr>
        <w:pStyle w:val="ListBullet"/>
      </w:pPr>
      <w:r>
        <w:t>Root causes of recurring data issues shall be identified and addressed through process, system, control, training, or accountability improvements.</w:t>
      </w:r>
    </w:p>
    <w:p>
      <w:pPr>
        <w:pStyle w:val="ListBullet"/>
      </w:pPr>
      <w:r>
        <w:t>Third-party data management</w:t>
      </w:r>
    </w:p>
    <w:p>
      <w:pPr>
        <w:pStyle w:val="ListBullet"/>
      </w:pPr>
      <w:r>
        <w:t>Third parties that process organisational data shall be subject to due diligence, contractual obligations, and ongoing oversight appropriate to the classification, volume, criticality, and risk of the data.</w:t>
      </w:r>
    </w:p>
    <w:p>
      <w:pPr>
        <w:pStyle w:val="ListBullet"/>
      </w:pPr>
      <w:r>
        <w:t>Contracts involving organisational data shall define permitted use, confidentiality, security safeguards, privacy obligations, retention, return or destruction, breach notification, audit rights where appropriate, subcontracting restrictions, and exit requirements.</w:t>
      </w:r>
    </w:p>
    <w:p>
      <w:pPr>
        <w:pStyle w:val="ListBullet"/>
      </w:pPr>
      <w:r>
        <w:t>Data provided by third parties shall have documented ownership, usage rights, licensing restrictions, quality expectations, retention requirements, and permitted downstream uses.</w:t>
      </w:r>
    </w:p>
    <w:p>
      <w:pPr>
        <w:pStyle w:val="ListBullet"/>
      </w:pPr>
      <w:r>
        <w:t>Third-party data transfers shall be inventoried and reviewed periodically by the accountable business owner.</w:t>
      </w:r>
    </w:p>
    <w:p>
      <w:pPr>
        <w:pStyle w:val="ListBullet"/>
      </w:pPr>
      <w:r>
        <w:t>Training and awareness</w:t>
      </w:r>
    </w:p>
    <w:p>
      <w:pPr>
        <w:pStyle w:val="ListBullet"/>
      </w:pPr>
      <w:r>
        <w:t>Personnel who access or manage organisational data shall complete required training on data classification, handling, privacy, security, retention, and incident reporting.</w:t>
      </w:r>
    </w:p>
    <w:p>
      <w:pPr>
        <w:pStyle w:val="ListBullet"/>
      </w:pPr>
      <w:r>
        <w:t>Data Owners, Data Stewards, system custodians, analysts, report developers, and personnel handling Confidential or Restricted data shall receive role-appropriate guidance.</w:t>
      </w:r>
    </w:p>
    <w:p>
      <w:pPr>
        <w:pStyle w:val="ListBullet"/>
      </w:pPr>
      <w:r>
        <w:t>Users shall understand that they are responsible for protecting data accessed through their role and for reporting suspected misuse, loss, quality issues, or unauthorised disclosure.</w:t>
      </w:r>
    </w:p>
    <w:p>
      <w:pPr>
        <w:pStyle w:val="ListBullet"/>
      </w:pPr>
      <w:r>
        <w:t>Evidence and records</w:t>
      </w:r>
    </w:p>
    <w:p>
      <w:pPr>
        <w:pStyle w:val="ListBullet"/>
      </w:pPr>
      <w:r>
        <w:t>Evidence of data governance activities shall be retained to demonstrate compliance with this policy.</w:t>
      </w:r>
    </w:p>
    <w:p>
      <w:pPr>
        <w:pStyle w:val="ListBullet"/>
      </w:pPr>
      <w:r>
        <w:t>Evidence may include data catalogue records, ownership registers, access approvals, access reviews, quality dashboards, issue logs, classification assessments, retention schedules, disposal records, data sharing approvals, third-party agreements, impact assessments, change records, and training completion records.</w:t>
      </w:r>
    </w:p>
    <w:p>
      <w:pPr>
        <w:pStyle w:val="ListBullet"/>
      </w:pPr>
      <w:r>
        <w:t>Evidence shall be accurate, complete, retrievable, and protected from unauthorised alteration or deletion.</w:t>
      </w:r>
    </w:p>
    <w:p>
      <w:pPr>
        <w:pStyle w:val="Heading2"/>
      </w:pPr>
      <w:r>
        <w:t>Roles &amp; Responsibilities</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Responsibilities</w:t>
            </w:r>
          </w:p>
        </w:tc>
      </w:tr>
      <w:tr>
        <w:tc>
          <w:tcPr>
            <w:tcW w:type="dxa" w:w="4320"/>
          </w:tcPr>
          <w:p>
            <w:r>
              <w:t>Board or Executive Leadership</w:t>
            </w:r>
          </w:p>
        </w:tc>
        <w:tc>
          <w:tcPr>
            <w:tcW w:type="dxa" w:w="4320"/>
          </w:tcPr>
          <w:p>
            <w:r>
              <w:t>Approves the organisation’s overall direction for data governance where required; supports accountability for data risk, value, and compliance; receives escalation of significant data risks.</w:t>
            </w:r>
          </w:p>
        </w:tc>
      </w:tr>
      <w:tr>
        <w:tc>
          <w:tcPr>
            <w:tcW w:type="dxa" w:w="4320"/>
          </w:tcPr>
          <w:p>
            <w:r>
              <w:t>Chief Data Officer</w:t>
            </w:r>
          </w:p>
        </w:tc>
        <w:tc>
          <w:tcPr>
            <w:tcW w:type="dxa" w:w="4320"/>
          </w:tcPr>
          <w:p>
            <w:r>
              <w:t>Owns this policy; establishes the enterprise data management approach; chairs or delegates data governance forums; monitors maturity, adoption, issues, and improvement plans.</w:t>
            </w:r>
          </w:p>
        </w:tc>
      </w:tr>
      <w:tr>
        <w:tc>
          <w:tcPr>
            <w:tcW w:type="dxa" w:w="4320"/>
          </w:tcPr>
          <w:p>
            <w:r>
              <w:t>Data Governance Forum</w:t>
            </w:r>
          </w:p>
        </w:tc>
        <w:tc>
          <w:tcPr>
            <w:tcW w:type="dxa" w:w="4320"/>
          </w:tcPr>
          <w:p>
            <w:r>
              <w:t>Reviews and resolves cross-functional data issues; approves standards, priorities, ownership decisions, definitions, and improvement initiatives; escalates unresolved risks.</w:t>
            </w:r>
          </w:p>
        </w:tc>
      </w:tr>
      <w:tr>
        <w:tc>
          <w:tcPr>
            <w:tcW w:type="dxa" w:w="4320"/>
          </w:tcPr>
          <w:p>
            <w:r>
              <w:t>Data Owner</w:t>
            </w:r>
          </w:p>
        </w:tc>
        <w:tc>
          <w:tcPr>
            <w:tcW w:type="dxa" w:w="4320"/>
          </w:tcPr>
          <w:p>
            <w:r>
              <w:t>Accountable for data within an assigned domain; approves classification, access, sharing, quality requirements, retention, authoritative sources, and permitted use; ensures data catalogue accuracy for assigned assets.</w:t>
            </w:r>
          </w:p>
        </w:tc>
      </w:tr>
      <w:tr>
        <w:tc>
          <w:tcPr>
            <w:tcW w:type="dxa" w:w="4320"/>
          </w:tcPr>
          <w:p>
            <w:r>
              <w:t>Data Steward</w:t>
            </w:r>
          </w:p>
        </w:tc>
        <w:tc>
          <w:tcPr>
            <w:tcW w:type="dxa" w:w="4320"/>
          </w:tcPr>
          <w:p>
            <w:r>
              <w:t>Maintains catalogue entries, definitions, quality rules, and issue logs; coordinates data quality monitoring and remediation; supports Data Owners in day-to-day data governance activities.</w:t>
            </w:r>
          </w:p>
        </w:tc>
      </w:tr>
      <w:tr>
        <w:tc>
          <w:tcPr>
            <w:tcW w:type="dxa" w:w="4320"/>
          </w:tcPr>
          <w:p>
            <w:r>
              <w:t>System Owner</w:t>
            </w:r>
          </w:p>
        </w:tc>
        <w:tc>
          <w:tcPr>
            <w:tcW w:type="dxa" w:w="4320"/>
          </w:tcPr>
          <w:p>
            <w:r>
              <w:t>Ensures systems supporting data assets meet business, security, availability, retention, and integration requirements; coordinates system changes affecting data.</w:t>
            </w:r>
          </w:p>
        </w:tc>
      </w:tr>
      <w:tr>
        <w:tc>
          <w:tcPr>
            <w:tcW w:type="dxa" w:w="4320"/>
          </w:tcPr>
          <w:p>
            <w:r>
              <w:t>System Custodian / Technology Operations</w:t>
            </w:r>
          </w:p>
        </w:tc>
        <w:tc>
          <w:tcPr>
            <w:tcW w:type="dxa" w:w="4320"/>
          </w:tcPr>
          <w:p>
            <w:r>
              <w:t>Operates and supports platforms, databases, repositories, backups, access controls, monitoring, and technical safeguards in accordance with approved requirements.</w:t>
            </w:r>
          </w:p>
        </w:tc>
      </w:tr>
      <w:tr>
        <w:tc>
          <w:tcPr>
            <w:tcW w:type="dxa" w:w="4320"/>
          </w:tcPr>
          <w:p>
            <w:r>
              <w:t>Information Security</w:t>
            </w:r>
          </w:p>
        </w:tc>
        <w:tc>
          <w:tcPr>
            <w:tcW w:type="dxa" w:w="4320"/>
          </w:tcPr>
          <w:p>
            <w:r>
              <w:t>Defines and monitors security controls for data protection; supports classification handling rules, access control, encryption, logging, incident response, and security risk assessments.</w:t>
            </w:r>
          </w:p>
        </w:tc>
      </w:tr>
      <w:tr>
        <w:tc>
          <w:tcPr>
            <w:tcW w:type="dxa" w:w="4320"/>
          </w:tcPr>
          <w:p>
            <w:r>
              <w:t>Privacy Officer / Data Protection Lead</w:t>
            </w:r>
          </w:p>
        </w:tc>
        <w:tc>
          <w:tcPr>
            <w:tcW w:type="dxa" w:w="4320"/>
          </w:tcPr>
          <w:p>
            <w:r>
              <w:t>Advises on personal data requirements, privacy assessments, data subject rights, privacy incidents, and lawful or authorised use of personal data.</w:t>
            </w:r>
          </w:p>
        </w:tc>
      </w:tr>
      <w:tr>
        <w:tc>
          <w:tcPr>
            <w:tcW w:type="dxa" w:w="4320"/>
          </w:tcPr>
          <w:p>
            <w:r>
              <w:t>Legal and Compliance</w:t>
            </w:r>
          </w:p>
        </w:tc>
        <w:tc>
          <w:tcPr>
            <w:tcW w:type="dxa" w:w="4320"/>
          </w:tcPr>
          <w:p>
            <w:r>
              <w:t>Advises on legal, regulatory, contractual, retention, legal hold, disclosure, and evidence requirements; supports investigations and external obligations.</w:t>
            </w:r>
          </w:p>
        </w:tc>
      </w:tr>
      <w:tr>
        <w:tc>
          <w:tcPr>
            <w:tcW w:type="dxa" w:w="4320"/>
          </w:tcPr>
          <w:p>
            <w:r>
              <w:t>Records Management</w:t>
            </w:r>
          </w:p>
        </w:tc>
        <w:tc>
          <w:tcPr>
            <w:tcW w:type="dxa" w:w="4320"/>
          </w:tcPr>
          <w:p>
            <w:r>
              <w:t>Maintains retention schedules and disposal requirements; supports archival, records classification, legal hold, and disposal assurance.</w:t>
            </w:r>
          </w:p>
        </w:tc>
      </w:tr>
      <w:tr>
        <w:tc>
          <w:tcPr>
            <w:tcW w:type="dxa" w:w="4320"/>
          </w:tcPr>
          <w:p>
            <w:r>
              <w:t>Enterprise Architecture</w:t>
            </w:r>
          </w:p>
        </w:tc>
        <w:tc>
          <w:tcPr>
            <w:tcW w:type="dxa" w:w="4320"/>
          </w:tcPr>
          <w:p>
            <w:r>
              <w:t>Ensures data architecture supports authoritative sources, lineage, integration, reuse, interoperability, and controlled data flows.</w:t>
            </w:r>
          </w:p>
        </w:tc>
      </w:tr>
      <w:tr>
        <w:tc>
          <w:tcPr>
            <w:tcW w:type="dxa" w:w="4320"/>
          </w:tcPr>
          <w:p>
            <w:r>
              <w:t>Project and Change Managers</w:t>
            </w:r>
          </w:p>
        </w:tc>
        <w:tc>
          <w:tcPr>
            <w:tcW w:type="dxa" w:w="4320"/>
          </w:tcPr>
          <w:p>
            <w:r>
              <w:t>Ensure data ownership, classification, catalogue, quality, retention, privacy, security, and lifecycle requirements are addressed in projects and changes.</w:t>
            </w:r>
          </w:p>
        </w:tc>
      </w:tr>
      <w:tr>
        <w:tc>
          <w:tcPr>
            <w:tcW w:type="dxa" w:w="4320"/>
          </w:tcPr>
          <w:p>
            <w:r>
              <w:t>Procurement and Vendor Management</w:t>
            </w:r>
          </w:p>
        </w:tc>
        <w:tc>
          <w:tcPr>
            <w:tcW w:type="dxa" w:w="4320"/>
          </w:tcPr>
          <w:p>
            <w:r>
              <w:t>Ensures third-party data processing arrangements include appropriate due diligence, contractual protections, oversight, and exit obligations.</w:t>
            </w:r>
          </w:p>
        </w:tc>
      </w:tr>
      <w:tr>
        <w:tc>
          <w:tcPr>
            <w:tcW w:type="dxa" w:w="4320"/>
          </w:tcPr>
          <w:p>
            <w:r>
              <w:t>Internal Audit</w:t>
            </w:r>
          </w:p>
        </w:tc>
        <w:tc>
          <w:tcPr>
            <w:tcW w:type="dxa" w:w="4320"/>
          </w:tcPr>
          <w:p>
            <w:r>
              <w:t>Provides independent assurance over the design and operating effectiveness of data management governance and controls.</w:t>
            </w:r>
          </w:p>
        </w:tc>
      </w:tr>
      <w:tr>
        <w:tc>
          <w:tcPr>
            <w:tcW w:type="dxa" w:w="4320"/>
          </w:tcPr>
          <w:p>
            <w:r>
              <w:t>Managers</w:t>
            </w:r>
          </w:p>
        </w:tc>
        <w:tc>
          <w:tcPr>
            <w:tcW w:type="dxa" w:w="4320"/>
          </w:tcPr>
          <w:p>
            <w:r>
              <w:t>Ensure team members understand and comply with this policy; support access reviews, data quality remediation, and timely reporting of data issues.</w:t>
            </w:r>
          </w:p>
        </w:tc>
      </w:tr>
      <w:tr>
        <w:tc>
          <w:tcPr>
            <w:tcW w:type="dxa" w:w="4320"/>
          </w:tcPr>
          <w:p>
            <w:r>
              <w:t>Users</w:t>
            </w:r>
          </w:p>
        </w:tc>
        <w:tc>
          <w:tcPr>
            <w:tcW w:type="dxa" w:w="4320"/>
          </w:tcPr>
          <w:p>
            <w:r>
              <w:t>Access and use data only for authorised purposes; protect data according to classification; report incidents, errors, and unauthorised use; comply with handling, sharing, and retention requirements.</w:t>
            </w:r>
          </w:p>
        </w:tc>
      </w:tr>
    </w:tbl>
    <w:p>
      <w:pPr>
        <w:pStyle w:val="Heading2"/>
      </w:pPr>
      <w:r>
        <w:t>Compliance, Monitoring &amp; Enforcement</w:t>
      </w:r>
    </w:p>
    <w:p>
      <w:r>
        <w:t>Compliance with this policy is mandatory.</w:t>
      </w:r>
    </w:p>
    <w:p>
      <w:r>
        <w:t>The organisation shall monitor compliance using risk-based methods, including: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Monitoring Activity</w:t>
            </w:r>
          </w:p>
        </w:tc>
        <w:tc>
          <w:tcPr>
            <w:tcW w:type="dxa" w:w="2160"/>
          </w:tcPr>
          <w:p>
            <w:r>
              <w:t>Frequency</w:t>
            </w:r>
          </w:p>
        </w:tc>
        <w:tc>
          <w:tcPr>
            <w:tcW w:type="dxa" w:w="2160"/>
          </w:tcPr>
          <w:p>
            <w:r>
              <w:t>Accountable Role</w:t>
            </w:r>
          </w:p>
        </w:tc>
        <w:tc>
          <w:tcPr>
            <w:tcW w:type="dxa" w:w="2160"/>
          </w:tcPr>
          <w:p>
            <w:r>
              <w:t>Evidence</w:t>
            </w:r>
          </w:p>
        </w:tc>
      </w:tr>
      <w:tr>
        <w:tc>
          <w:tcPr>
            <w:tcW w:type="dxa" w:w="2160"/>
          </w:tcPr>
          <w:p>
            <w:r>
              <w:t>Review of data ownership register</w:t>
            </w:r>
          </w:p>
        </w:tc>
        <w:tc>
          <w:tcPr>
            <w:tcW w:type="dxa" w:w="2160"/>
          </w:tcPr>
          <w:p>
            <w:r>
              <w:t>At least annually and upon organisational change</w:t>
            </w:r>
          </w:p>
        </w:tc>
        <w:tc>
          <w:tcPr>
            <w:tcW w:type="dxa" w:w="2160"/>
          </w:tcPr>
          <w:p>
            <w:r>
              <w:t>Chief Data Officer</w:t>
            </w:r>
          </w:p>
        </w:tc>
        <w:tc>
          <w:tcPr>
            <w:tcW w:type="dxa" w:w="2160"/>
          </w:tcPr>
          <w:p>
            <w:r>
              <w:t>Approved ownership register</w:t>
            </w:r>
          </w:p>
        </w:tc>
      </w:tr>
      <w:tr>
        <w:tc>
          <w:tcPr>
            <w:tcW w:type="dxa" w:w="2160"/>
          </w:tcPr>
          <w:p>
            <w:r>
              <w:t>Review of significant data catalogue entries</w:t>
            </w:r>
          </w:p>
        </w:tc>
        <w:tc>
          <w:tcPr>
            <w:tcW w:type="dxa" w:w="2160"/>
          </w:tcPr>
          <w:p>
            <w:r>
              <w:t>At least annually, or more frequently for critical data</w:t>
            </w:r>
          </w:p>
        </w:tc>
        <w:tc>
          <w:tcPr>
            <w:tcW w:type="dxa" w:w="2160"/>
          </w:tcPr>
          <w:p>
            <w:r>
              <w:t>Data Owners / Data Stewards</w:t>
            </w:r>
          </w:p>
        </w:tc>
        <w:tc>
          <w:tcPr>
            <w:tcW w:type="dxa" w:w="2160"/>
          </w:tcPr>
          <w:p>
            <w:r>
              <w:t>Catalogue review records</w:t>
            </w:r>
          </w:p>
        </w:tc>
      </w:tr>
      <w:tr>
        <w:tc>
          <w:tcPr>
            <w:tcW w:type="dxa" w:w="2160"/>
          </w:tcPr>
          <w:p>
            <w:r>
              <w:t>Review of access to Confidential and Restricted data</w:t>
            </w:r>
          </w:p>
        </w:tc>
        <w:tc>
          <w:tcPr>
            <w:tcW w:type="dxa" w:w="2160"/>
          </w:tcPr>
          <w:p>
            <w:r>
              <w:t>At least quarterly for Restricted data and at least semi-annually for Confidential data</w:t>
            </w:r>
          </w:p>
        </w:tc>
        <w:tc>
          <w:tcPr>
            <w:tcW w:type="dxa" w:w="2160"/>
          </w:tcPr>
          <w:p>
            <w:r>
              <w:t>Data Owners / System Owners</w:t>
            </w:r>
          </w:p>
        </w:tc>
        <w:tc>
          <w:tcPr>
            <w:tcW w:type="dxa" w:w="2160"/>
          </w:tcPr>
          <w:p>
            <w:r>
              <w:t>Access review evidence</w:t>
            </w:r>
          </w:p>
        </w:tc>
      </w:tr>
      <w:tr>
        <w:tc>
          <w:tcPr>
            <w:tcW w:type="dxa" w:w="2160"/>
          </w:tcPr>
          <w:p>
            <w:r>
              <w:t>Data quality monitoring for critical data elements</w:t>
            </w:r>
          </w:p>
        </w:tc>
        <w:tc>
          <w:tcPr>
            <w:tcW w:type="dxa" w:w="2160"/>
          </w:tcPr>
          <w:p>
            <w:r>
              <w:t>Monthly or as defined by business criticality</w:t>
            </w:r>
          </w:p>
        </w:tc>
        <w:tc>
          <w:tcPr>
            <w:tcW w:type="dxa" w:w="2160"/>
          </w:tcPr>
          <w:p>
            <w:r>
              <w:t>Data Stewards</w:t>
            </w:r>
          </w:p>
        </w:tc>
        <w:tc>
          <w:tcPr>
            <w:tcW w:type="dxa" w:w="2160"/>
          </w:tcPr>
          <w:p>
            <w:r>
              <w:t>Quality dashboards and issue logs</w:t>
            </w:r>
          </w:p>
        </w:tc>
      </w:tr>
      <w:tr>
        <w:tc>
          <w:tcPr>
            <w:tcW w:type="dxa" w:w="2160"/>
          </w:tcPr>
          <w:p>
            <w:r>
              <w:t>Review of external data sharing arrangements</w:t>
            </w:r>
          </w:p>
        </w:tc>
        <w:tc>
          <w:tcPr>
            <w:tcW w:type="dxa" w:w="2160"/>
          </w:tcPr>
          <w:p>
            <w:r>
              <w:t>At least annually</w:t>
            </w:r>
          </w:p>
        </w:tc>
        <w:tc>
          <w:tcPr>
            <w:tcW w:type="dxa" w:w="2160"/>
          </w:tcPr>
          <w:p>
            <w:r>
              <w:t>Data Owners / Vendor Management</w:t>
            </w:r>
          </w:p>
        </w:tc>
        <w:tc>
          <w:tcPr>
            <w:tcW w:type="dxa" w:w="2160"/>
          </w:tcPr>
          <w:p>
            <w:r>
              <w:t>Sharing register and contract review records</w:t>
            </w:r>
          </w:p>
        </w:tc>
      </w:tr>
      <w:tr>
        <w:tc>
          <w:tcPr>
            <w:tcW w:type="dxa" w:w="2160"/>
          </w:tcPr>
          <w:p>
            <w:r>
              <w:t>Retention and disposal control review</w:t>
            </w:r>
          </w:p>
        </w:tc>
        <w:tc>
          <w:tcPr>
            <w:tcW w:type="dxa" w:w="2160"/>
          </w:tcPr>
          <w:p>
            <w:r>
              <w:t>At least annually</w:t>
            </w:r>
          </w:p>
        </w:tc>
        <w:tc>
          <w:tcPr>
            <w:tcW w:type="dxa" w:w="2160"/>
          </w:tcPr>
          <w:p>
            <w:r>
              <w:t>Records Management / Data Owners</w:t>
            </w:r>
          </w:p>
        </w:tc>
        <w:tc>
          <w:tcPr>
            <w:tcW w:type="dxa" w:w="2160"/>
          </w:tcPr>
          <w:p>
            <w:r>
              <w:t>Retention schedule and disposal evidence</w:t>
            </w:r>
          </w:p>
        </w:tc>
      </w:tr>
      <w:tr>
        <w:tc>
          <w:tcPr>
            <w:tcW w:type="dxa" w:w="2160"/>
          </w:tcPr>
          <w:p>
            <w:r>
              <w:t>Review of data incidents and recurring issues</w:t>
            </w:r>
          </w:p>
        </w:tc>
        <w:tc>
          <w:tcPr>
            <w:tcW w:type="dxa" w:w="2160"/>
          </w:tcPr>
          <w:p>
            <w:r>
              <w:t>At least quarterly</w:t>
            </w:r>
          </w:p>
        </w:tc>
        <w:tc>
          <w:tcPr>
            <w:tcW w:type="dxa" w:w="2160"/>
          </w:tcPr>
          <w:p>
            <w:r>
              <w:t>Data Governance Forum</w:t>
            </w:r>
          </w:p>
        </w:tc>
        <w:tc>
          <w:tcPr>
            <w:tcW w:type="dxa" w:w="2160"/>
          </w:tcPr>
          <w:p>
            <w:r>
              <w:t>Incident trends and remediation plans</w:t>
            </w:r>
          </w:p>
        </w:tc>
      </w:tr>
      <w:tr>
        <w:tc>
          <w:tcPr>
            <w:tcW w:type="dxa" w:w="2160"/>
          </w:tcPr>
          <w:p>
            <w:r>
              <w:t>Review of policy training completion</w:t>
            </w:r>
          </w:p>
        </w:tc>
        <w:tc>
          <w:tcPr>
            <w:tcW w:type="dxa" w:w="2160"/>
          </w:tcPr>
          <w:p>
            <w:r>
              <w:t>At least annually</w:t>
            </w:r>
          </w:p>
        </w:tc>
        <w:tc>
          <w:tcPr>
            <w:tcW w:type="dxa" w:w="2160"/>
          </w:tcPr>
          <w:p>
            <w:r>
              <w:t>Managers / Learning Function</w:t>
            </w:r>
          </w:p>
        </w:tc>
        <w:tc>
          <w:tcPr>
            <w:tcW w:type="dxa" w:w="2160"/>
          </w:tcPr>
          <w:p>
            <w:r>
              <w:t>Training completion reports</w:t>
            </w:r>
          </w:p>
        </w:tc>
      </w:tr>
      <w:tr>
        <w:tc>
          <w:tcPr>
            <w:tcW w:type="dxa" w:w="2160"/>
          </w:tcPr>
          <w:p>
            <w:r>
              <w:t>Independent control assurance</w:t>
            </w:r>
          </w:p>
        </w:tc>
        <w:tc>
          <w:tcPr>
            <w:tcW w:type="dxa" w:w="2160"/>
          </w:tcPr>
          <w:p>
            <w:r>
              <w:t>Based on audit plan and risk</w:t>
            </w:r>
          </w:p>
        </w:tc>
        <w:tc>
          <w:tcPr>
            <w:tcW w:type="dxa" w:w="2160"/>
          </w:tcPr>
          <w:p>
            <w:r>
              <w:t>Internal Audit</w:t>
            </w:r>
          </w:p>
        </w:tc>
        <w:tc>
          <w:tcPr>
            <w:tcW w:type="dxa" w:w="2160"/>
          </w:tcPr>
          <w:p>
            <w:r>
              <w:t>Audit reports and management actions</w:t>
            </w:r>
          </w:p>
        </w:tc>
      </w:tr>
    </w:tbl>
    <w:p>
      <w:r>
        <w:t>Non-compliance may result in:</w:t>
      </w:r>
    </w:p>
    <w:p>
      <w:pPr>
        <w:pStyle w:val="ListBullet"/>
      </w:pPr>
      <w:r>
        <w:t>Revocation or restriction of data access.</w:t>
      </w:r>
    </w:p>
    <w:p>
      <w:pPr>
        <w:pStyle w:val="ListBullet"/>
      </w:pPr>
      <w:r>
        <w:t>Mandatory retraining.</w:t>
      </w:r>
    </w:p>
    <w:p>
      <w:pPr>
        <w:pStyle w:val="ListBullet"/>
      </w:pPr>
      <w:r>
        <w:t>Corrective action plans.</w:t>
      </w:r>
    </w:p>
    <w:p>
      <w:pPr>
        <w:pStyle w:val="ListBullet"/>
      </w:pPr>
      <w:r>
        <w:t>Formal risk acceptance requirements.</w:t>
      </w:r>
    </w:p>
    <w:p>
      <w:pPr>
        <w:pStyle w:val="ListBullet"/>
      </w:pPr>
      <w:r>
        <w:t>Disciplinary action up to and including termination of employment or contract.</w:t>
      </w:r>
    </w:p>
    <w:p>
      <w:pPr>
        <w:pStyle w:val="ListBullet"/>
      </w:pPr>
      <w:r>
        <w:t>Contractual remedies for third parties.</w:t>
      </w:r>
    </w:p>
    <w:p>
      <w:pPr>
        <w:pStyle w:val="ListBullet"/>
      </w:pPr>
      <w:r>
        <w:t>Reporting to regulators, customers, law enforcement, or other external parties where required.</w:t>
      </w:r>
    </w:p>
    <w:p>
      <w:pPr>
        <w:pStyle w:val="ListBullet"/>
      </w:pPr>
      <w:r>
        <w:t>Recovery of costs or damages where permitted.</w:t>
      </w:r>
    </w:p>
    <w:p>
      <w:r>
        <w:t>Material breaches of this policy shall be reported to the Chief Data Officer, Information Security, Legal, Compliance, Privacy, and relevant executive management as appropriate.</w:t>
      </w:r>
    </w:p>
    <w:p>
      <w:r>
        <w:t>The following indicators should be used to assess policy effectiveness:</w:t>
      </w:r>
    </w:p>
    <w:tbl>
      <w:tblPr>
        <w:tblStyle w:val="TableGrid"/>
        <w:tblW w:type="auto" w:w="0"/>
        <w:tblLook w:firstColumn="1" w:firstRow="1" w:lastColumn="0" w:lastRow="0" w:noHBand="0" w:noVBand="1" w:val="04A0"/>
      </w:tblPr>
      <w:tblGrid>
        <w:gridCol w:w="4320"/>
        <w:gridCol w:w="4320"/>
      </w:tblGrid>
      <w:tr>
        <w:tc>
          <w:tcPr>
            <w:tcW w:type="dxa" w:w="4320"/>
          </w:tcPr>
          <w:p>
            <w:r>
              <w:t>Indicator</w:t>
            </w:r>
          </w:p>
        </w:tc>
        <w:tc>
          <w:tcPr>
            <w:tcW w:type="dxa" w:w="4320"/>
          </w:tcPr>
          <w:p>
            <w:r>
              <w:t>Target / Expectation</w:t>
            </w:r>
          </w:p>
        </w:tc>
      </w:tr>
      <w:tr>
        <w:tc>
          <w:tcPr>
            <w:tcW w:type="dxa" w:w="4320"/>
          </w:tcPr>
          <w:p>
            <w:r>
              <w:t>Percentage of significant data assets with assigned Data Owners</w:t>
            </w:r>
          </w:p>
        </w:tc>
        <w:tc>
          <w:tcPr>
            <w:tcW w:type="dxa" w:w="4320"/>
          </w:tcPr>
          <w:p>
            <w:r>
              <w:t>[Target Percentage]</w:t>
            </w:r>
          </w:p>
        </w:tc>
      </w:tr>
      <w:tr>
        <w:tc>
          <w:tcPr>
            <w:tcW w:type="dxa" w:w="4320"/>
          </w:tcPr>
          <w:p>
            <w:r>
              <w:t>Percentage of significant data assets recorded in the data catalogue</w:t>
            </w:r>
          </w:p>
        </w:tc>
        <w:tc>
          <w:tcPr>
            <w:tcW w:type="dxa" w:w="4320"/>
          </w:tcPr>
          <w:p>
            <w:r>
              <w:t>[Target Percentage]</w:t>
            </w:r>
          </w:p>
        </w:tc>
      </w:tr>
      <w:tr>
        <w:tc>
          <w:tcPr>
            <w:tcW w:type="dxa" w:w="4320"/>
          </w:tcPr>
          <w:p>
            <w:r>
              <w:t>Percentage of catalogue entries reviewed within required period</w:t>
            </w:r>
          </w:p>
        </w:tc>
        <w:tc>
          <w:tcPr>
            <w:tcW w:type="dxa" w:w="4320"/>
          </w:tcPr>
          <w:p>
            <w:r>
              <w:t>[Target Percentage]</w:t>
            </w:r>
          </w:p>
        </w:tc>
      </w:tr>
      <w:tr>
        <w:tc>
          <w:tcPr>
            <w:tcW w:type="dxa" w:w="4320"/>
          </w:tcPr>
          <w:p>
            <w:r>
              <w:t>Number of unresolved high-priority data quality issues</w:t>
            </w:r>
          </w:p>
        </w:tc>
        <w:tc>
          <w:tcPr>
            <w:tcW w:type="dxa" w:w="4320"/>
          </w:tcPr>
          <w:p>
            <w:r>
              <w:t>Trending downward or within approved tolerance</w:t>
            </w:r>
          </w:p>
        </w:tc>
      </w:tr>
      <w:tr>
        <w:tc>
          <w:tcPr>
            <w:tcW w:type="dxa" w:w="4320"/>
          </w:tcPr>
          <w:p>
            <w:r>
              <w:t>Percentage of critical data elements with defined quality rules</w:t>
            </w:r>
          </w:p>
        </w:tc>
        <w:tc>
          <w:tcPr>
            <w:tcW w:type="dxa" w:w="4320"/>
          </w:tcPr>
          <w:p>
            <w:r>
              <w:t>[Target Percentage]</w:t>
            </w:r>
          </w:p>
        </w:tc>
      </w:tr>
      <w:tr>
        <w:tc>
          <w:tcPr>
            <w:tcW w:type="dxa" w:w="4320"/>
          </w:tcPr>
          <w:p>
            <w:r>
              <w:t>Timeliness of access reviews for Confidential and Restricted data</w:t>
            </w:r>
          </w:p>
        </w:tc>
        <w:tc>
          <w:tcPr>
            <w:tcW w:type="dxa" w:w="4320"/>
          </w:tcPr>
          <w:p>
            <w:r>
              <w:t>Completed within required review cycle</w:t>
            </w:r>
          </w:p>
        </w:tc>
      </w:tr>
      <w:tr>
        <w:tc>
          <w:tcPr>
            <w:tcW w:type="dxa" w:w="4320"/>
          </w:tcPr>
          <w:p>
            <w:r>
              <w:t>Number of unauthorised data stores identified</w:t>
            </w:r>
          </w:p>
        </w:tc>
        <w:tc>
          <w:tcPr>
            <w:tcW w:type="dxa" w:w="4320"/>
          </w:tcPr>
          <w:p>
            <w:r>
              <w:t>Trending downward</w:t>
            </w:r>
          </w:p>
        </w:tc>
      </w:tr>
      <w:tr>
        <w:tc>
          <w:tcPr>
            <w:tcW w:type="dxa" w:w="4320"/>
          </w:tcPr>
          <w:p>
            <w:r>
              <w:t>Number of overdue data disposal actions</w:t>
            </w:r>
          </w:p>
        </w:tc>
        <w:tc>
          <w:tcPr>
            <w:tcW w:type="dxa" w:w="4320"/>
          </w:tcPr>
          <w:p>
            <w:r>
              <w:t>Within approved tolerance</w:t>
            </w:r>
          </w:p>
        </w:tc>
      </w:tr>
      <w:tr>
        <w:tc>
          <w:tcPr>
            <w:tcW w:type="dxa" w:w="4320"/>
          </w:tcPr>
          <w:p>
            <w:r>
              <w:t>Number of data incidents caused by handling or classification failures</w:t>
            </w:r>
          </w:p>
        </w:tc>
        <w:tc>
          <w:tcPr>
            <w:tcW w:type="dxa" w:w="4320"/>
          </w:tcPr>
          <w:p>
            <w:r>
              <w:t>Trending downward</w:t>
            </w:r>
          </w:p>
        </w:tc>
      </w:tr>
      <w:tr>
        <w:tc>
          <w:tcPr>
            <w:tcW w:type="dxa" w:w="4320"/>
          </w:tcPr>
          <w:p>
            <w:r>
              <w:t>Training completion rate for in-scope personnel</w:t>
            </w:r>
          </w:p>
        </w:tc>
        <w:tc>
          <w:tcPr>
            <w:tcW w:type="dxa" w:w="4320"/>
          </w:tcPr>
          <w:p>
            <w:r>
              <w:t>[Target Percentage]</w:t>
            </w:r>
          </w:p>
        </w:tc>
      </w:tr>
    </w:tbl>
    <w:p>
      <w:pPr>
        <w:pStyle w:val="Heading2"/>
      </w:pPr>
      <w:r>
        <w:t>Exceptions</w:t>
      </w:r>
    </w:p>
    <w:p>
      <w:r>
        <w:t>Exceptions to this policy shall be permitted only where there is a documented business need and the associated risk has been assessed, approved, and time-bound.</w:t>
      </w:r>
    </w:p>
    <w:p>
      <w:r>
        <w:t>Exception requests shall include:</w:t>
      </w:r>
    </w:p>
    <w:tbl>
      <w:tblPr>
        <w:tblStyle w:val="TableGrid"/>
        <w:tblW w:type="auto" w:w="0"/>
        <w:tblLook w:firstColumn="1" w:firstRow="1" w:lastColumn="0" w:lastRow="0" w:noHBand="0" w:noVBand="1" w:val="04A0"/>
      </w:tblPr>
      <w:tblGrid>
        <w:gridCol w:w="4320"/>
        <w:gridCol w:w="4320"/>
      </w:tblGrid>
      <w:tr>
        <w:tc>
          <w:tcPr>
            <w:tcW w:type="dxa" w:w="4320"/>
          </w:tcPr>
          <w:p>
            <w:r>
              <w:t>Exception Request Field</w:t>
            </w:r>
          </w:p>
        </w:tc>
        <w:tc>
          <w:tcPr>
            <w:tcW w:type="dxa" w:w="4320"/>
          </w:tcPr>
          <w:p>
            <w:r>
              <w:t>Required Information</w:t>
            </w:r>
          </w:p>
        </w:tc>
      </w:tr>
      <w:tr>
        <w:tc>
          <w:tcPr>
            <w:tcW w:type="dxa" w:w="4320"/>
          </w:tcPr>
          <w:p>
            <w:r>
              <w:t>Requestor</w:t>
            </w:r>
          </w:p>
        </w:tc>
        <w:tc>
          <w:tcPr>
            <w:tcW w:type="dxa" w:w="4320"/>
          </w:tcPr>
          <w:p>
            <w:r>
              <w:t>Name, role, business unit, and contact details.</w:t>
            </w:r>
          </w:p>
        </w:tc>
      </w:tr>
      <w:tr>
        <w:tc>
          <w:tcPr>
            <w:tcW w:type="dxa" w:w="4320"/>
          </w:tcPr>
          <w:p>
            <w:r>
              <w:t>Policy Requirement</w:t>
            </w:r>
          </w:p>
        </w:tc>
        <w:tc>
          <w:tcPr>
            <w:tcW w:type="dxa" w:w="4320"/>
          </w:tcPr>
          <w:p>
            <w:r>
              <w:t>Specific policy requirement for which exception is requested.</w:t>
            </w:r>
          </w:p>
        </w:tc>
      </w:tr>
      <w:tr>
        <w:tc>
          <w:tcPr>
            <w:tcW w:type="dxa" w:w="4320"/>
          </w:tcPr>
          <w:p>
            <w:r>
              <w:t>Business Justification</w:t>
            </w:r>
          </w:p>
        </w:tc>
        <w:tc>
          <w:tcPr>
            <w:tcW w:type="dxa" w:w="4320"/>
          </w:tcPr>
          <w:p>
            <w:r>
              <w:t>Reason compliance is not currently achievable or appropriate.</w:t>
            </w:r>
          </w:p>
        </w:tc>
      </w:tr>
      <w:tr>
        <w:tc>
          <w:tcPr>
            <w:tcW w:type="dxa" w:w="4320"/>
          </w:tcPr>
          <w:p>
            <w:r>
              <w:t>Data Asset(s) Affected</w:t>
            </w:r>
          </w:p>
        </w:tc>
        <w:tc>
          <w:tcPr>
            <w:tcW w:type="dxa" w:w="4320"/>
          </w:tcPr>
          <w:p>
            <w:r>
              <w:t>Data asset name, domain, system, classification, and owner.</w:t>
            </w:r>
          </w:p>
        </w:tc>
      </w:tr>
      <w:tr>
        <w:tc>
          <w:tcPr>
            <w:tcW w:type="dxa" w:w="4320"/>
          </w:tcPr>
          <w:p>
            <w:r>
              <w:t>Risk Assessment</w:t>
            </w:r>
          </w:p>
        </w:tc>
        <w:tc>
          <w:tcPr>
            <w:tcW w:type="dxa" w:w="4320"/>
          </w:tcPr>
          <w:p>
            <w:r>
              <w:t>Confidentiality, integrity, availability, privacy, legal, regulatory, financial, operational, and reputational risks.</w:t>
            </w:r>
          </w:p>
        </w:tc>
      </w:tr>
      <w:tr>
        <w:tc>
          <w:tcPr>
            <w:tcW w:type="dxa" w:w="4320"/>
          </w:tcPr>
          <w:p>
            <w:r>
              <w:t>Compensating Controls</w:t>
            </w:r>
          </w:p>
        </w:tc>
        <w:tc>
          <w:tcPr>
            <w:tcW w:type="dxa" w:w="4320"/>
          </w:tcPr>
          <w:p>
            <w:r>
              <w:t>Temporary or alternative controls to reduce risk.</w:t>
            </w:r>
          </w:p>
        </w:tc>
      </w:tr>
      <w:tr>
        <w:tc>
          <w:tcPr>
            <w:tcW w:type="dxa" w:w="4320"/>
          </w:tcPr>
          <w:p>
            <w:r>
              <w:t>Duration</w:t>
            </w:r>
          </w:p>
        </w:tc>
        <w:tc>
          <w:tcPr>
            <w:tcW w:type="dxa" w:w="4320"/>
          </w:tcPr>
          <w:p>
            <w:r>
              <w:t>Requested start date and end date.</w:t>
            </w:r>
          </w:p>
        </w:tc>
      </w:tr>
      <w:tr>
        <w:tc>
          <w:tcPr>
            <w:tcW w:type="dxa" w:w="4320"/>
          </w:tcPr>
          <w:p>
            <w:r>
              <w:t>Remediation Plan</w:t>
            </w:r>
          </w:p>
        </w:tc>
        <w:tc>
          <w:tcPr>
            <w:tcW w:type="dxa" w:w="4320"/>
          </w:tcPr>
          <w:p>
            <w:r>
              <w:t>Actions and timeline to achieve compliance.</w:t>
            </w:r>
          </w:p>
        </w:tc>
      </w:tr>
      <w:tr>
        <w:tc>
          <w:tcPr>
            <w:tcW w:type="dxa" w:w="4320"/>
          </w:tcPr>
          <w:p>
            <w:r>
              <w:t>Approvals</w:t>
            </w:r>
          </w:p>
        </w:tc>
        <w:tc>
          <w:tcPr>
            <w:tcW w:type="dxa" w:w="4320"/>
          </w:tcPr>
          <w:p>
            <w:r>
              <w:t>Data Owner, Chief Data Officer, Information Security, Privacy, Legal, Compliance, or executive approval as applicable.</w:t>
            </w:r>
          </w:p>
        </w:tc>
      </w:tr>
    </w:tbl>
    <w:p>
      <w:r>
        <w:t>Exceptions shall not be open-ended. Each exception shall have an expiry date and shall be reviewed before renewal. Expired exceptions shall be treated as non-compliance unless formally renewed or closed.</w:t>
      </w:r>
    </w:p>
    <w:p>
      <w:r>
        <w:t>Exceptions involving Restricted data, personal data, regulatory reporting, legal hold, external sharing, unsupported systems, or material business risk shall require enhanced review and approval by the appropriate risk, security, privacy, legal, or executive authority.</w:t>
      </w:r>
    </w:p>
    <w:p>
      <w:r>
        <w:t>The Chief Data Officer shall maintain an exception register containing approved exceptions, expiry dates, compensating controls, risk ratings, owners, and remediation status.</w:t>
      </w:r>
    </w:p>
    <w:p>
      <w:pPr>
        <w:pStyle w:val="Heading2"/>
      </w:pPr>
      <w:r>
        <w:t>Review &amp; Maintenance</w:t>
      </w:r>
    </w:p>
    <w:p>
      <w:r>
        <w:t>This policy shall be reviewed at least annually and whenever significant changes occur, including:</w:t>
      </w:r>
    </w:p>
    <w:p>
      <w:pPr>
        <w:pStyle w:val="ListBullet"/>
      </w:pPr>
      <w:r>
        <w:t>Changes to business strategy, operating model, organisational structure, or data ownership.</w:t>
      </w:r>
    </w:p>
    <w:p>
      <w:pPr>
        <w:pStyle w:val="ListBullet"/>
      </w:pPr>
      <w:r>
        <w:t>Introduction of new critical systems, repositories, analytics platforms, artificial intelligence solutions, or data sharing arrangements.</w:t>
      </w:r>
    </w:p>
    <w:p>
      <w:pPr>
        <w:pStyle w:val="ListBullet"/>
      </w:pPr>
      <w:r>
        <w:t>Material changes to legal, regulatory, privacy, contractual, or records retention requirements.</w:t>
      </w:r>
    </w:p>
    <w:p>
      <w:pPr>
        <w:pStyle w:val="ListBullet"/>
      </w:pPr>
      <w:r>
        <w:t>Significant data incidents, audit findings, control failures, or recurring data quality issues.</w:t>
      </w:r>
    </w:p>
    <w:p>
      <w:pPr>
        <w:pStyle w:val="ListBullet"/>
      </w:pPr>
      <w:r>
        <w:t>Changes to technology architecture, cloud services, third-party arrangements, or security requirements.</w:t>
      </w:r>
    </w:p>
    <w:p>
      <w:pPr>
        <w:pStyle w:val="ListBullet"/>
      </w:pPr>
      <w:r>
        <w:t>Changes to data classification, retention, catalogue, or governance standards.</w:t>
      </w:r>
    </w:p>
    <w:p>
      <w:r>
        <w:t>The Chief Data Officer is responsible for coordinating the review and maintaining this policy. Updates shall be reviewed with relevant stakeholders, including Information Security, Privacy, Legal, Compliance, Records Management, Technology, Internal Audit, and business Data Owners.</w:t>
      </w:r>
    </w:p>
    <w:p>
      <w:r>
        <w:t>Policy changes shall be approved through the organisation’s approved governance process and communicated to all affected personnel. Superseded versions shall be retained according to the organisation’s records retention requirements.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Version</w:t>
            </w:r>
          </w:p>
        </w:tc>
        <w:tc>
          <w:tcPr>
            <w:tcW w:type="dxa" w:w="1728"/>
          </w:tcPr>
          <w:p>
            <w:r>
              <w:t>Date</w:t>
            </w:r>
          </w:p>
        </w:tc>
        <w:tc>
          <w:tcPr>
            <w:tcW w:type="dxa" w:w="1728"/>
          </w:tcPr>
          <w:p>
            <w:r>
              <w:t>Description of Change</w:t>
            </w:r>
          </w:p>
        </w:tc>
        <w:tc>
          <w:tcPr>
            <w:tcW w:type="dxa" w:w="1728"/>
          </w:tcPr>
          <w:p>
            <w:r>
              <w:t>Author</w:t>
            </w:r>
          </w:p>
        </w:tc>
        <w:tc>
          <w:tcPr>
            <w:tcW w:type="dxa" w:w="1728"/>
          </w:tcPr>
          <w:p>
            <w:r>
              <w:t>Approved By</w:t>
            </w:r>
          </w:p>
        </w:tc>
      </w:tr>
      <w:tr>
        <w:tc>
          <w:tcPr>
            <w:tcW w:type="dxa" w:w="1728"/>
          </w:tcPr>
          <w:p>
            <w:r>
              <w:t>1.0</w:t>
            </w:r>
          </w:p>
        </w:tc>
        <w:tc>
          <w:tcPr>
            <w:tcW w:type="dxa" w:w="1728"/>
          </w:tcPr>
          <w:p>
            <w:r>
              <w:t>[Effective Date]</w:t>
            </w:r>
          </w:p>
        </w:tc>
        <w:tc>
          <w:tcPr>
            <w:tcW w:type="dxa" w:w="1728"/>
          </w:tcPr>
          <w:p>
            <w:r>
              <w:t>Initial version</w:t>
            </w:r>
          </w:p>
        </w:tc>
        <w:tc>
          <w:tcPr>
            <w:tcW w:type="dxa" w:w="1728"/>
          </w:tcPr>
          <w:p>
            <w:r>
              <w:t>Chief Data Officer</w:t>
            </w:r>
          </w:p>
        </w:tc>
        <w:tc>
          <w:tcPr>
            <w:tcW w:type="dxa" w:w="1728"/>
          </w:tcPr>
          <w:p>
            <w:r>
              <w:t>[Approver / Governance Forum]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