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 Inquiry / Investigation Response Pack</w:t>
      </w:r>
    </w:p>
    <w:p>
      <w:pPr>
        <w:pStyle w:val="Heading2"/>
      </w:pPr>
      <w:r>
        <w:t>What This Evidences</w:t>
      </w:r>
    </w:p>
    <w:p>
      <w:r>
        <w:t>The SA Inquiry / Investigation Response Pack evidences that the organisation cooperates with a supervisory authority when contacted about a data protection inquiry, investigation, complaint, audit, or information request. It demonstrates that requests are received, tracked, assessed, assigned, responded to, and closed in a controlled and timely manner.</w:t>
      </w:r>
    </w:p>
    <w:p>
      <w:r>
        <w:t>This artifact is collected, not authored. It must be exported from the organisation’s operational systems and records. Do not create or reconstruct it manually except to compile the collected evidence into a ZIP file with a clear index.</w:t>
      </w:r>
    </w:p>
    <w:p>
      <w:pPr>
        <w:pStyle w:val="Heading2"/>
      </w:pPr>
      <w:r>
        <w:t>Where To Collect It From</w:t>
      </w:r>
    </w:p>
    <w:p>
      <w:r>
        <w:t>Collect the evidence from the systems used to manage regulatory, legal, privacy, and operational responses, typically:</w:t>
      </w:r>
    </w:p>
    <w:p>
      <w:pPr>
        <w:pStyle w:val="ListBullet"/>
      </w:pPr>
      <w:r>
        <w:t>Privacy case management tool: [Privacy Management Platform]</w:t>
      </w:r>
    </w:p>
    <w:p>
      <w:pPr>
        <w:pStyle w:val="ListBullet"/>
      </w:pPr>
      <w:r>
        <w:t>Legal matter management system: [Legal System]</w:t>
      </w:r>
    </w:p>
    <w:p>
      <w:pPr>
        <w:pStyle w:val="ListBullet"/>
      </w:pPr>
      <w:r>
        <w:t>ITSM or workflow/ticketing system: [ITSM Tool]</w:t>
      </w:r>
    </w:p>
    <w:p>
      <w:pPr>
        <w:pStyle w:val="ListBullet"/>
      </w:pPr>
      <w:r>
        <w:t>Document management repository: [DMS/SharePoint/Google Drive]</w:t>
      </w:r>
    </w:p>
    <w:p>
      <w:pPr>
        <w:pStyle w:val="ListBullet"/>
      </w:pPr>
      <w:r>
        <w:t>Email mailbox used for regulator communications: [Regulatory Mailbox]</w:t>
      </w:r>
    </w:p>
    <w:p>
      <w:pPr>
        <w:pStyle w:val="ListBullet"/>
      </w:pPr>
      <w:r>
        <w:t>Data protection office tracker or register: [DPO Register]</w:t>
      </w:r>
    </w:p>
    <w:p>
      <w:pPr>
        <w:pStyle w:val="ListBullet"/>
      </w:pPr>
      <w:r>
        <w:t>Security incident platform, where relevant: [SIEM/SOAR/Incident Tool]</w:t>
      </w:r>
    </w:p>
    <w:p>
      <w:pPr>
        <w:pStyle w:val="ListBullet"/>
      </w:pPr>
      <w:r>
        <w:t>Evidence repository or GRC platform: [GRC Tool]</w:t>
      </w:r>
    </w:p>
    <w:p>
      <w:pPr>
        <w:pStyle w:val="Heading2"/>
      </w:pPr>
      <w:r>
        <w:t>How To Collect</w:t>
      </w:r>
    </w:p>
    <w:p>
      <w:pPr>
        <w:pStyle w:val="ListBullet"/>
      </w:pPr>
      <w:r>
        <w:t>Identify the supervisory authority inquiry or investigation reference, including [case ID], [authority name], and [date received].</w:t>
      </w:r>
    </w:p>
    <w:p>
      <w:pPr>
        <w:pStyle w:val="ListBullet"/>
      </w:pPr>
      <w:r>
        <w:t>Search [Privacy Management Platform] or [ITSM Tool] for the case record using the regulator reference, complainant reference, matter name, or internal case ID.</w:t>
      </w:r>
    </w:p>
    <w:p>
      <w:pPr>
        <w:pStyle w:val="ListBullet"/>
      </w:pPr>
      <w:r>
        <w:t>Export the full case/ticket record, including status history, ownership, timestamps, assignments, comments, approvals, and closure details.</w:t>
      </w:r>
    </w:p>
    <w:p>
      <w:pPr>
        <w:pStyle w:val="ListBullet"/>
      </w:pPr>
      <w:r>
        <w:t>Export the inbound supervisory authority request from [Regulatory Mailbox] or [DMS], including full email headers or portal metadata where available.</w:t>
      </w:r>
    </w:p>
    <w:p>
      <w:pPr>
        <w:pStyle w:val="ListBullet"/>
      </w:pPr>
      <w:r>
        <w:t>Export all outbound responses submitted to the authority, including attachments and confirmation receipts.</w:t>
      </w:r>
    </w:p>
    <w:p>
      <w:pPr>
        <w:pStyle w:val="ListBullet"/>
      </w:pPr>
      <w:r>
        <w:t>Collect internal decision records, legal/DPO review notes, and documented response approvals from [Legal System], [DPO Register], or [GRC Tool].</w:t>
      </w:r>
    </w:p>
    <w:p>
      <w:pPr>
        <w:pStyle w:val="ListBullet"/>
      </w:pPr>
      <w:r>
        <w:t>Collect supporting evidence provided to the authority, such as incident records, processing details, data subject request records, risk assessments, breach assessments, technical logs, or policy extracts.</w:t>
      </w:r>
    </w:p>
    <w:p>
      <w:pPr>
        <w:pStyle w:val="ListBullet"/>
      </w:pPr>
      <w:r>
        <w:t>Capture any regulator portal screenshots showing submission dates, message threads, uploaded files, or case status.</w:t>
      </w:r>
    </w:p>
    <w:p>
      <w:pPr>
        <w:pStyle w:val="ListBullet"/>
      </w:pPr>
      <w:r>
        <w:t>Save all files into a structured folder using the naming convention: [YYYY-MM-DD]_[Authority]_[CaseID]_SA_Response_Pack.</w:t>
      </w:r>
    </w:p>
    <w:p>
      <w:pPr>
        <w:pStyle w:val="ListBullet"/>
      </w:pPr>
      <w:r>
        <w:t>Create a simple index file listing each item, source system, export date, and collector name.</w:t>
      </w:r>
    </w:p>
    <w:p>
      <w:pPr>
        <w:pStyle w:val="ListBullet"/>
      </w:pPr>
      <w:r>
        <w:t>Compress the folder into a ZIP file and store it in the approved evidence repository.</w:t>
      </w:r>
    </w:p>
    <w:p>
      <w:pPr>
        <w:pStyle w:val="Heading2"/>
      </w:pPr>
      <w:r>
        <w:t>What To Capture</w:t>
      </w:r>
    </w:p>
    <w:p>
      <w:r>
        <w:t>The ZIP should include, where applicable:</w:t>
      </w:r>
    </w:p>
    <w:p>
      <w:pPr>
        <w:pStyle w:val="ListBullet"/>
      </w:pPr>
      <w:r>
        <w:t>Supervisory authority name and case/reference number</w:t>
      </w:r>
    </w:p>
    <w:p>
      <w:pPr>
        <w:pStyle w:val="ListBullet"/>
      </w:pPr>
      <w:r>
        <w:t>Date and time the inquiry was received</w:t>
      </w:r>
    </w:p>
    <w:p>
      <w:pPr>
        <w:pStyle w:val="ListBullet"/>
      </w:pPr>
      <w:r>
        <w:t>Full original request or notice</w:t>
      </w:r>
    </w:p>
    <w:p>
      <w:pPr>
        <w:pStyle w:val="ListBullet"/>
      </w:pPr>
      <w:r>
        <w:t>Internal case/ticket record with audit trail</w:t>
      </w:r>
    </w:p>
    <w:p>
      <w:pPr>
        <w:pStyle w:val="ListBullet"/>
      </w:pPr>
      <w:r>
        <w:t>Assigned owner, DPO/legal reviewer, and contributors</w:t>
      </w:r>
    </w:p>
    <w:p>
      <w:pPr>
        <w:pStyle w:val="ListBullet"/>
      </w:pPr>
      <w:r>
        <w:t>Due dates, extensions requested, and actual response dates</w:t>
      </w:r>
    </w:p>
    <w:p>
      <w:pPr>
        <w:pStyle w:val="ListBullet"/>
      </w:pPr>
      <w:r>
        <w:t>Internal assessment and response plan</w:t>
      </w:r>
    </w:p>
    <w:p>
      <w:pPr>
        <w:pStyle w:val="ListBullet"/>
      </w:pPr>
      <w:r>
        <w:t>Copies of all responses submitted to the authority</w:t>
      </w:r>
    </w:p>
    <w:p>
      <w:pPr>
        <w:pStyle w:val="ListBullet"/>
      </w:pPr>
      <w:r>
        <w:t>Proof of submission, delivery, or portal upload</w:t>
      </w:r>
    </w:p>
    <w:p>
      <w:pPr>
        <w:pStyle w:val="ListBullet"/>
      </w:pPr>
      <w:r>
        <w:t>Supporting documents and evidence provided</w:t>
      </w:r>
    </w:p>
    <w:p>
      <w:pPr>
        <w:pStyle w:val="ListBullet"/>
      </w:pPr>
      <w:r>
        <w:t>Internal approvals before submission</w:t>
      </w:r>
    </w:p>
    <w:p>
      <w:pPr>
        <w:pStyle w:val="ListBullet"/>
      </w:pPr>
      <w:r>
        <w:t>Communications with the authority, including clarifications</w:t>
      </w:r>
    </w:p>
    <w:p>
      <w:pPr>
        <w:pStyle w:val="ListBullet"/>
      </w:pPr>
      <w:r>
        <w:t>Closure confirmation or final outcome, if available</w:t>
      </w:r>
    </w:p>
    <w:p>
      <w:pPr>
        <w:pStyle w:val="ListBullet"/>
      </w:pPr>
      <w:r>
        <w:t>Evidence index showing file names, source systems, and export dates</w:t>
      </w:r>
    </w:p>
    <w:p>
      <w:pPr>
        <w:pStyle w:val="Heading2"/>
      </w:pPr>
      <w:r>
        <w:t>Frequency &amp; Owner</w:t>
      </w:r>
    </w:p>
    <w:p>
      <w:r>
        <w:t>Collect this evidence for each supervisory authority inquiry, investigation, complaint, audit, or formal information request.</w:t>
      </w:r>
    </w:p>
    <w:p>
      <w:r>
        <w:t>Primary owner: Data Protection Officer or Privacy Lead Supporting owners: Legal Counsel, Compliance, Security, IT Operations, Records Management, and relevant business process owners</w:t>
      </w:r>
    </w:p>
    <w:p>
      <w:r>
        <w:t>The response pack should be compiled at key milestones: receipt, submission of response, further authority follow-up, and closure.</w:t>
      </w:r>
    </w:p>
    <w:p>
      <w:pPr>
        <w:pStyle w:val="Heading2"/>
      </w:pPr>
      <w:r>
        <w:t>Retention &amp; Storage</w:t>
      </w:r>
    </w:p>
    <w:p>
      <w:r>
        <w:t>Store the ZIP in [GRC Tool] or [Secure Evidence Repository] with restricted access for Legal, Privacy, Compliance, and authorised auditors.</w:t>
      </w:r>
    </w:p>
    <w:p>
      <w:r>
        <w:t>Retention should follow [Regulatory Correspondence Retention Schedule], legal hold requirements, and any matter-specific preservation instructions. Do not delete or alter records while an inquiry, investigation, litigation hold, or appeal remains active.</w:t>
      </w:r>
    </w:p>
    <w:p>
      <w:r>
        <w:t>Use immutable or version-controlled storage where available. Maintain a clear audit trail showing who collected, accessed, modified, and approved the evidence pack.</w:t>
      </w:r>
    </w:p>
    <w:p>
      <w:pPr>
        <w:pStyle w:val="Heading2"/>
      </w:pPr>
      <w:r>
        <w:t>Acceptance Criteria</w:t>
      </w:r>
    </w:p>
    <w:p>
      <w:r>
        <w:t>An auditor will accept the evidence as sufficient if it shows that:</w:t>
      </w:r>
    </w:p>
    <w:p>
      <w:pPr>
        <w:pStyle w:val="ListBullet"/>
      </w:pPr>
      <w:r>
        <w:t>The supervisory authority request was formally received and logged</w:t>
      </w:r>
    </w:p>
    <w:p>
      <w:pPr>
        <w:pStyle w:val="ListBullet"/>
      </w:pPr>
      <w:r>
        <w:t>A responsible owner was assigned</w:t>
      </w:r>
    </w:p>
    <w:p>
      <w:pPr>
        <w:pStyle w:val="ListBullet"/>
      </w:pPr>
      <w:r>
        <w:t>The organisation tracked deadlines and responded in a timely manner</w:t>
      </w:r>
    </w:p>
    <w:p>
      <w:pPr>
        <w:pStyle w:val="ListBullet"/>
      </w:pPr>
      <w:r>
        <w:t>The DPO, Legal, or authorised privacy function reviewed the response</w:t>
      </w:r>
    </w:p>
    <w:p>
      <w:pPr>
        <w:pStyle w:val="ListBullet"/>
      </w:pPr>
      <w:r>
        <w:t>Communications with the authority are complete and traceable</w:t>
      </w:r>
    </w:p>
    <w:p>
      <w:pPr>
        <w:pStyle w:val="ListBullet"/>
      </w:pPr>
      <w:r>
        <w:t>Submitted responses and supporting evidence are included</w:t>
      </w:r>
    </w:p>
    <w:p>
      <w:pPr>
        <w:pStyle w:val="ListBullet"/>
      </w:pPr>
      <w:r>
        <w:t>Proof of submission or delivery is available</w:t>
      </w:r>
    </w:p>
    <w:p>
      <w:pPr>
        <w:pStyle w:val="ListBullet"/>
      </w:pPr>
      <w:r>
        <w:t>The case status, outcome, or next action is clear</w:t>
      </w:r>
    </w:p>
    <w:p>
      <w:pPr>
        <w:pStyle w:val="ListBullet"/>
      </w:pPr>
      <w:r>
        <w:t>The ZIP contents are indexed and traceable to source systems</w:t>
      </w:r>
    </w:p>
    <w:p>
      <w:pPr>
        <w:pStyle w:val="ListBullet"/>
      </w:pPr>
      <w:r>
        <w:t>The pack is exported from operational systems, not manually fabricated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