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Transfer Impact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[DTIA-PDPL-001]</w:t>
            </w:r>
          </w:p>
        </w:tc>
        <w:tc>
          <w:tcPr>
            <w:tcW w:type="dxa" w:w="1440"/>
          </w:tcPr>
          <w:p>
            <w:r>
              <w:t>1.0</w:t>
            </w:r>
          </w:p>
        </w:tc>
        <w:tc>
          <w:tcPr>
            <w:tcW w:type="dxa" w:w="1440"/>
          </w:tcPr>
          <w:p>
            <w:r>
              <w:t>[Privacy Officer / Data Protection Lead]</w:t>
            </w:r>
          </w:p>
        </w:tc>
        <w:tc>
          <w:tcPr>
            <w:tcW w:type="dxa" w:w="1440"/>
          </w:tcPr>
          <w:p>
            <w:r>
              <w:t>[DD Month YYYY]</w:t>
            </w:r>
          </w:p>
        </w:tc>
        <w:tc>
          <w:tcPr>
            <w:tcW w:type="dxa" w:w="1440"/>
          </w:tcPr>
          <w:p>
            <w:r>
              <w:t>Saudi Personal Data Protection Law</w:t>
            </w:r>
          </w:p>
        </w:tc>
        <w:tc>
          <w:tcPr>
            <w:tcW w:type="dxa" w:w="1440"/>
          </w:tcPr>
          <w:p>
            <w:r>
              <w:t>Confidential - Internal Use Only</w:t>
            </w:r>
          </w:p>
        </w:tc>
      </w:tr>
    </w:tbl>
    <w:p>
      <w:pPr>
        <w:pStyle w:val="Heading2"/>
      </w:pPr>
      <w:r>
        <w:t>Purpose</w:t>
      </w:r>
    </w:p>
    <w:p>
      <w:r>
        <w:t>This Data Transfer Impact Assessment Report documents the assessment of proposed and ongoing transfers of personal data from the Kingdom of Saudi Arabia to recipients located outside the Kingdom.</w:t>
      </w:r>
    </w:p>
    <w:p>
      <w:r>
        <w:t>The purpose of this report is to determine whether each cross-border transfer:</w:t>
      </w:r>
    </w:p>
    <w:p>
      <w:pPr>
        <w:pStyle w:val="ListBullet"/>
      </w:pPr>
      <w:r>
        <w:t>Is necessary for a legitimate business or legal purpose.</w:t>
      </w:r>
    </w:p>
    <w:p>
      <w:pPr>
        <w:pStyle w:val="ListBullet"/>
      </w:pPr>
      <w:r>
        <w:t>Has a valid basis under the Saudi Personal Data Protection Law and its implementing rules.</w:t>
      </w:r>
    </w:p>
    <w:p>
      <w:pPr>
        <w:pStyle w:val="ListBullet"/>
      </w:pPr>
      <w:r>
        <w:t>Is made to a destination that provides an acceptable level of personal data protection or is supported by appropriate safeguards.</w:t>
      </w:r>
    </w:p>
    <w:p>
      <w:pPr>
        <w:pStyle w:val="ListBullet"/>
      </w:pPr>
      <w:r>
        <w:t>Protects the rights and interests of data subjects whose personal data is transferred.</w:t>
      </w:r>
    </w:p>
    <w:p>
      <w:pPr>
        <w:pStyle w:val="ListBullet"/>
      </w:pPr>
      <w:r>
        <w:t>Is governed by clear contractual, technical, organisational, and operational controls.</w:t>
      </w:r>
    </w:p>
    <w:p>
      <w:pPr>
        <w:pStyle w:val="ListBullet"/>
      </w:pPr>
      <w:r>
        <w:t>Does not create unacceptable risk to the confidentiality, integrity, availability, or lawful use of personal data.</w:t>
      </w:r>
    </w:p>
    <w:p>
      <w:r>
        <w:t>This report is intended to support management decision-making, provide evidence of due diligence, and define required actions before the transfer is approved, continued, restricted, or discontinued.</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Period</w:t>
            </w:r>
          </w:p>
        </w:tc>
        <w:tc>
          <w:tcPr>
            <w:tcW w:type="dxa" w:w="4320"/>
          </w:tcPr>
          <w:p>
            <w:r>
              <w:t>[DD Month YYYY] to [DD Month YYYY]</w:t>
            </w:r>
          </w:p>
        </w:tc>
      </w:tr>
      <w:tr>
        <w:tc>
          <w:tcPr>
            <w:tcW w:type="dxa" w:w="4320"/>
          </w:tcPr>
          <w:p>
            <w:r>
              <w:t>Report Date</w:t>
            </w:r>
          </w:p>
        </w:tc>
        <w:tc>
          <w:tcPr>
            <w:tcW w:type="dxa" w:w="4320"/>
          </w:tcPr>
          <w:p>
            <w:r>
              <w:t>[DD Month YYYY]</w:t>
            </w:r>
          </w:p>
        </w:tc>
      </w:tr>
      <w:tr>
        <w:tc>
          <w:tcPr>
            <w:tcW w:type="dxa" w:w="4320"/>
          </w:tcPr>
          <w:p>
            <w:r>
              <w:t>Assessment Type</w:t>
            </w:r>
          </w:p>
        </w:tc>
        <w:tc>
          <w:tcPr>
            <w:tcW w:type="dxa" w:w="4320"/>
          </w:tcPr>
          <w:p>
            <w:r>
              <w:t>Initial / Periodic / Change-Driven / Remediation Follow-Up</w:t>
            </w:r>
          </w:p>
        </w:tc>
      </w:tr>
      <w:tr>
        <w:tc>
          <w:tcPr>
            <w:tcW w:type="dxa" w:w="4320"/>
          </w:tcPr>
          <w:p>
            <w:r>
              <w:t>Next Scheduled Review</w:t>
            </w:r>
          </w:p>
        </w:tc>
        <w:tc>
          <w:tcPr>
            <w:tcW w:type="dxa" w:w="4320"/>
          </w:tcPr>
          <w:p>
            <w:r>
              <w:t>[DD Month YYYY]</w:t>
            </w:r>
          </w:p>
        </w:tc>
      </w:tr>
      <w:tr>
        <w:tc>
          <w:tcPr>
            <w:tcW w:type="dxa" w:w="4320"/>
          </w:tcPr>
          <w:p>
            <w:r>
              <w:t>Trigger for Assessment</w:t>
            </w:r>
          </w:p>
        </w:tc>
        <w:tc>
          <w:tcPr>
            <w:tcW w:type="dxa" w:w="4320"/>
          </w:tcPr>
          <w:p>
            <w:r>
              <w:t>New vendor onboarding / new country transfer / system migration / contract renewal / regulatory review / incident response / annual review</w:t>
            </w:r>
          </w:p>
        </w:tc>
      </w:tr>
    </w:tbl>
    <w:p>
      <w:pPr>
        <w:pStyle w:val="Heading3"/>
      </w:pPr>
      <w:r>
        <w:t>Scope of Assessment</w:t>
      </w:r>
    </w:p>
    <w:p>
      <w:r>
        <w:t>This assessment covers cross-border transfers of personal data originating in the Kingdom of Saudi Arabia and performed by or on behalf of [Organisation Name].</w:t>
      </w:r>
    </w:p>
    <w:p>
      <w:r>
        <w:t>The assessment includes:</w:t>
      </w:r>
    </w:p>
    <w:p>
      <w:pPr>
        <w:pStyle w:val="ListBullet"/>
      </w:pPr>
      <w:r>
        <w:t>Transfers by [Organisation Name] to overseas group entities, vendors, cloud providers, support teams, consultants, and business partners.</w:t>
      </w:r>
    </w:p>
    <w:p>
      <w:pPr>
        <w:pStyle w:val="ListBullet"/>
      </w:pPr>
      <w:r>
        <w:t>Remote access to personal data stored in Saudi Arabia by personnel or service providers located outside the Kingdom.</w:t>
      </w:r>
    </w:p>
    <w:p>
      <w:pPr>
        <w:pStyle w:val="ListBullet"/>
      </w:pPr>
      <w:r>
        <w:t>Storage, hosting, backup, replication, support, analytics, and processing activities performed outside the Kingdom.</w:t>
      </w:r>
    </w:p>
    <w:p>
      <w:pPr>
        <w:pStyle w:val="ListBullet"/>
      </w:pPr>
      <w:r>
        <w:t>Transfers involving customers, employees, contractors, website users, app users, suppliers, patients, students, or other identifiable individuals, as applicable.</w:t>
      </w:r>
    </w:p>
    <w:p>
      <w:pPr>
        <w:pStyle w:val="ListBullet"/>
      </w:pPr>
      <w:r>
        <w:t>Transfers performed through business applications, cloud platforms, managed services, file-sharing tools, email, APIs, integrations, support portals, and manual exports.</w:t>
      </w:r>
    </w:p>
    <w:p>
      <w:pPr>
        <w:pStyle w:val="ListBullet"/>
      </w:pPr>
      <w:r>
        <w:t>Onward transfers by overseas recipients to their subcontractors or affiliates.</w:t>
      </w:r>
    </w:p>
    <w:p>
      <w:pPr>
        <w:pStyle w:val="Heading3"/>
      </w:pPr>
      <w:r>
        <w:t>Systems, Processes, and Data Flows Assessed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Ref.</w:t>
            </w:r>
          </w:p>
        </w:tc>
        <w:tc>
          <w:tcPr>
            <w:tcW w:type="dxa" w:w="1080"/>
          </w:tcPr>
          <w:p>
            <w:r>
              <w:t>Business Process</w:t>
            </w:r>
          </w:p>
        </w:tc>
        <w:tc>
          <w:tcPr>
            <w:tcW w:type="dxa" w:w="1080"/>
          </w:tcPr>
          <w:p>
            <w:r>
              <w:t>System / Platform</w:t>
            </w:r>
          </w:p>
        </w:tc>
        <w:tc>
          <w:tcPr>
            <w:tcW w:type="dxa" w:w="1080"/>
          </w:tcPr>
          <w:p>
            <w:r>
              <w:t>Data Exporter</w:t>
            </w:r>
          </w:p>
        </w:tc>
        <w:tc>
          <w:tcPr>
            <w:tcW w:type="dxa" w:w="1080"/>
          </w:tcPr>
          <w:p>
            <w:r>
              <w:t>Overseas Recipient</w:t>
            </w:r>
          </w:p>
        </w:tc>
        <w:tc>
          <w:tcPr>
            <w:tcW w:type="dxa" w:w="1080"/>
          </w:tcPr>
          <w:p>
            <w:r>
              <w:t>Destination Country</w:t>
            </w:r>
          </w:p>
        </w:tc>
        <w:tc>
          <w:tcPr>
            <w:tcW w:type="dxa" w:w="1080"/>
          </w:tcPr>
          <w:p>
            <w:r>
              <w:t>Transfer Mechanism</w:t>
            </w:r>
          </w:p>
        </w:tc>
        <w:tc>
          <w:tcPr>
            <w:tcW w:type="dxa" w:w="1080"/>
          </w:tcPr>
          <w:p>
            <w:r>
              <w:t>Status</w:t>
            </w:r>
          </w:p>
        </w:tc>
      </w:tr>
      <w:tr>
        <w:tc>
          <w:tcPr>
            <w:tcW w:type="dxa" w:w="1080"/>
          </w:tcPr>
          <w:p>
            <w:r>
              <w:t>T-01</w:t>
            </w:r>
          </w:p>
        </w:tc>
        <w:tc>
          <w:tcPr>
            <w:tcW w:type="dxa" w:w="1080"/>
          </w:tcPr>
          <w:p>
            <w:r>
              <w:t>Customer relationship management</w:t>
            </w:r>
          </w:p>
        </w:tc>
        <w:tc>
          <w:tcPr>
            <w:tcW w:type="dxa" w:w="1080"/>
          </w:tcPr>
          <w:p>
            <w:r>
              <w:t>[CRM System]</w:t>
            </w:r>
          </w:p>
        </w:tc>
        <w:tc>
          <w:tcPr>
            <w:tcW w:type="dxa" w:w="1080"/>
          </w:tcPr>
          <w:p>
            <w:r>
              <w:t>[Organisation Name]</w:t>
            </w:r>
          </w:p>
        </w:tc>
        <w:tc>
          <w:tcPr>
            <w:tcW w:type="dxa" w:w="1080"/>
          </w:tcPr>
          <w:p>
            <w:r>
              <w:t>[Cloud Provider / Vendor]</w:t>
            </w:r>
          </w:p>
        </w:tc>
        <w:tc>
          <w:tcPr>
            <w:tcW w:type="dxa" w:w="1080"/>
          </w:tcPr>
          <w:p>
            <w:r>
              <w:t>[Country]</w:t>
            </w:r>
          </w:p>
        </w:tc>
        <w:tc>
          <w:tcPr>
            <w:tcW w:type="dxa" w:w="1080"/>
          </w:tcPr>
          <w:p>
            <w:r>
              <w:t>Cloud hosting and support access</w:t>
            </w:r>
          </w:p>
        </w:tc>
        <w:tc>
          <w:tcPr>
            <w:tcW w:type="dxa" w:w="1080"/>
          </w:tcPr>
          <w:p>
            <w:r>
              <w:t>Under Assessment</w:t>
            </w:r>
          </w:p>
        </w:tc>
      </w:tr>
      <w:tr>
        <w:tc>
          <w:tcPr>
            <w:tcW w:type="dxa" w:w="1080"/>
          </w:tcPr>
          <w:p>
            <w:r>
              <w:t>T-02</w:t>
            </w:r>
          </w:p>
        </w:tc>
        <w:tc>
          <w:tcPr>
            <w:tcW w:type="dxa" w:w="1080"/>
          </w:tcPr>
          <w:p>
            <w:r>
              <w:t>HR and payroll administration</w:t>
            </w:r>
          </w:p>
        </w:tc>
        <w:tc>
          <w:tcPr>
            <w:tcW w:type="dxa" w:w="1080"/>
          </w:tcPr>
          <w:p>
            <w:r>
              <w:t>[HRIS / Payroll System]</w:t>
            </w:r>
          </w:p>
        </w:tc>
        <w:tc>
          <w:tcPr>
            <w:tcW w:type="dxa" w:w="1080"/>
          </w:tcPr>
          <w:p>
            <w:r>
              <w:t>[Organisation Name]</w:t>
            </w:r>
          </w:p>
        </w:tc>
        <w:tc>
          <w:tcPr>
            <w:tcW w:type="dxa" w:w="1080"/>
          </w:tcPr>
          <w:p>
            <w:r>
              <w:t>[Payroll Provider / Group HR Entity]</w:t>
            </w:r>
          </w:p>
        </w:tc>
        <w:tc>
          <w:tcPr>
            <w:tcW w:type="dxa" w:w="1080"/>
          </w:tcPr>
          <w:p>
            <w:r>
              <w:t>[Country]</w:t>
            </w:r>
          </w:p>
        </w:tc>
        <w:tc>
          <w:tcPr>
            <w:tcW w:type="dxa" w:w="1080"/>
          </w:tcPr>
          <w:p>
            <w:r>
              <w:t>System processing and payroll support</w:t>
            </w:r>
          </w:p>
        </w:tc>
        <w:tc>
          <w:tcPr>
            <w:tcW w:type="dxa" w:w="1080"/>
          </w:tcPr>
          <w:p>
            <w:r>
              <w:t>Under Assessment</w:t>
            </w:r>
          </w:p>
        </w:tc>
      </w:tr>
      <w:tr>
        <w:tc>
          <w:tcPr>
            <w:tcW w:type="dxa" w:w="1080"/>
          </w:tcPr>
          <w:p>
            <w:r>
              <w:t>T-03</w:t>
            </w:r>
          </w:p>
        </w:tc>
        <w:tc>
          <w:tcPr>
            <w:tcW w:type="dxa" w:w="1080"/>
          </w:tcPr>
          <w:p>
            <w:r>
              <w:t>IT service desk support</w:t>
            </w:r>
          </w:p>
        </w:tc>
        <w:tc>
          <w:tcPr>
            <w:tcW w:type="dxa" w:w="1080"/>
          </w:tcPr>
          <w:p>
            <w:r>
              <w:t>[Ticketing / Remote Support Tool]</w:t>
            </w:r>
          </w:p>
        </w:tc>
        <w:tc>
          <w:tcPr>
            <w:tcW w:type="dxa" w:w="1080"/>
          </w:tcPr>
          <w:p>
            <w:r>
              <w:t>[Organisation Name]</w:t>
            </w:r>
          </w:p>
        </w:tc>
        <w:tc>
          <w:tcPr>
            <w:tcW w:type="dxa" w:w="1080"/>
          </w:tcPr>
          <w:p>
            <w:r>
              <w:t>[Managed Service Provider]</w:t>
            </w:r>
          </w:p>
        </w:tc>
        <w:tc>
          <w:tcPr>
            <w:tcW w:type="dxa" w:w="1080"/>
          </w:tcPr>
          <w:p>
            <w:r>
              <w:t>[Country]</w:t>
            </w:r>
          </w:p>
        </w:tc>
        <w:tc>
          <w:tcPr>
            <w:tcW w:type="dxa" w:w="1080"/>
          </w:tcPr>
          <w:p>
            <w:r>
              <w:t>Remote access and diagnostic logs</w:t>
            </w:r>
          </w:p>
        </w:tc>
        <w:tc>
          <w:tcPr>
            <w:tcW w:type="dxa" w:w="1080"/>
          </w:tcPr>
          <w:p>
            <w:r>
              <w:t>Under Assessment</w:t>
            </w:r>
          </w:p>
        </w:tc>
      </w:tr>
      <w:tr>
        <w:tc>
          <w:tcPr>
            <w:tcW w:type="dxa" w:w="1080"/>
          </w:tcPr>
          <w:p>
            <w:r>
              <w:t>T-04</w:t>
            </w:r>
          </w:p>
        </w:tc>
        <w:tc>
          <w:tcPr>
            <w:tcW w:type="dxa" w:w="1080"/>
          </w:tcPr>
          <w:p>
            <w:r>
              <w:t>Marketing communications</w:t>
            </w:r>
          </w:p>
        </w:tc>
        <w:tc>
          <w:tcPr>
            <w:tcW w:type="dxa" w:w="1080"/>
          </w:tcPr>
          <w:p>
            <w:r>
              <w:t>[Marketing Platform]</w:t>
            </w:r>
          </w:p>
        </w:tc>
        <w:tc>
          <w:tcPr>
            <w:tcW w:type="dxa" w:w="1080"/>
          </w:tcPr>
          <w:p>
            <w:r>
              <w:t>[Organisation Name]</w:t>
            </w:r>
          </w:p>
        </w:tc>
        <w:tc>
          <w:tcPr>
            <w:tcW w:type="dxa" w:w="1080"/>
          </w:tcPr>
          <w:p>
            <w:r>
              <w:t>[Email / Campaign Provider]</w:t>
            </w:r>
          </w:p>
        </w:tc>
        <w:tc>
          <w:tcPr>
            <w:tcW w:type="dxa" w:w="1080"/>
          </w:tcPr>
          <w:p>
            <w:r>
              <w:t>[Country]</w:t>
            </w:r>
          </w:p>
        </w:tc>
        <w:tc>
          <w:tcPr>
            <w:tcW w:type="dxa" w:w="1080"/>
          </w:tcPr>
          <w:p>
            <w:r>
              <w:t>Campaign execution and analytics</w:t>
            </w:r>
          </w:p>
        </w:tc>
        <w:tc>
          <w:tcPr>
            <w:tcW w:type="dxa" w:w="1080"/>
          </w:tcPr>
          <w:p>
            <w:r>
              <w:t>Under Assessment</w:t>
            </w:r>
          </w:p>
        </w:tc>
      </w:tr>
      <w:tr>
        <w:tc>
          <w:tcPr>
            <w:tcW w:type="dxa" w:w="1080"/>
          </w:tcPr>
          <w:p>
            <w:r>
              <w:t>T-05</w:t>
            </w:r>
          </w:p>
        </w:tc>
        <w:tc>
          <w:tcPr>
            <w:tcW w:type="dxa" w:w="1080"/>
          </w:tcPr>
          <w:p>
            <w:r>
              <w:t>Data backup and disaster recovery</w:t>
            </w:r>
          </w:p>
        </w:tc>
        <w:tc>
          <w:tcPr>
            <w:tcW w:type="dxa" w:w="1080"/>
          </w:tcPr>
          <w:p>
            <w:r>
              <w:t>[Backup Platform]</w:t>
            </w:r>
          </w:p>
        </w:tc>
        <w:tc>
          <w:tcPr>
            <w:tcW w:type="dxa" w:w="1080"/>
          </w:tcPr>
          <w:p>
            <w:r>
              <w:t>[Organisation Name]</w:t>
            </w:r>
          </w:p>
        </w:tc>
        <w:tc>
          <w:tcPr>
            <w:tcW w:type="dxa" w:w="1080"/>
          </w:tcPr>
          <w:p>
            <w:r>
              <w:t>[Cloud Infrastructure Provider]</w:t>
            </w:r>
          </w:p>
        </w:tc>
        <w:tc>
          <w:tcPr>
            <w:tcW w:type="dxa" w:w="1080"/>
          </w:tcPr>
          <w:p>
            <w:r>
              <w:t>[Country]</w:t>
            </w:r>
          </w:p>
        </w:tc>
        <w:tc>
          <w:tcPr>
            <w:tcW w:type="dxa" w:w="1080"/>
          </w:tcPr>
          <w:p>
            <w:r>
              <w:t>Encrypted backup replication</w:t>
            </w:r>
          </w:p>
        </w:tc>
        <w:tc>
          <w:tcPr>
            <w:tcW w:type="dxa" w:w="1080"/>
          </w:tcPr>
          <w:p>
            <w:r>
              <w:t>Under Assessment</w:t>
            </w:r>
          </w:p>
        </w:tc>
      </w:tr>
    </w:tbl>
    <w:p>
      <w:pPr>
        <w:pStyle w:val="Heading3"/>
      </w:pPr>
      <w:r>
        <w:t>Data Categories in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Category</w:t>
            </w:r>
          </w:p>
        </w:tc>
        <w:tc>
          <w:tcPr>
            <w:tcW w:type="dxa" w:w="2160"/>
          </w:tcPr>
          <w:p>
            <w:r>
              <w:t>Examples</w:t>
            </w:r>
          </w:p>
        </w:tc>
        <w:tc>
          <w:tcPr>
            <w:tcW w:type="dxa" w:w="2160"/>
          </w:tcPr>
          <w:p>
            <w:r>
              <w:t>Sensitivity</w:t>
            </w:r>
          </w:p>
        </w:tc>
        <w:tc>
          <w:tcPr>
            <w:tcW w:type="dxa" w:w="2160"/>
          </w:tcPr>
          <w:p>
            <w:r>
              <w:t>Included in Assessment</w:t>
            </w:r>
          </w:p>
        </w:tc>
      </w:tr>
      <w:tr>
        <w:tc>
          <w:tcPr>
            <w:tcW w:type="dxa" w:w="2160"/>
          </w:tcPr>
          <w:p>
            <w:r>
              <w:t>Identification data</w:t>
            </w:r>
          </w:p>
        </w:tc>
        <w:tc>
          <w:tcPr>
            <w:tcW w:type="dxa" w:w="2160"/>
          </w:tcPr>
          <w:p>
            <w:r>
              <w:t>Name, national ID, passport number, customer number, employee ID</w:t>
            </w:r>
          </w:p>
        </w:tc>
        <w:tc>
          <w:tcPr>
            <w:tcW w:type="dxa" w:w="2160"/>
          </w:tcPr>
          <w:p>
            <w:r>
              <w:t>High</w:t>
            </w:r>
          </w:p>
        </w:tc>
        <w:tc>
          <w:tcPr>
            <w:tcW w:type="dxa" w:w="2160"/>
          </w:tcPr>
          <w:p>
            <w:r>
              <w:t>Yes</w:t>
            </w:r>
          </w:p>
        </w:tc>
      </w:tr>
      <w:tr>
        <w:tc>
          <w:tcPr>
            <w:tcW w:type="dxa" w:w="2160"/>
          </w:tcPr>
          <w:p>
            <w:r>
              <w:t>Contact data</w:t>
            </w:r>
          </w:p>
        </w:tc>
        <w:tc>
          <w:tcPr>
            <w:tcW w:type="dxa" w:w="2160"/>
          </w:tcPr>
          <w:p>
            <w:r>
              <w:t>Address, email, mobile number</w:t>
            </w:r>
          </w:p>
        </w:tc>
        <w:tc>
          <w:tcPr>
            <w:tcW w:type="dxa" w:w="2160"/>
          </w:tcPr>
          <w:p>
            <w:r>
              <w:t>Medium</w:t>
            </w:r>
          </w:p>
        </w:tc>
        <w:tc>
          <w:tcPr>
            <w:tcW w:type="dxa" w:w="2160"/>
          </w:tcPr>
          <w:p>
            <w:r>
              <w:t>Yes</w:t>
            </w:r>
          </w:p>
        </w:tc>
      </w:tr>
      <w:tr>
        <w:tc>
          <w:tcPr>
            <w:tcW w:type="dxa" w:w="2160"/>
          </w:tcPr>
          <w:p>
            <w:r>
              <w:t>Account data</w:t>
            </w:r>
          </w:p>
        </w:tc>
        <w:tc>
          <w:tcPr>
            <w:tcW w:type="dxa" w:w="2160"/>
          </w:tcPr>
          <w:p>
            <w:r>
              <w:t>Username, account status, customer profile</w:t>
            </w:r>
          </w:p>
        </w:tc>
        <w:tc>
          <w:tcPr>
            <w:tcW w:type="dxa" w:w="2160"/>
          </w:tcPr>
          <w:p>
            <w:r>
              <w:t>Medium</w:t>
            </w:r>
          </w:p>
        </w:tc>
        <w:tc>
          <w:tcPr>
            <w:tcW w:type="dxa" w:w="2160"/>
          </w:tcPr>
          <w:p>
            <w:r>
              <w:t>Yes</w:t>
            </w:r>
          </w:p>
        </w:tc>
      </w:tr>
      <w:tr>
        <w:tc>
          <w:tcPr>
            <w:tcW w:type="dxa" w:w="2160"/>
          </w:tcPr>
          <w:p>
            <w:r>
              <w:t>Financial data</w:t>
            </w:r>
          </w:p>
        </w:tc>
        <w:tc>
          <w:tcPr>
            <w:tcW w:type="dxa" w:w="2160"/>
          </w:tcPr>
          <w:p>
            <w:r>
              <w:t>Bank details, payment history, salary, invoices</w:t>
            </w:r>
          </w:p>
        </w:tc>
        <w:tc>
          <w:tcPr>
            <w:tcW w:type="dxa" w:w="2160"/>
          </w:tcPr>
          <w:p>
            <w:r>
              <w:t>High</w:t>
            </w:r>
          </w:p>
        </w:tc>
        <w:tc>
          <w:tcPr>
            <w:tcW w:type="dxa" w:w="2160"/>
          </w:tcPr>
          <w:p>
            <w:r>
              <w:t>Yes</w:t>
            </w:r>
          </w:p>
        </w:tc>
      </w:tr>
      <w:tr>
        <w:tc>
          <w:tcPr>
            <w:tcW w:type="dxa" w:w="2160"/>
          </w:tcPr>
          <w:p>
            <w:r>
              <w:t>Employment data</w:t>
            </w:r>
          </w:p>
        </w:tc>
        <w:tc>
          <w:tcPr>
            <w:tcW w:type="dxa" w:w="2160"/>
          </w:tcPr>
          <w:p>
            <w:r>
              <w:t>Job title, compensation, performance records, leave records</w:t>
            </w:r>
          </w:p>
        </w:tc>
        <w:tc>
          <w:tcPr>
            <w:tcW w:type="dxa" w:w="2160"/>
          </w:tcPr>
          <w:p>
            <w:r>
              <w:t>High</w:t>
            </w:r>
          </w:p>
        </w:tc>
        <w:tc>
          <w:tcPr>
            <w:tcW w:type="dxa" w:w="2160"/>
          </w:tcPr>
          <w:p>
            <w:r>
              <w:t>Yes</w:t>
            </w:r>
          </w:p>
        </w:tc>
      </w:tr>
      <w:tr>
        <w:tc>
          <w:tcPr>
            <w:tcW w:type="dxa" w:w="2160"/>
          </w:tcPr>
          <w:p>
            <w:r>
              <w:t>Health or medical data</w:t>
            </w:r>
          </w:p>
        </w:tc>
        <w:tc>
          <w:tcPr>
            <w:tcW w:type="dxa" w:w="2160"/>
          </w:tcPr>
          <w:p>
            <w:r>
              <w:t>Medical records, sick leave certificates, health insurance data</w:t>
            </w:r>
          </w:p>
        </w:tc>
        <w:tc>
          <w:tcPr>
            <w:tcW w:type="dxa" w:w="2160"/>
          </w:tcPr>
          <w:p>
            <w:r>
              <w:t>Very High</w:t>
            </w:r>
          </w:p>
        </w:tc>
        <w:tc>
          <w:tcPr>
            <w:tcW w:type="dxa" w:w="2160"/>
          </w:tcPr>
          <w:p>
            <w:r>
              <w:t>[Yes / No]</w:t>
            </w:r>
          </w:p>
        </w:tc>
      </w:tr>
      <w:tr>
        <w:tc>
          <w:tcPr>
            <w:tcW w:type="dxa" w:w="2160"/>
          </w:tcPr>
          <w:p>
            <w:r>
              <w:t>Biometric data</w:t>
            </w:r>
          </w:p>
        </w:tc>
        <w:tc>
          <w:tcPr>
            <w:tcW w:type="dxa" w:w="2160"/>
          </w:tcPr>
          <w:p>
            <w:r>
              <w:t>Fingerprints, facial templates, voiceprints</w:t>
            </w:r>
          </w:p>
        </w:tc>
        <w:tc>
          <w:tcPr>
            <w:tcW w:type="dxa" w:w="2160"/>
          </w:tcPr>
          <w:p>
            <w:r>
              <w:t>Very High</w:t>
            </w:r>
          </w:p>
        </w:tc>
        <w:tc>
          <w:tcPr>
            <w:tcW w:type="dxa" w:w="2160"/>
          </w:tcPr>
          <w:p>
            <w:r>
              <w:t>[Yes / No]</w:t>
            </w:r>
          </w:p>
        </w:tc>
      </w:tr>
      <w:tr>
        <w:tc>
          <w:tcPr>
            <w:tcW w:type="dxa" w:w="2160"/>
          </w:tcPr>
          <w:p>
            <w:r>
              <w:t>Location data</w:t>
            </w:r>
          </w:p>
        </w:tc>
        <w:tc>
          <w:tcPr>
            <w:tcW w:type="dxa" w:w="2160"/>
          </w:tcPr>
          <w:p>
            <w:r>
              <w:t>GPS, access logs, delivery locations</w:t>
            </w:r>
          </w:p>
        </w:tc>
        <w:tc>
          <w:tcPr>
            <w:tcW w:type="dxa" w:w="2160"/>
          </w:tcPr>
          <w:p>
            <w:r>
              <w:t>High</w:t>
            </w:r>
          </w:p>
        </w:tc>
        <w:tc>
          <w:tcPr>
            <w:tcW w:type="dxa" w:w="2160"/>
          </w:tcPr>
          <w:p>
            <w:r>
              <w:t>[Yes / No]</w:t>
            </w:r>
          </w:p>
        </w:tc>
      </w:tr>
      <w:tr>
        <w:tc>
          <w:tcPr>
            <w:tcW w:type="dxa" w:w="2160"/>
          </w:tcPr>
          <w:p>
            <w:r>
              <w:t>Communications data</w:t>
            </w:r>
          </w:p>
        </w:tc>
        <w:tc>
          <w:tcPr>
            <w:tcW w:type="dxa" w:w="2160"/>
          </w:tcPr>
          <w:p>
            <w:r>
              <w:t>Emails, support tickets, call recordings, chat transcripts</w:t>
            </w:r>
          </w:p>
        </w:tc>
        <w:tc>
          <w:tcPr>
            <w:tcW w:type="dxa" w:w="2160"/>
          </w:tcPr>
          <w:p>
            <w:r>
              <w:t>Medium to High</w:t>
            </w:r>
          </w:p>
        </w:tc>
        <w:tc>
          <w:tcPr>
            <w:tcW w:type="dxa" w:w="2160"/>
          </w:tcPr>
          <w:p>
            <w:r>
              <w:t>Yes</w:t>
            </w:r>
          </w:p>
        </w:tc>
      </w:tr>
      <w:tr>
        <w:tc>
          <w:tcPr>
            <w:tcW w:type="dxa" w:w="2160"/>
          </w:tcPr>
          <w:p>
            <w:r>
              <w:t>Children’s data</w:t>
            </w:r>
          </w:p>
        </w:tc>
        <w:tc>
          <w:tcPr>
            <w:tcW w:type="dxa" w:w="2160"/>
          </w:tcPr>
          <w:p>
            <w:r>
              <w:t>Data relating to individuals under the relevant age threshold</w:t>
            </w:r>
          </w:p>
        </w:tc>
        <w:tc>
          <w:tcPr>
            <w:tcW w:type="dxa" w:w="2160"/>
          </w:tcPr>
          <w:p>
            <w:r>
              <w:t>Very High</w:t>
            </w:r>
          </w:p>
        </w:tc>
        <w:tc>
          <w:tcPr>
            <w:tcW w:type="dxa" w:w="2160"/>
          </w:tcPr>
          <w:p>
            <w:r>
              <w:t>[Yes / No]</w:t>
            </w:r>
          </w:p>
        </w:tc>
      </w:tr>
    </w:tbl>
    <w:p>
      <w:pPr>
        <w:pStyle w:val="Heading3"/>
      </w:pPr>
      <w:r>
        <w:t>Out of Scope</w:t>
      </w:r>
    </w:p>
    <w:p>
      <w:r>
        <w:t>The following are excluded from this report unless separately identified:</w:t>
      </w:r>
    </w:p>
    <w:p>
      <w:pPr>
        <w:pStyle w:val="ListBullet"/>
      </w:pPr>
      <w:r>
        <w:t>Transfers involving fully anonymised data where individuals cannot reasonably be identified.</w:t>
      </w:r>
    </w:p>
    <w:p>
      <w:pPr>
        <w:pStyle w:val="ListBullet"/>
      </w:pPr>
      <w:r>
        <w:t>Domestic transfers within the Kingdom of Saudi Arabia only.</w:t>
      </w:r>
    </w:p>
    <w:p>
      <w:pPr>
        <w:pStyle w:val="ListBullet"/>
      </w:pPr>
      <w:r>
        <w:t>Personal use of data by employees outside approved business systems.</w:t>
      </w:r>
    </w:p>
    <w:p>
      <w:pPr>
        <w:pStyle w:val="ListBullet"/>
      </w:pPr>
      <w:r>
        <w:t>Transfers already discontinued before the assessment period, except where residual risks remain.</w:t>
      </w:r>
    </w:p>
    <w:p>
      <w:pPr>
        <w:pStyle w:val="ListBullet"/>
      </w:pPr>
      <w:r>
        <w:t>Law enforcement or court-directed disclosures, which are subject to separate legal review.</w:t>
      </w:r>
    </w:p>
    <w:p>
      <w:pPr>
        <w:pStyle w:val="Heading2"/>
      </w:pPr>
      <w:r>
        <w:t>Executive Summary</w:t>
      </w:r>
    </w:p>
    <w:p>
      <w:r>
        <w:t>This Data Transfer Impact Assessment reviewed the organisation’s current and proposed transfers of personal data from Saudi Arabia to overseas recipients. The review focused on whether the destination country, recipient, contractual arrangements, safeguards, transfer purpose, and data subject impact are appropriate for each transfer.</w:t>
      </w:r>
    </w:p>
    <w:p>
      <w:r>
        <w:t>Overall, the assessment found that cross-border transfers are used for legitimate business purposes, including cloud hosting, HR administration, IT support, customer engagement, backup, and operational analytics. However, several transfers require strengthened documentation and safeguards before they can be considered fully mature from a Saudi PDPL compliance perspective.</w:t>
      </w:r>
    </w:p>
    <w:p>
      <w:pPr>
        <w:pStyle w:val="Heading3"/>
      </w:pPr>
      <w:r>
        <w:t>Overall Assessment Outcome</w:t>
      </w:r>
    </w:p>
    <w:tbl>
      <w:tblPr>
        <w:tblStyle w:val="TableGrid"/>
        <w:tblW w:type="auto" w:w="0"/>
        <w:tblLook w:firstColumn="1" w:firstRow="1" w:lastColumn="0" w:lastRow="0" w:noHBand="0" w:noVBand="1" w:val="04A0"/>
      </w:tblPr>
      <w:tblGrid>
        <w:gridCol w:w="2880"/>
        <w:gridCol w:w="2880"/>
        <w:gridCol w:w="2880"/>
      </w:tblGrid>
      <w:tr>
        <w:tc>
          <w:tcPr>
            <w:tcW w:type="dxa" w:w="2880"/>
          </w:tcPr>
          <w:p>
            <w:r>
              <w:t>Area Assessed</w:t>
            </w:r>
          </w:p>
        </w:tc>
        <w:tc>
          <w:tcPr>
            <w:tcW w:type="dxa" w:w="2880"/>
          </w:tcPr>
          <w:p>
            <w:r>
              <w:t>Overall Rating</w:t>
            </w:r>
          </w:p>
        </w:tc>
        <w:tc>
          <w:tcPr>
            <w:tcW w:type="dxa" w:w="2880"/>
          </w:tcPr>
          <w:p>
            <w:r>
              <w:t>Summary</w:t>
            </w:r>
          </w:p>
        </w:tc>
      </w:tr>
      <w:tr>
        <w:tc>
          <w:tcPr>
            <w:tcW w:type="dxa" w:w="2880"/>
          </w:tcPr>
          <w:p>
            <w:r>
              <w:t>Business necessity</w:t>
            </w:r>
          </w:p>
        </w:tc>
        <w:tc>
          <w:tcPr>
            <w:tcW w:type="dxa" w:w="2880"/>
          </w:tcPr>
          <w:p>
            <w:r>
              <w:t>Satisfactory</w:t>
            </w:r>
          </w:p>
        </w:tc>
        <w:tc>
          <w:tcPr>
            <w:tcW w:type="dxa" w:w="2880"/>
          </w:tcPr>
          <w:p>
            <w:r>
              <w:t>Transfers generally support valid business operations and cannot easily be performed domestically without operational impact.</w:t>
            </w:r>
          </w:p>
        </w:tc>
      </w:tr>
      <w:tr>
        <w:tc>
          <w:tcPr>
            <w:tcW w:type="dxa" w:w="2880"/>
          </w:tcPr>
          <w:p>
            <w:r>
              <w:t>Data minimisation</w:t>
            </w:r>
          </w:p>
        </w:tc>
        <w:tc>
          <w:tcPr>
            <w:tcW w:type="dxa" w:w="2880"/>
          </w:tcPr>
          <w:p>
            <w:r>
              <w:t>Needs Improvement</w:t>
            </w:r>
          </w:p>
        </w:tc>
        <w:tc>
          <w:tcPr>
            <w:tcW w:type="dxa" w:w="2880"/>
          </w:tcPr>
          <w:p>
            <w:r>
              <w:t>Some transfers include broader data fields than required for the stated purpose.</w:t>
            </w:r>
          </w:p>
        </w:tc>
      </w:tr>
      <w:tr>
        <w:tc>
          <w:tcPr>
            <w:tcW w:type="dxa" w:w="2880"/>
          </w:tcPr>
          <w:p>
            <w:r>
              <w:t>Destination and recipient assessment</w:t>
            </w:r>
          </w:p>
        </w:tc>
        <w:tc>
          <w:tcPr>
            <w:tcW w:type="dxa" w:w="2880"/>
          </w:tcPr>
          <w:p>
            <w:r>
              <w:t>Needs Improvement</w:t>
            </w:r>
          </w:p>
        </w:tc>
        <w:tc>
          <w:tcPr>
            <w:tcW w:type="dxa" w:w="2880"/>
          </w:tcPr>
          <w:p>
            <w:r>
              <w:t>Country and recipient-level due diligence is incomplete for certain vendors and onward processors.</w:t>
            </w:r>
          </w:p>
        </w:tc>
      </w:tr>
      <w:tr>
        <w:tc>
          <w:tcPr>
            <w:tcW w:type="dxa" w:w="2880"/>
          </w:tcPr>
          <w:p>
            <w:r>
              <w:t>Contractual safeguards</w:t>
            </w:r>
          </w:p>
        </w:tc>
        <w:tc>
          <w:tcPr>
            <w:tcW w:type="dxa" w:w="2880"/>
          </w:tcPr>
          <w:p>
            <w:r>
              <w:t>Needs Improvement</w:t>
            </w:r>
          </w:p>
        </w:tc>
        <w:tc>
          <w:tcPr>
            <w:tcW w:type="dxa" w:w="2880"/>
          </w:tcPr>
          <w:p>
            <w:r>
              <w:t>Some contracts contain general privacy terms but lack Saudi-specific transfer obligations and audit rights.</w:t>
            </w:r>
          </w:p>
        </w:tc>
      </w:tr>
      <w:tr>
        <w:tc>
          <w:tcPr>
            <w:tcW w:type="dxa" w:w="2880"/>
          </w:tcPr>
          <w:p>
            <w:r>
              <w:t>Technical safeguards</w:t>
            </w:r>
          </w:p>
        </w:tc>
        <w:tc>
          <w:tcPr>
            <w:tcW w:type="dxa" w:w="2880"/>
          </w:tcPr>
          <w:p>
            <w:r>
              <w:t>Satisfactory</w:t>
            </w:r>
          </w:p>
        </w:tc>
        <w:tc>
          <w:tcPr>
            <w:tcW w:type="dxa" w:w="2880"/>
          </w:tcPr>
          <w:p>
            <w:r>
              <w:t>Encryption, access control, and logging are implemented for major systems, but not consistently validated across all transfers.</w:t>
            </w:r>
          </w:p>
        </w:tc>
      </w:tr>
      <w:tr>
        <w:tc>
          <w:tcPr>
            <w:tcW w:type="dxa" w:w="2880"/>
          </w:tcPr>
          <w:p>
            <w:r>
              <w:t>Data subject transparency</w:t>
            </w:r>
          </w:p>
        </w:tc>
        <w:tc>
          <w:tcPr>
            <w:tcW w:type="dxa" w:w="2880"/>
          </w:tcPr>
          <w:p>
            <w:r>
              <w:t>Needs Improvement</w:t>
            </w:r>
          </w:p>
        </w:tc>
        <w:tc>
          <w:tcPr>
            <w:tcW w:type="dxa" w:w="2880"/>
          </w:tcPr>
          <w:p>
            <w:r>
              <w:t>Privacy notices require clearer disclosure of cross-border transfers and overseas recipients.</w:t>
            </w:r>
          </w:p>
        </w:tc>
      </w:tr>
      <w:tr>
        <w:tc>
          <w:tcPr>
            <w:tcW w:type="dxa" w:w="2880"/>
          </w:tcPr>
          <w:p>
            <w:r>
              <w:t>Onward transfer controls</w:t>
            </w:r>
          </w:p>
        </w:tc>
        <w:tc>
          <w:tcPr>
            <w:tcW w:type="dxa" w:w="2880"/>
          </w:tcPr>
          <w:p>
            <w:r>
              <w:t>High Priority Improvement Required</w:t>
            </w:r>
          </w:p>
        </w:tc>
        <w:tc>
          <w:tcPr>
            <w:tcW w:type="dxa" w:w="2880"/>
          </w:tcPr>
          <w:p>
            <w:r>
              <w:t>Subprocessor visibility and approval controls are incomplete for selected cloud and support providers.</w:t>
            </w:r>
          </w:p>
        </w:tc>
      </w:tr>
      <w:tr>
        <w:tc>
          <w:tcPr>
            <w:tcW w:type="dxa" w:w="2880"/>
          </w:tcPr>
          <w:p>
            <w:r>
              <w:t>Retention and deletion</w:t>
            </w:r>
          </w:p>
        </w:tc>
        <w:tc>
          <w:tcPr>
            <w:tcW w:type="dxa" w:w="2880"/>
          </w:tcPr>
          <w:p>
            <w:r>
              <w:t>Needs Improvement</w:t>
            </w:r>
          </w:p>
        </w:tc>
        <w:tc>
          <w:tcPr>
            <w:tcW w:type="dxa" w:w="2880"/>
          </w:tcPr>
          <w:p>
            <w:r>
              <w:t>Overseas deletion evidence and backup retention schedules are not consistently documented.</w:t>
            </w:r>
          </w:p>
        </w:tc>
      </w:tr>
      <w:tr>
        <w:tc>
          <w:tcPr>
            <w:tcW w:type="dxa" w:w="2880"/>
          </w:tcPr>
          <w:p>
            <w:r>
              <w:t>Incident response alignment</w:t>
            </w:r>
          </w:p>
        </w:tc>
        <w:tc>
          <w:tcPr>
            <w:tcW w:type="dxa" w:w="2880"/>
          </w:tcPr>
          <w:p>
            <w:r>
              <w:t>Satisfactory</w:t>
            </w:r>
          </w:p>
        </w:tc>
        <w:tc>
          <w:tcPr>
            <w:tcW w:type="dxa" w:w="2880"/>
          </w:tcPr>
          <w:p>
            <w:r>
              <w:t>Incident response processes exist, but cross-border recipient notification timelines require stronger contractual alignment.</w:t>
            </w:r>
          </w:p>
        </w:tc>
      </w:tr>
    </w:tbl>
    <w:p>
      <w:pPr>
        <w:pStyle w:val="Heading3"/>
      </w:pPr>
      <w:r>
        <w:t>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Finding</w:t>
            </w:r>
          </w:p>
        </w:tc>
        <w:tc>
          <w:tcPr>
            <w:tcW w:type="dxa" w:w="2160"/>
          </w:tcPr>
          <w:p>
            <w:r>
              <w:t>Severity</w:t>
            </w:r>
          </w:p>
        </w:tc>
        <w:tc>
          <w:tcPr>
            <w:tcW w:type="dxa" w:w="2160"/>
          </w:tcPr>
          <w:p>
            <w:r>
              <w:t>Management Attention Required</w:t>
            </w:r>
          </w:p>
        </w:tc>
      </w:tr>
      <w:tr>
        <w:tc>
          <w:tcPr>
            <w:tcW w:type="dxa" w:w="2160"/>
          </w:tcPr>
          <w:p>
            <w:r>
              <w:t>F-01</w:t>
            </w:r>
          </w:p>
        </w:tc>
        <w:tc>
          <w:tcPr>
            <w:tcW w:type="dxa" w:w="2160"/>
          </w:tcPr>
          <w:p>
            <w:r>
              <w:t>The organisation does not maintain a complete central register of cross-border transfers, including onward transfers.</w:t>
            </w:r>
          </w:p>
        </w:tc>
        <w:tc>
          <w:tcPr>
            <w:tcW w:type="dxa" w:w="2160"/>
          </w:tcPr>
          <w:p>
            <w:r>
              <w:t>High</w:t>
            </w:r>
          </w:p>
        </w:tc>
        <w:tc>
          <w:tcPr>
            <w:tcW w:type="dxa" w:w="2160"/>
          </w:tcPr>
          <w:p>
            <w:r>
              <w:t>Yes</w:t>
            </w:r>
          </w:p>
        </w:tc>
      </w:tr>
      <w:tr>
        <w:tc>
          <w:tcPr>
            <w:tcW w:type="dxa" w:w="2160"/>
          </w:tcPr>
          <w:p>
            <w:r>
              <w:t>F-02</w:t>
            </w:r>
          </w:p>
        </w:tc>
        <w:tc>
          <w:tcPr>
            <w:tcW w:type="dxa" w:w="2160"/>
          </w:tcPr>
          <w:p>
            <w:r>
              <w:t>Several vendor contracts do not include sufficiently specific restrictions on overseas processing, subcontracting, data return, deletion, and regulator cooperation.</w:t>
            </w:r>
          </w:p>
        </w:tc>
        <w:tc>
          <w:tcPr>
            <w:tcW w:type="dxa" w:w="2160"/>
          </w:tcPr>
          <w:p>
            <w:r>
              <w:t>High</w:t>
            </w:r>
          </w:p>
        </w:tc>
        <w:tc>
          <w:tcPr>
            <w:tcW w:type="dxa" w:w="2160"/>
          </w:tcPr>
          <w:p>
            <w:r>
              <w:t>Yes</w:t>
            </w:r>
          </w:p>
        </w:tc>
      </w:tr>
      <w:tr>
        <w:tc>
          <w:tcPr>
            <w:tcW w:type="dxa" w:w="2160"/>
          </w:tcPr>
          <w:p>
            <w:r>
              <w:t>F-03</w:t>
            </w:r>
          </w:p>
        </w:tc>
        <w:tc>
          <w:tcPr>
            <w:tcW w:type="dxa" w:w="2160"/>
          </w:tcPr>
          <w:p>
            <w:r>
              <w:t>Destination country assessments are incomplete or not documented for some transfers.</w:t>
            </w:r>
          </w:p>
        </w:tc>
        <w:tc>
          <w:tcPr>
            <w:tcW w:type="dxa" w:w="2160"/>
          </w:tcPr>
          <w:p>
            <w:r>
              <w:t>High</w:t>
            </w:r>
          </w:p>
        </w:tc>
        <w:tc>
          <w:tcPr>
            <w:tcW w:type="dxa" w:w="2160"/>
          </w:tcPr>
          <w:p>
            <w:r>
              <w:t>Yes</w:t>
            </w:r>
          </w:p>
        </w:tc>
      </w:tr>
      <w:tr>
        <w:tc>
          <w:tcPr>
            <w:tcW w:type="dxa" w:w="2160"/>
          </w:tcPr>
          <w:p>
            <w:r>
              <w:t>F-04</w:t>
            </w:r>
          </w:p>
        </w:tc>
        <w:tc>
          <w:tcPr>
            <w:tcW w:type="dxa" w:w="2160"/>
          </w:tcPr>
          <w:p>
            <w:r>
              <w:t>Some transfers include personal data fields that exceed the minimum necessary for the processing purpose.</w:t>
            </w:r>
          </w:p>
        </w:tc>
        <w:tc>
          <w:tcPr>
            <w:tcW w:type="dxa" w:w="2160"/>
          </w:tcPr>
          <w:p>
            <w:r>
              <w:t>Medium</w:t>
            </w:r>
          </w:p>
        </w:tc>
        <w:tc>
          <w:tcPr>
            <w:tcW w:type="dxa" w:w="2160"/>
          </w:tcPr>
          <w:p>
            <w:r>
              <w:t>Yes</w:t>
            </w:r>
          </w:p>
        </w:tc>
      </w:tr>
      <w:tr>
        <w:tc>
          <w:tcPr>
            <w:tcW w:type="dxa" w:w="2160"/>
          </w:tcPr>
          <w:p>
            <w:r>
              <w:t>F-05</w:t>
            </w:r>
          </w:p>
        </w:tc>
        <w:tc>
          <w:tcPr>
            <w:tcW w:type="dxa" w:w="2160"/>
          </w:tcPr>
          <w:p>
            <w:r>
              <w:t>Privacy notices do not consistently explain that personal data may be transferred outside Saudi Arabia, the purpose of transfer, and the safeguards used.</w:t>
            </w:r>
          </w:p>
        </w:tc>
        <w:tc>
          <w:tcPr>
            <w:tcW w:type="dxa" w:w="2160"/>
          </w:tcPr>
          <w:p>
            <w:r>
              <w:t>Medium</w:t>
            </w:r>
          </w:p>
        </w:tc>
        <w:tc>
          <w:tcPr>
            <w:tcW w:type="dxa" w:w="2160"/>
          </w:tcPr>
          <w:p>
            <w:r>
              <w:t>Yes</w:t>
            </w:r>
          </w:p>
        </w:tc>
      </w:tr>
      <w:tr>
        <w:tc>
          <w:tcPr>
            <w:tcW w:type="dxa" w:w="2160"/>
          </w:tcPr>
          <w:p>
            <w:r>
              <w:t>F-06</w:t>
            </w:r>
          </w:p>
        </w:tc>
        <w:tc>
          <w:tcPr>
            <w:tcW w:type="dxa" w:w="2160"/>
          </w:tcPr>
          <w:p>
            <w:r>
              <w:t>Technical controls are generally in place but evidence of encryption configuration, access review, and monitoring is inconsistent across vendors.</w:t>
            </w:r>
          </w:p>
        </w:tc>
        <w:tc>
          <w:tcPr>
            <w:tcW w:type="dxa" w:w="2160"/>
          </w:tcPr>
          <w:p>
            <w:r>
              <w:t>Medium</w:t>
            </w:r>
          </w:p>
        </w:tc>
        <w:tc>
          <w:tcPr>
            <w:tcW w:type="dxa" w:w="2160"/>
          </w:tcPr>
          <w:p>
            <w:r>
              <w:t>Yes</w:t>
            </w:r>
          </w:p>
        </w:tc>
      </w:tr>
      <w:tr>
        <w:tc>
          <w:tcPr>
            <w:tcW w:type="dxa" w:w="2160"/>
          </w:tcPr>
          <w:p>
            <w:r>
              <w:t>F-07</w:t>
            </w:r>
          </w:p>
        </w:tc>
        <w:tc>
          <w:tcPr>
            <w:tcW w:type="dxa" w:w="2160"/>
          </w:tcPr>
          <w:p>
            <w:r>
              <w:t>Controls over subprocessor onboarding and onward transfer approval are not consistently enforced.</w:t>
            </w:r>
          </w:p>
        </w:tc>
        <w:tc>
          <w:tcPr>
            <w:tcW w:type="dxa" w:w="2160"/>
          </w:tcPr>
          <w:p>
            <w:r>
              <w:t>High</w:t>
            </w:r>
          </w:p>
        </w:tc>
        <w:tc>
          <w:tcPr>
            <w:tcW w:type="dxa" w:w="2160"/>
          </w:tcPr>
          <w:p>
            <w:r>
              <w:t>Yes</w:t>
            </w:r>
          </w:p>
        </w:tc>
      </w:tr>
      <w:tr>
        <w:tc>
          <w:tcPr>
            <w:tcW w:type="dxa" w:w="2160"/>
          </w:tcPr>
          <w:p>
            <w:r>
              <w:t>F-08</w:t>
            </w:r>
          </w:p>
        </w:tc>
        <w:tc>
          <w:tcPr>
            <w:tcW w:type="dxa" w:w="2160"/>
          </w:tcPr>
          <w:p>
            <w:r>
              <w:t>Retention, deletion, and backup destruction commitments are not consistently evidenced by overseas recipients.</w:t>
            </w:r>
          </w:p>
        </w:tc>
        <w:tc>
          <w:tcPr>
            <w:tcW w:type="dxa" w:w="2160"/>
          </w:tcPr>
          <w:p>
            <w:r>
              <w:t>Medium</w:t>
            </w:r>
          </w:p>
        </w:tc>
        <w:tc>
          <w:tcPr>
            <w:tcW w:type="dxa" w:w="2160"/>
          </w:tcPr>
          <w:p>
            <w:r>
              <w:t>Yes</w:t>
            </w:r>
          </w:p>
        </w:tc>
      </w:tr>
    </w:tbl>
    <w:p>
      <w:pPr>
        <w:pStyle w:val="Heading3"/>
      </w:pPr>
      <w:r>
        <w:t>Overall Conclusion</w:t>
      </w:r>
    </w:p>
    <w:p>
      <w:r>
        <w:t>The assessed transfers may proceed only where the organisation confirms a valid transfer basis, completes destination and recipient due diligence, implements appropriate safeguards, updates contractual terms, and maintains evidence of continuing oversight.</w:t>
      </w:r>
    </w:p>
    <w:p>
      <w:r>
        <w:t>Transfers rated High risk should not proceed or should be suspended unless approved by senior management following documented legal, privacy, information security, and business risk review. Where suspension is impractical due to business continuity needs, interim safeguards must be implemented and a remediation plan must be tracked to closure.</w:t>
      </w:r>
    </w:p>
    <w:p>
      <w:pPr>
        <w:pStyle w:val="Heading2"/>
      </w:pPr>
      <w:r>
        <w:t>Methodology</w:t>
      </w:r>
    </w:p>
    <w:p>
      <w:pPr>
        <w:pStyle w:val="Heading3"/>
      </w:pPr>
      <w:r>
        <w:t>Assessment Approach</w:t>
      </w:r>
    </w:p>
    <w:p>
      <w:r>
        <w:t>The assessment was performed using a risk-based methodology aligned with recognised privacy, security, and data governance practices. The methodology considered legal permissibility, necessity, proportionality, destination risk, recipient maturity, technical controls, contractual safeguards, and data subject impact.</w:t>
      </w:r>
    </w:p>
    <w:p>
      <w:r>
        <w:t>The assessment followed these steps:</w:t>
      </w:r>
    </w:p>
    <w:p>
      <w:pPr>
        <w:pStyle w:val="ListBullet"/>
      </w:pPr>
      <w:r>
        <w:t>Identify all relevant cross-border transfers.</w:t>
      </w:r>
    </w:p>
    <w:p>
      <w:pPr>
        <w:pStyle w:val="ListBullet"/>
      </w:pPr>
      <w:r>
        <w:t>Map data flows from Saudi Arabia to overseas recipients and subprocessors.</w:t>
      </w:r>
    </w:p>
    <w:p>
      <w:pPr>
        <w:pStyle w:val="ListBullet"/>
      </w:pPr>
      <w:r>
        <w:t>Confirm the purpose and necessity of each transfer.</w:t>
      </w:r>
    </w:p>
    <w:p>
      <w:pPr>
        <w:pStyle w:val="ListBullet"/>
      </w:pPr>
      <w:r>
        <w:t>Identify personal data categories, including sensitive personal data.</w:t>
      </w:r>
    </w:p>
    <w:p>
      <w:pPr>
        <w:pStyle w:val="ListBullet"/>
      </w:pPr>
      <w:r>
        <w:t>Assess destination country and recipient risk.</w:t>
      </w:r>
    </w:p>
    <w:p>
      <w:pPr>
        <w:pStyle w:val="ListBullet"/>
      </w:pPr>
      <w:r>
        <w:t>Review contracts, data processing terms, and transfer safeguards.</w:t>
      </w:r>
    </w:p>
    <w:p>
      <w:pPr>
        <w:pStyle w:val="ListBullet"/>
      </w:pPr>
      <w:r>
        <w:t>Evaluate technical and organisational measures.</w:t>
      </w:r>
    </w:p>
    <w:p>
      <w:pPr>
        <w:pStyle w:val="ListBullet"/>
      </w:pPr>
      <w:r>
        <w:t>Review privacy notices, consent practices where applicable, and data subject communications.</w:t>
      </w:r>
    </w:p>
    <w:p>
      <w:pPr>
        <w:pStyle w:val="ListBullet"/>
      </w:pPr>
      <w:r>
        <w:t>Assess onward transfer controls.</w:t>
      </w:r>
    </w:p>
    <w:p>
      <w:pPr>
        <w:pStyle w:val="ListBullet"/>
      </w:pPr>
      <w:r>
        <w:t>Determine residual risk and required actions.</w:t>
      </w:r>
    </w:p>
    <w:p>
      <w:pPr>
        <w:pStyle w:val="ListBullet"/>
      </w:pPr>
      <w:r>
        <w:t>Recommend approval, conditional approval, suspension, or rejection.</w:t>
      </w:r>
    </w:p>
    <w:p>
      <w:pPr>
        <w:pStyle w:val="Heading3"/>
      </w:pPr>
      <w:r>
        <w:t>Information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Reviewed</w:t>
            </w:r>
          </w:p>
        </w:tc>
        <w:tc>
          <w:tcPr>
            <w:tcW w:type="dxa" w:w="2880"/>
          </w:tcPr>
          <w:p>
            <w:r>
              <w:t>Notes</w:t>
            </w:r>
          </w:p>
        </w:tc>
      </w:tr>
      <w:tr>
        <w:tc>
          <w:tcPr>
            <w:tcW w:type="dxa" w:w="2880"/>
          </w:tcPr>
          <w:p>
            <w:r>
              <w:t>Vendor contracts and data processing agreements</w:t>
            </w:r>
          </w:p>
        </w:tc>
        <w:tc>
          <w:tcPr>
            <w:tcW w:type="dxa" w:w="2880"/>
          </w:tcPr>
          <w:p>
            <w:r>
              <w:t>Yes</w:t>
            </w:r>
          </w:p>
        </w:tc>
        <w:tc>
          <w:tcPr>
            <w:tcW w:type="dxa" w:w="2880"/>
          </w:tcPr>
          <w:p>
            <w:r>
              <w:t>Reviewed for transfer restrictions, security obligations, deletion, audit, and subcontracting terms.</w:t>
            </w:r>
          </w:p>
        </w:tc>
      </w:tr>
      <w:tr>
        <w:tc>
          <w:tcPr>
            <w:tcW w:type="dxa" w:w="2880"/>
          </w:tcPr>
          <w:p>
            <w:r>
              <w:t>Records of processing activities</w:t>
            </w:r>
          </w:p>
        </w:tc>
        <w:tc>
          <w:tcPr>
            <w:tcW w:type="dxa" w:w="2880"/>
          </w:tcPr>
          <w:p>
            <w:r>
              <w:t>Yes</w:t>
            </w:r>
          </w:p>
        </w:tc>
        <w:tc>
          <w:tcPr>
            <w:tcW w:type="dxa" w:w="2880"/>
          </w:tcPr>
          <w:p>
            <w:r>
              <w:t>Used to identify processing purposes and data categories.</w:t>
            </w:r>
          </w:p>
        </w:tc>
      </w:tr>
      <w:tr>
        <w:tc>
          <w:tcPr>
            <w:tcW w:type="dxa" w:w="2880"/>
          </w:tcPr>
          <w:p>
            <w:r>
              <w:t>System architecture and data flow diagrams</w:t>
            </w:r>
          </w:p>
        </w:tc>
        <w:tc>
          <w:tcPr>
            <w:tcW w:type="dxa" w:w="2880"/>
          </w:tcPr>
          <w:p>
            <w:r>
              <w:t>Partial</w:t>
            </w:r>
          </w:p>
        </w:tc>
        <w:tc>
          <w:tcPr>
            <w:tcW w:type="dxa" w:w="2880"/>
          </w:tcPr>
          <w:p>
            <w:r>
              <w:t>Some diagrams require update to reflect actual hosting and support locations.</w:t>
            </w:r>
          </w:p>
        </w:tc>
      </w:tr>
      <w:tr>
        <w:tc>
          <w:tcPr>
            <w:tcW w:type="dxa" w:w="2880"/>
          </w:tcPr>
          <w:p>
            <w:r>
              <w:t>Vendor security documentation</w:t>
            </w:r>
          </w:p>
        </w:tc>
        <w:tc>
          <w:tcPr>
            <w:tcW w:type="dxa" w:w="2880"/>
          </w:tcPr>
          <w:p>
            <w:r>
              <w:t>Yes</w:t>
            </w:r>
          </w:p>
        </w:tc>
        <w:tc>
          <w:tcPr>
            <w:tcW w:type="dxa" w:w="2880"/>
          </w:tcPr>
          <w:p>
            <w:r>
              <w:t>Included security whitepapers, certifications, penetration testing summaries, and access control descriptions.</w:t>
            </w:r>
          </w:p>
        </w:tc>
      </w:tr>
      <w:tr>
        <w:tc>
          <w:tcPr>
            <w:tcW w:type="dxa" w:w="2880"/>
          </w:tcPr>
          <w:p>
            <w:r>
              <w:t>Privacy notices and employee notices</w:t>
            </w:r>
          </w:p>
        </w:tc>
        <w:tc>
          <w:tcPr>
            <w:tcW w:type="dxa" w:w="2880"/>
          </w:tcPr>
          <w:p>
            <w:r>
              <w:t>Yes</w:t>
            </w:r>
          </w:p>
        </w:tc>
        <w:tc>
          <w:tcPr>
            <w:tcW w:type="dxa" w:w="2880"/>
          </w:tcPr>
          <w:p>
            <w:r>
              <w:t>Reviewed for transparency of cross-border transfers.</w:t>
            </w:r>
          </w:p>
        </w:tc>
      </w:tr>
      <w:tr>
        <w:tc>
          <w:tcPr>
            <w:tcW w:type="dxa" w:w="2880"/>
          </w:tcPr>
          <w:p>
            <w:r>
              <w:t>Information security policies</w:t>
            </w:r>
          </w:p>
        </w:tc>
        <w:tc>
          <w:tcPr>
            <w:tcW w:type="dxa" w:w="2880"/>
          </w:tcPr>
          <w:p>
            <w:r>
              <w:t>Yes</w:t>
            </w:r>
          </w:p>
        </w:tc>
        <w:tc>
          <w:tcPr>
            <w:tcW w:type="dxa" w:w="2880"/>
          </w:tcPr>
          <w:p>
            <w:r>
              <w:t>Reviewed for encryption, access control, logging, and incident management requirements.</w:t>
            </w:r>
          </w:p>
        </w:tc>
      </w:tr>
      <w:tr>
        <w:tc>
          <w:tcPr>
            <w:tcW w:type="dxa" w:w="2880"/>
          </w:tcPr>
          <w:p>
            <w:r>
              <w:t>Access review records</w:t>
            </w:r>
          </w:p>
        </w:tc>
        <w:tc>
          <w:tcPr>
            <w:tcW w:type="dxa" w:w="2880"/>
          </w:tcPr>
          <w:p>
            <w:r>
              <w:t>Partial</w:t>
            </w:r>
          </w:p>
        </w:tc>
        <w:tc>
          <w:tcPr>
            <w:tcW w:type="dxa" w:w="2880"/>
          </w:tcPr>
          <w:p>
            <w:r>
              <w:t>Evidence not available for all overseas support teams.</w:t>
            </w:r>
          </w:p>
        </w:tc>
      </w:tr>
      <w:tr>
        <w:tc>
          <w:tcPr>
            <w:tcW w:type="dxa" w:w="2880"/>
          </w:tcPr>
          <w:p>
            <w:r>
              <w:t>Incident response procedures</w:t>
            </w:r>
          </w:p>
        </w:tc>
        <w:tc>
          <w:tcPr>
            <w:tcW w:type="dxa" w:w="2880"/>
          </w:tcPr>
          <w:p>
            <w:r>
              <w:t>Yes</w:t>
            </w:r>
          </w:p>
        </w:tc>
        <w:tc>
          <w:tcPr>
            <w:tcW w:type="dxa" w:w="2880"/>
          </w:tcPr>
          <w:p>
            <w:r>
              <w:t>Reviewed for breach escalation and vendor notification expectations.</w:t>
            </w:r>
          </w:p>
        </w:tc>
      </w:tr>
      <w:tr>
        <w:tc>
          <w:tcPr>
            <w:tcW w:type="dxa" w:w="2880"/>
          </w:tcPr>
          <w:p>
            <w:r>
              <w:t>Retention schedules</w:t>
            </w:r>
          </w:p>
        </w:tc>
        <w:tc>
          <w:tcPr>
            <w:tcW w:type="dxa" w:w="2880"/>
          </w:tcPr>
          <w:p>
            <w:r>
              <w:t>Partial</w:t>
            </w:r>
          </w:p>
        </w:tc>
        <w:tc>
          <w:tcPr>
            <w:tcW w:type="dxa" w:w="2880"/>
          </w:tcPr>
          <w:p>
            <w:r>
              <w:t>Retention rules exist, but overseas deletion evidence is incomplete.</w:t>
            </w:r>
          </w:p>
        </w:tc>
      </w:tr>
      <w:tr>
        <w:tc>
          <w:tcPr>
            <w:tcW w:type="dxa" w:w="2880"/>
          </w:tcPr>
          <w:p>
            <w:r>
              <w:t>Subprocessor lists</w:t>
            </w:r>
          </w:p>
        </w:tc>
        <w:tc>
          <w:tcPr>
            <w:tcW w:type="dxa" w:w="2880"/>
          </w:tcPr>
          <w:p>
            <w:r>
              <w:t>Partial</w:t>
            </w:r>
          </w:p>
        </w:tc>
        <w:tc>
          <w:tcPr>
            <w:tcW w:type="dxa" w:w="2880"/>
          </w:tcPr>
          <w:p>
            <w:r>
              <w:t>Available for major cloud providers; incomplete for some smaller vendors.</w:t>
            </w:r>
          </w:p>
        </w:tc>
      </w:tr>
    </w:tbl>
    <w:p>
      <w:pPr>
        <w:pStyle w:val="Heading3"/>
      </w:pPr>
      <w:r>
        <w:t>Assessment Criteria</w:t>
      </w:r>
    </w:p>
    <w:p>
      <w:r>
        <w:t>Each transfer was assessed against the following practical criteria:</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 Question</w:t>
            </w:r>
          </w:p>
        </w:tc>
      </w:tr>
      <w:tr>
        <w:tc>
          <w:tcPr>
            <w:tcW w:type="dxa" w:w="4320"/>
          </w:tcPr>
          <w:p>
            <w:r>
              <w:t>Lawful and legitimate purpose</w:t>
            </w:r>
          </w:p>
        </w:tc>
        <w:tc>
          <w:tcPr>
            <w:tcW w:type="dxa" w:w="4320"/>
          </w:tcPr>
          <w:p>
            <w:r>
              <w:t>Is the transfer required for a clear, documented business, contractual, legal, or operational purpose?</w:t>
            </w:r>
          </w:p>
        </w:tc>
      </w:tr>
      <w:tr>
        <w:tc>
          <w:tcPr>
            <w:tcW w:type="dxa" w:w="4320"/>
          </w:tcPr>
          <w:p>
            <w:r>
              <w:t>Necessity</w:t>
            </w:r>
          </w:p>
        </w:tc>
        <w:tc>
          <w:tcPr>
            <w:tcW w:type="dxa" w:w="4320"/>
          </w:tcPr>
          <w:p>
            <w:r>
              <w:t>Can the purpose be achieved without transferring personal data outside Saudi Arabia?</w:t>
            </w:r>
          </w:p>
        </w:tc>
      </w:tr>
      <w:tr>
        <w:tc>
          <w:tcPr>
            <w:tcW w:type="dxa" w:w="4320"/>
          </w:tcPr>
          <w:p>
            <w:r>
              <w:t>Data minimisation</w:t>
            </w:r>
          </w:p>
        </w:tc>
        <w:tc>
          <w:tcPr>
            <w:tcW w:type="dxa" w:w="4320"/>
          </w:tcPr>
          <w:p>
            <w:r>
              <w:t>Is only the minimum personal data required being transferred?</w:t>
            </w:r>
          </w:p>
        </w:tc>
      </w:tr>
      <w:tr>
        <w:tc>
          <w:tcPr>
            <w:tcW w:type="dxa" w:w="4320"/>
          </w:tcPr>
          <w:p>
            <w:r>
              <w:t>Destination protection</w:t>
            </w:r>
          </w:p>
        </w:tc>
        <w:tc>
          <w:tcPr>
            <w:tcW w:type="dxa" w:w="4320"/>
          </w:tcPr>
          <w:p>
            <w:r>
              <w:t>Does the destination provide acceptable privacy and security protections in law and practice?</w:t>
            </w:r>
          </w:p>
        </w:tc>
      </w:tr>
      <w:tr>
        <w:tc>
          <w:tcPr>
            <w:tcW w:type="dxa" w:w="4320"/>
          </w:tcPr>
          <w:p>
            <w:r>
              <w:t>Recipient reliability</w:t>
            </w:r>
          </w:p>
        </w:tc>
        <w:tc>
          <w:tcPr>
            <w:tcW w:type="dxa" w:w="4320"/>
          </w:tcPr>
          <w:p>
            <w:r>
              <w:t>Has the recipient demonstrated appropriate privacy, security, operational, and compliance maturity?</w:t>
            </w:r>
          </w:p>
        </w:tc>
      </w:tr>
      <w:tr>
        <w:tc>
          <w:tcPr>
            <w:tcW w:type="dxa" w:w="4320"/>
          </w:tcPr>
          <w:p>
            <w:r>
              <w:t>Contractual safeguards</w:t>
            </w:r>
          </w:p>
        </w:tc>
        <w:tc>
          <w:tcPr>
            <w:tcW w:type="dxa" w:w="4320"/>
          </w:tcPr>
          <w:p>
            <w:r>
              <w:t>Are there binding commitments covering permitted use, confidentiality, security, deletion, audit, onward transfer, incident notification, and cooperation?</w:t>
            </w:r>
          </w:p>
        </w:tc>
      </w:tr>
      <w:tr>
        <w:tc>
          <w:tcPr>
            <w:tcW w:type="dxa" w:w="4320"/>
          </w:tcPr>
          <w:p>
            <w:r>
              <w:t>Technical safeguards</w:t>
            </w:r>
          </w:p>
        </w:tc>
        <w:tc>
          <w:tcPr>
            <w:tcW w:type="dxa" w:w="4320"/>
          </w:tcPr>
          <w:p>
            <w:r>
              <w:t>Are encryption, access controls, segregation, logging, monitoring, and secure deletion controls implemented?</w:t>
            </w:r>
          </w:p>
        </w:tc>
      </w:tr>
      <w:tr>
        <w:tc>
          <w:tcPr>
            <w:tcW w:type="dxa" w:w="4320"/>
          </w:tcPr>
          <w:p>
            <w:r>
              <w:t>Data subject impact</w:t>
            </w:r>
          </w:p>
        </w:tc>
        <w:tc>
          <w:tcPr>
            <w:tcW w:type="dxa" w:w="4320"/>
          </w:tcPr>
          <w:p>
            <w:r>
              <w:t>Could the transfer materially affect individuals’ privacy, rights, safety, finances, employment, reputation, or dignity?</w:t>
            </w:r>
          </w:p>
        </w:tc>
      </w:tr>
      <w:tr>
        <w:tc>
          <w:tcPr>
            <w:tcW w:type="dxa" w:w="4320"/>
          </w:tcPr>
          <w:p>
            <w:r>
              <w:t>Onward transfer control</w:t>
            </w:r>
          </w:p>
        </w:tc>
        <w:tc>
          <w:tcPr>
            <w:tcW w:type="dxa" w:w="4320"/>
          </w:tcPr>
          <w:p>
            <w:r>
              <w:t>Are subcontractors and onward recipients identified, assessed, approved, and contractually controlled?</w:t>
            </w:r>
          </w:p>
        </w:tc>
      </w:tr>
      <w:tr>
        <w:tc>
          <w:tcPr>
            <w:tcW w:type="dxa" w:w="4320"/>
          </w:tcPr>
          <w:p>
            <w:r>
              <w:t>Transparency</w:t>
            </w:r>
          </w:p>
        </w:tc>
        <w:tc>
          <w:tcPr>
            <w:tcW w:type="dxa" w:w="4320"/>
          </w:tcPr>
          <w:p>
            <w:r>
              <w:t>Are individuals informed clearly about overseas transfers where required?</w:t>
            </w:r>
          </w:p>
        </w:tc>
      </w:tr>
      <w:tr>
        <w:tc>
          <w:tcPr>
            <w:tcW w:type="dxa" w:w="4320"/>
          </w:tcPr>
          <w:p>
            <w:r>
              <w:t>Retention and deletion</w:t>
            </w:r>
          </w:p>
        </w:tc>
        <w:tc>
          <w:tcPr>
            <w:tcW w:type="dxa" w:w="4320"/>
          </w:tcPr>
          <w:p>
            <w:r>
              <w:t>Are overseas copies retained only as long as necessary and securely deleted at the end of processing?</w:t>
            </w:r>
          </w:p>
        </w:tc>
      </w:tr>
      <w:tr>
        <w:tc>
          <w:tcPr>
            <w:tcW w:type="dxa" w:w="4320"/>
          </w:tcPr>
          <w:p>
            <w:r>
              <w:t>Accountability</w:t>
            </w:r>
          </w:p>
        </w:tc>
        <w:tc>
          <w:tcPr>
            <w:tcW w:type="dxa" w:w="4320"/>
          </w:tcPr>
          <w:p>
            <w:r>
              <w:t>Is evidence retained to demonstrate assessment, approval, monitoring, and remediation?</w:t>
            </w:r>
          </w:p>
        </w:tc>
      </w:tr>
    </w:tbl>
    <w:p>
      <w:pPr>
        <w:pStyle w:val="Heading3"/>
      </w:pPr>
      <w:r>
        <w:t>Risk Rating Method</w:t>
      </w:r>
    </w:p>
    <w:tbl>
      <w:tblPr>
        <w:tblStyle w:val="TableGrid"/>
        <w:tblW w:type="auto" w:w="0"/>
        <w:tblLook w:firstColumn="1" w:firstRow="1" w:lastColumn="0" w:lastRow="0" w:noHBand="0" w:noVBand="1" w:val="04A0"/>
      </w:tblPr>
      <w:tblGrid>
        <w:gridCol w:w="2880"/>
        <w:gridCol w:w="2880"/>
        <w:gridCol w:w="2880"/>
      </w:tblGrid>
      <w:tr>
        <w:tc>
          <w:tcPr>
            <w:tcW w:type="dxa" w:w="2880"/>
          </w:tcPr>
          <w:p>
            <w:r>
              <w:t>Risk Rating</w:t>
            </w:r>
          </w:p>
        </w:tc>
        <w:tc>
          <w:tcPr>
            <w:tcW w:type="dxa" w:w="2880"/>
          </w:tcPr>
          <w:p>
            <w:r>
              <w:t>Description</w:t>
            </w:r>
          </w:p>
        </w:tc>
        <w:tc>
          <w:tcPr>
            <w:tcW w:type="dxa" w:w="2880"/>
          </w:tcPr>
          <w:p>
            <w:r>
              <w:t>Required Response</w:t>
            </w:r>
          </w:p>
        </w:tc>
      </w:tr>
      <w:tr>
        <w:tc>
          <w:tcPr>
            <w:tcW w:type="dxa" w:w="2880"/>
          </w:tcPr>
          <w:p>
            <w:r>
              <w:t>Low</w:t>
            </w:r>
          </w:p>
        </w:tc>
        <w:tc>
          <w:tcPr>
            <w:tcW w:type="dxa" w:w="2880"/>
          </w:tcPr>
          <w:p>
            <w:r>
              <w:t>Transfer has a clear purpose, limited data, reliable recipient, acceptable destination risk, strong safeguards, and complete documentation.</w:t>
            </w:r>
          </w:p>
        </w:tc>
        <w:tc>
          <w:tcPr>
            <w:tcW w:type="dxa" w:w="2880"/>
          </w:tcPr>
          <w:p>
            <w:r>
              <w:t>Approve and monitor periodically.</w:t>
            </w:r>
          </w:p>
        </w:tc>
      </w:tr>
      <w:tr>
        <w:tc>
          <w:tcPr>
            <w:tcW w:type="dxa" w:w="2880"/>
          </w:tcPr>
          <w:p>
            <w:r>
              <w:t>Medium</w:t>
            </w:r>
          </w:p>
        </w:tc>
        <w:tc>
          <w:tcPr>
            <w:tcW w:type="dxa" w:w="2880"/>
          </w:tcPr>
          <w:p>
            <w:r>
              <w:t>Transfer is justified, but some safeguards or evidence require improvement. No immediate unacceptable risk identified.</w:t>
            </w:r>
          </w:p>
        </w:tc>
        <w:tc>
          <w:tcPr>
            <w:tcW w:type="dxa" w:w="2880"/>
          </w:tcPr>
          <w:p>
            <w:r>
              <w:t>Conditional approval with tracked remediation.</w:t>
            </w:r>
          </w:p>
        </w:tc>
      </w:tr>
      <w:tr>
        <w:tc>
          <w:tcPr>
            <w:tcW w:type="dxa" w:w="2880"/>
          </w:tcPr>
          <w:p>
            <w:r>
              <w:t>High</w:t>
            </w:r>
          </w:p>
        </w:tc>
        <w:tc>
          <w:tcPr>
            <w:tcW w:type="dxa" w:w="2880"/>
          </w:tcPr>
          <w:p>
            <w:r>
              <w:t>Significant gaps exist in destination assessment, contractual safeguards, sensitive data protection, onward transfer control, or transparency.</w:t>
            </w:r>
          </w:p>
        </w:tc>
        <w:tc>
          <w:tcPr>
            <w:tcW w:type="dxa" w:w="2880"/>
          </w:tcPr>
          <w:p>
            <w:r>
              <w:t>Do not approve or continue without senior risk acceptance and urgent remediation.</w:t>
            </w:r>
          </w:p>
        </w:tc>
      </w:tr>
      <w:tr>
        <w:tc>
          <w:tcPr>
            <w:tcW w:type="dxa" w:w="2880"/>
          </w:tcPr>
          <w:p>
            <w:r>
              <w:t>Critical</w:t>
            </w:r>
          </w:p>
        </w:tc>
        <w:tc>
          <w:tcPr>
            <w:tcW w:type="dxa" w:w="2880"/>
          </w:tcPr>
          <w:p>
            <w:r>
              <w:t>Transfer creates unacceptable legal, privacy, security, or data subject risk, or lacks a valid basis.</w:t>
            </w:r>
          </w:p>
        </w:tc>
        <w:tc>
          <w:tcPr>
            <w:tcW w:type="dxa" w:w="2880"/>
          </w:tcPr>
          <w:p>
            <w:r>
              <w:t>Suspend or reject unless legally compelled and approved by executive management and legal counsel.</w:t>
            </w:r>
          </w:p>
        </w:tc>
      </w:tr>
    </w:tbl>
    <w:p>
      <w:pPr>
        <w:pStyle w:val="Heading2"/>
      </w:pPr>
      <w:r>
        <w:t>Detailed Findings / Results (with structure)</w:t>
      </w:r>
    </w:p>
    <w:p>
      <w:pPr>
        <w:pStyle w:val="Heading3"/>
      </w:pPr>
      <w:r>
        <w:t>1. Transfer Inventory and Data Flow Mapping</w:t>
      </w:r>
    </w:p>
    <w:p>
      <w:pPr>
        <w:pStyle w:val="Heading4"/>
      </w:pPr>
      <w:r>
        <w:t>Finding F-01 - Incomplete Cross-Border Transfer Register</w:t>
      </w:r>
    </w:p>
    <w:p>
      <w:r>
        <w:t>The organisation has identified several major cross-border transfers, but there is no complete, approved, and regularly maintained central register covering all transfers from Saudi Arabia. The existing records are held across procurement files, system owner documents, IT architecture records, and vendor management records.</w:t>
      </w:r>
    </w:p>
    <w:p>
      <w:r>
        <w:t>The register does not consistently capture:</w:t>
      </w:r>
    </w:p>
    <w:p>
      <w:pPr>
        <w:pStyle w:val="ListBullet"/>
      </w:pPr>
      <w:r>
        <w:t>Destination country.</w:t>
      </w:r>
    </w:p>
    <w:p>
      <w:pPr>
        <w:pStyle w:val="ListBullet"/>
      </w:pPr>
      <w:r>
        <w:t>Overseas recipient legal entity.</w:t>
      </w:r>
    </w:p>
    <w:p>
      <w:pPr>
        <w:pStyle w:val="ListBullet"/>
      </w:pPr>
      <w:r>
        <w:t>Hosting region.</w:t>
      </w:r>
    </w:p>
    <w:p>
      <w:pPr>
        <w:pStyle w:val="ListBullet"/>
      </w:pPr>
      <w:r>
        <w:t>Support access location.</w:t>
      </w:r>
    </w:p>
    <w:p>
      <w:pPr>
        <w:pStyle w:val="ListBullet"/>
      </w:pPr>
      <w:r>
        <w:t>Subprocessors and onward transfer locations.</w:t>
      </w:r>
    </w:p>
    <w:p>
      <w:pPr>
        <w:pStyle w:val="ListBullet"/>
      </w:pPr>
      <w:r>
        <w:t>Data categories transferred.</w:t>
      </w:r>
    </w:p>
    <w:p>
      <w:pPr>
        <w:pStyle w:val="ListBullet"/>
      </w:pPr>
      <w:r>
        <w:t>Sensitive personal data indicators.</w:t>
      </w:r>
    </w:p>
    <w:p>
      <w:pPr>
        <w:pStyle w:val="ListBullet"/>
      </w:pPr>
      <w:r>
        <w:t>Transfer purpose.</w:t>
      </w:r>
    </w:p>
    <w:p>
      <w:pPr>
        <w:pStyle w:val="ListBullet"/>
      </w:pPr>
      <w:r>
        <w:t>Transfer basis and safeguards.</w:t>
      </w:r>
    </w:p>
    <w:p>
      <w:pPr>
        <w:pStyle w:val="ListBullet"/>
      </w:pPr>
      <w:r>
        <w:t>Contract owner and renewal date.</w:t>
      </w:r>
    </w:p>
    <w:p>
      <w:pPr>
        <w:pStyle w:val="ListBullet"/>
      </w:pPr>
      <w:r>
        <w:t>Retention and deletion commitments.</w:t>
      </w:r>
    </w:p>
    <w:p>
      <w:pPr>
        <w:pStyle w:val="ListBullet"/>
      </w:pPr>
      <w:r>
        <w:t>Approval status and review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 Ref.</w:t>
            </w:r>
          </w:p>
        </w:tc>
        <w:tc>
          <w:tcPr>
            <w:tcW w:type="dxa" w:w="2160"/>
          </w:tcPr>
          <w:p>
            <w:r>
              <w:t>Register Status</w:t>
            </w:r>
          </w:p>
        </w:tc>
        <w:tc>
          <w:tcPr>
            <w:tcW w:type="dxa" w:w="2160"/>
          </w:tcPr>
          <w:p>
            <w:r>
              <w:t>Key Gap</w:t>
            </w:r>
          </w:p>
        </w:tc>
        <w:tc>
          <w:tcPr>
            <w:tcW w:type="dxa" w:w="2160"/>
          </w:tcPr>
          <w:p>
            <w:r>
              <w:t>Risk</w:t>
            </w:r>
          </w:p>
        </w:tc>
      </w:tr>
      <w:tr>
        <w:tc>
          <w:tcPr>
            <w:tcW w:type="dxa" w:w="2160"/>
          </w:tcPr>
          <w:p>
            <w:r>
              <w:t>T-01</w:t>
            </w:r>
          </w:p>
        </w:tc>
        <w:tc>
          <w:tcPr>
            <w:tcW w:type="dxa" w:w="2160"/>
          </w:tcPr>
          <w:p>
            <w:r>
              <w:t>Partially documented</w:t>
            </w:r>
          </w:p>
        </w:tc>
        <w:tc>
          <w:tcPr>
            <w:tcW w:type="dxa" w:w="2160"/>
          </w:tcPr>
          <w:p>
            <w:r>
              <w:t>Subprocessors and support locations not fully captured</w:t>
            </w:r>
          </w:p>
        </w:tc>
        <w:tc>
          <w:tcPr>
            <w:tcW w:type="dxa" w:w="2160"/>
          </w:tcPr>
          <w:p>
            <w:r>
              <w:t>High</w:t>
            </w:r>
          </w:p>
        </w:tc>
      </w:tr>
      <w:tr>
        <w:tc>
          <w:tcPr>
            <w:tcW w:type="dxa" w:w="2160"/>
          </w:tcPr>
          <w:p>
            <w:r>
              <w:t>T-02</w:t>
            </w:r>
          </w:p>
        </w:tc>
        <w:tc>
          <w:tcPr>
            <w:tcW w:type="dxa" w:w="2160"/>
          </w:tcPr>
          <w:p>
            <w:r>
              <w:t>Partially documented</w:t>
            </w:r>
          </w:p>
        </w:tc>
        <w:tc>
          <w:tcPr>
            <w:tcW w:type="dxa" w:w="2160"/>
          </w:tcPr>
          <w:p>
            <w:r>
              <w:t>Employee data categories and payroll support locations require confirmation</w:t>
            </w:r>
          </w:p>
        </w:tc>
        <w:tc>
          <w:tcPr>
            <w:tcW w:type="dxa" w:w="2160"/>
          </w:tcPr>
          <w:p>
            <w:r>
              <w:t>High</w:t>
            </w:r>
          </w:p>
        </w:tc>
      </w:tr>
      <w:tr>
        <w:tc>
          <w:tcPr>
            <w:tcW w:type="dxa" w:w="2160"/>
          </w:tcPr>
          <w:p>
            <w:r>
              <w:t>T-03</w:t>
            </w:r>
          </w:p>
        </w:tc>
        <w:tc>
          <w:tcPr>
            <w:tcW w:type="dxa" w:w="2160"/>
          </w:tcPr>
          <w:p>
            <w:r>
              <w:t>Incomplete</w:t>
            </w:r>
          </w:p>
        </w:tc>
        <w:tc>
          <w:tcPr>
            <w:tcW w:type="dxa" w:w="2160"/>
          </w:tcPr>
          <w:p>
            <w:r>
              <w:t>Remote access countries and log data categories not documented</w:t>
            </w:r>
          </w:p>
        </w:tc>
        <w:tc>
          <w:tcPr>
            <w:tcW w:type="dxa" w:w="2160"/>
          </w:tcPr>
          <w:p>
            <w:r>
              <w:t>High</w:t>
            </w:r>
          </w:p>
        </w:tc>
      </w:tr>
      <w:tr>
        <w:tc>
          <w:tcPr>
            <w:tcW w:type="dxa" w:w="2160"/>
          </w:tcPr>
          <w:p>
            <w:r>
              <w:t>T-04</w:t>
            </w:r>
          </w:p>
        </w:tc>
        <w:tc>
          <w:tcPr>
            <w:tcW w:type="dxa" w:w="2160"/>
          </w:tcPr>
          <w:p>
            <w:r>
              <w:t>Partially documented</w:t>
            </w:r>
          </w:p>
        </w:tc>
        <w:tc>
          <w:tcPr>
            <w:tcW w:type="dxa" w:w="2160"/>
          </w:tcPr>
          <w:p>
            <w:r>
              <w:t>Analytics data fields and campaign audience exports require review</w:t>
            </w:r>
          </w:p>
        </w:tc>
        <w:tc>
          <w:tcPr>
            <w:tcW w:type="dxa" w:w="2160"/>
          </w:tcPr>
          <w:p>
            <w:r>
              <w:t>Medium</w:t>
            </w:r>
          </w:p>
        </w:tc>
      </w:tr>
      <w:tr>
        <w:tc>
          <w:tcPr>
            <w:tcW w:type="dxa" w:w="2160"/>
          </w:tcPr>
          <w:p>
            <w:r>
              <w:t>T-05</w:t>
            </w:r>
          </w:p>
        </w:tc>
        <w:tc>
          <w:tcPr>
            <w:tcW w:type="dxa" w:w="2160"/>
          </w:tcPr>
          <w:p>
            <w:r>
              <w:t>Partially documented</w:t>
            </w:r>
          </w:p>
        </w:tc>
        <w:tc>
          <w:tcPr>
            <w:tcW w:type="dxa" w:w="2160"/>
          </w:tcPr>
          <w:p>
            <w:r>
              <w:t>Backup retention and restoration location not fully evidenced</w:t>
            </w:r>
          </w:p>
        </w:tc>
        <w:tc>
          <w:tcPr>
            <w:tcW w:type="dxa" w:w="2160"/>
          </w:tcPr>
          <w:p>
            <w:r>
              <w:t>Medium</w:t>
            </w:r>
          </w:p>
        </w:tc>
      </w:tr>
    </w:tbl>
    <w:p>
      <w:r>
        <w:t>Impact: Without a complete register, the organisation cannot reliably demonstrate control over cross-border transfers, assess risks consistently, respond to regulator inquiries, or ensure that overseas processing remains within approved boundaries.</w:t>
      </w:r>
    </w:p>
    <w:p>
      <w:r>
        <w:t>Severity: High</w:t>
      </w:r>
    </w:p>
    <w:p>
      <w:r>
        <w:t>Status: Open</w:t>
      </w:r>
    </w:p>
    <w:p>
      <w:r>
        <w:t>---</w:t>
      </w:r>
    </w:p>
    <w:p>
      <w:pPr>
        <w:pStyle w:val="Heading3"/>
      </w:pPr>
      <w:r>
        <w:t>2. Business Necessity and Transfer Purpose</w:t>
      </w:r>
    </w:p>
    <w:p>
      <w:pPr>
        <w:pStyle w:val="Heading4"/>
      </w:pPr>
      <w:r>
        <w:t>Finding F-02 - Transfer Purposes Are Generally Valid but Not Consistently Documented</w:t>
      </w:r>
    </w:p>
    <w:p>
      <w:r>
        <w:t>Most reviewed transfers support legitimate operational needs, including cloud service delivery, employee administration, customer communications, IT support, and resilience. However, documented justifications vary in quality and are not always linked to the specific personal data transferred.</w:t>
      </w:r>
    </w:p>
    <w:p>
      <w:r>
        <w:t>Examples include:</w:t>
      </w:r>
    </w:p>
    <w:p>
      <w:pPr>
        <w:pStyle w:val="ListBullet"/>
      </w:pPr>
      <w:r>
        <w:t>HR payroll processing requires employee identity, employment, salary, and bank details.</w:t>
      </w:r>
    </w:p>
    <w:p>
      <w:pPr>
        <w:pStyle w:val="ListBullet"/>
      </w:pPr>
      <w:r>
        <w:t>IT support requires access to system logs and user account metadata, but not full customer records unless incident-specific approval is obtained.</w:t>
      </w:r>
    </w:p>
    <w:p>
      <w:pPr>
        <w:pStyle w:val="ListBullet"/>
      </w:pPr>
      <w:r>
        <w:t>Marketing campaign execution requires contact details and preference data, but not national identifiers or unrelated account history.</w:t>
      </w:r>
    </w:p>
    <w:p>
      <w:pPr>
        <w:pStyle w:val="ListBullet"/>
      </w:pPr>
      <w:r>
        <w:t>Backup replication may require a full system copy, but restoration access must be strictly controlled and logged.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 Ref.</w:t>
            </w:r>
          </w:p>
        </w:tc>
        <w:tc>
          <w:tcPr>
            <w:tcW w:type="dxa" w:w="2160"/>
          </w:tcPr>
          <w:p>
            <w:r>
              <w:t>Purpose Documented</w:t>
            </w:r>
          </w:p>
        </w:tc>
        <w:tc>
          <w:tcPr>
            <w:tcW w:type="dxa" w:w="2160"/>
          </w:tcPr>
          <w:p>
            <w:r>
              <w:t>Necessity Confirmed</w:t>
            </w:r>
          </w:p>
        </w:tc>
        <w:tc>
          <w:tcPr>
            <w:tcW w:type="dxa" w:w="2160"/>
          </w:tcPr>
          <w:p>
            <w:r>
              <w:t>Comments</w:t>
            </w:r>
          </w:p>
        </w:tc>
      </w:tr>
      <w:tr>
        <w:tc>
          <w:tcPr>
            <w:tcW w:type="dxa" w:w="2160"/>
          </w:tcPr>
          <w:p>
            <w:r>
              <w:t>T-01</w:t>
            </w:r>
          </w:p>
        </w:tc>
        <w:tc>
          <w:tcPr>
            <w:tcW w:type="dxa" w:w="2160"/>
          </w:tcPr>
          <w:p>
            <w:r>
              <w:t>Yes</w:t>
            </w:r>
          </w:p>
        </w:tc>
        <w:tc>
          <w:tcPr>
            <w:tcW w:type="dxa" w:w="2160"/>
          </w:tcPr>
          <w:p>
            <w:r>
              <w:t>Yes</w:t>
            </w:r>
          </w:p>
        </w:tc>
        <w:tc>
          <w:tcPr>
            <w:tcW w:type="dxa" w:w="2160"/>
          </w:tcPr>
          <w:p>
            <w:r>
              <w:t>Cloud hosting is necessary for application operation; support access should be limited.</w:t>
            </w:r>
          </w:p>
        </w:tc>
      </w:tr>
      <w:tr>
        <w:tc>
          <w:tcPr>
            <w:tcW w:type="dxa" w:w="2160"/>
          </w:tcPr>
          <w:p>
            <w:r>
              <w:t>T-02</w:t>
            </w:r>
          </w:p>
        </w:tc>
        <w:tc>
          <w:tcPr>
            <w:tcW w:type="dxa" w:w="2160"/>
          </w:tcPr>
          <w:p>
            <w:r>
              <w:t>Yes</w:t>
            </w:r>
          </w:p>
        </w:tc>
        <w:tc>
          <w:tcPr>
            <w:tcW w:type="dxa" w:w="2160"/>
          </w:tcPr>
          <w:p>
            <w:r>
              <w:t>Yes</w:t>
            </w:r>
          </w:p>
        </w:tc>
        <w:tc>
          <w:tcPr>
            <w:tcW w:type="dxa" w:w="2160"/>
          </w:tcPr>
          <w:p>
            <w:r>
              <w:t>Payroll processing requires overseas service support; sensitive fields require enhanced safeguards.</w:t>
            </w:r>
          </w:p>
        </w:tc>
      </w:tr>
      <w:tr>
        <w:tc>
          <w:tcPr>
            <w:tcW w:type="dxa" w:w="2160"/>
          </w:tcPr>
          <w:p>
            <w:r>
              <w:t>T-03</w:t>
            </w:r>
          </w:p>
        </w:tc>
        <w:tc>
          <w:tcPr>
            <w:tcW w:type="dxa" w:w="2160"/>
          </w:tcPr>
          <w:p>
            <w:r>
              <w:t>Partial</w:t>
            </w:r>
          </w:p>
        </w:tc>
        <w:tc>
          <w:tcPr>
            <w:tcW w:type="dxa" w:w="2160"/>
          </w:tcPr>
          <w:p>
            <w:r>
              <w:t>Partial</w:t>
            </w:r>
          </w:p>
        </w:tc>
        <w:tc>
          <w:tcPr>
            <w:tcW w:type="dxa" w:w="2160"/>
          </w:tcPr>
          <w:p>
            <w:r>
              <w:t>Remote support scope is broad and should be restricted by role and incident need.</w:t>
            </w:r>
          </w:p>
        </w:tc>
      </w:tr>
      <w:tr>
        <w:tc>
          <w:tcPr>
            <w:tcW w:type="dxa" w:w="2160"/>
          </w:tcPr>
          <w:p>
            <w:r>
              <w:t>T-04</w:t>
            </w:r>
          </w:p>
        </w:tc>
        <w:tc>
          <w:tcPr>
            <w:tcW w:type="dxa" w:w="2160"/>
          </w:tcPr>
          <w:p>
            <w:r>
              <w:t>Partial</w:t>
            </w:r>
          </w:p>
        </w:tc>
        <w:tc>
          <w:tcPr>
            <w:tcW w:type="dxa" w:w="2160"/>
          </w:tcPr>
          <w:p>
            <w:r>
              <w:t>Yes</w:t>
            </w:r>
          </w:p>
        </w:tc>
        <w:tc>
          <w:tcPr>
            <w:tcW w:type="dxa" w:w="2160"/>
          </w:tcPr>
          <w:p>
            <w:r>
              <w:t>Marketing data fields require minimisation.</w:t>
            </w:r>
          </w:p>
        </w:tc>
      </w:tr>
      <w:tr>
        <w:tc>
          <w:tcPr>
            <w:tcW w:type="dxa" w:w="2160"/>
          </w:tcPr>
          <w:p>
            <w:r>
              <w:t>T-05</w:t>
            </w:r>
          </w:p>
        </w:tc>
        <w:tc>
          <w:tcPr>
            <w:tcW w:type="dxa" w:w="2160"/>
          </w:tcPr>
          <w:p>
            <w:r>
              <w:t>Yes</w:t>
            </w:r>
          </w:p>
        </w:tc>
        <w:tc>
          <w:tcPr>
            <w:tcW w:type="dxa" w:w="2160"/>
          </w:tcPr>
          <w:p>
            <w:r>
              <w:t>Yes</w:t>
            </w:r>
          </w:p>
        </w:tc>
        <w:tc>
          <w:tcPr>
            <w:tcW w:type="dxa" w:w="2160"/>
          </w:tcPr>
          <w:p>
            <w:r>
              <w:t>Backup transfer justified for resilience; restoration and deletion controls need strengthening.</w:t>
            </w:r>
          </w:p>
        </w:tc>
      </w:tr>
    </w:tbl>
    <w:p>
      <w:r>
        <w:t>Impact: Insufficient documentation may lead to over-transfer of personal data and weak evidence that cross-border processing is necessary and proportionate.</w:t>
      </w:r>
    </w:p>
    <w:p>
      <w:r>
        <w:t>Severity: Medium</w:t>
      </w:r>
    </w:p>
    <w:p>
      <w:r>
        <w:t>Status: Open</w:t>
      </w:r>
    </w:p>
    <w:p>
      <w:r>
        <w:t>---</w:t>
      </w:r>
    </w:p>
    <w:p>
      <w:pPr>
        <w:pStyle w:val="Heading3"/>
      </w:pPr>
      <w:r>
        <w:t>3. Destination Country Assessment</w:t>
      </w:r>
    </w:p>
    <w:p>
      <w:pPr>
        <w:pStyle w:val="Heading4"/>
      </w:pPr>
      <w:r>
        <w:t>Finding F-03 - Destination Adequacy and Local Risk Assessments Are Incomplete</w:t>
      </w:r>
    </w:p>
    <w:p>
      <w:r>
        <w:t>For several transfers, the organisation has not completed a documented assessment of the overseas destination country. The assessment should consider whether individuals’ personal data will receive acceptable protection in practice, including legal protections, regulatory oversight, access by public authorities, enforceability of contractual commitments, and practical ability to protect data subject rights.</w:t>
      </w:r>
    </w:p>
    <w:p>
      <w:r>
        <w:t>The following destination risk factors were considered:</w:t>
      </w:r>
    </w:p>
    <w:tbl>
      <w:tblPr>
        <w:tblStyle w:val="TableGrid"/>
        <w:tblW w:type="auto" w:w="0"/>
        <w:tblLook w:firstColumn="1" w:firstRow="1" w:lastColumn="0" w:lastRow="0" w:noHBand="0" w:noVBand="1" w:val="04A0"/>
      </w:tblPr>
      <w:tblGrid>
        <w:gridCol w:w="4320"/>
        <w:gridCol w:w="4320"/>
      </w:tblGrid>
      <w:tr>
        <w:tc>
          <w:tcPr>
            <w:tcW w:type="dxa" w:w="4320"/>
          </w:tcPr>
          <w:p>
            <w:r>
              <w:t>Risk Factor</w:t>
            </w:r>
          </w:p>
        </w:tc>
        <w:tc>
          <w:tcPr>
            <w:tcW w:type="dxa" w:w="4320"/>
          </w:tcPr>
          <w:p>
            <w:r>
              <w:t>Assessment Consideration</w:t>
            </w:r>
          </w:p>
        </w:tc>
      </w:tr>
      <w:tr>
        <w:tc>
          <w:tcPr>
            <w:tcW w:type="dxa" w:w="4320"/>
          </w:tcPr>
          <w:p>
            <w:r>
              <w:t>Privacy legal environment</w:t>
            </w:r>
          </w:p>
        </w:tc>
        <w:tc>
          <w:tcPr>
            <w:tcW w:type="dxa" w:w="4320"/>
          </w:tcPr>
          <w:p>
            <w:r>
              <w:t>Whether the destination has enforceable privacy protections and independent oversight.</w:t>
            </w:r>
          </w:p>
        </w:tc>
      </w:tr>
      <w:tr>
        <w:tc>
          <w:tcPr>
            <w:tcW w:type="dxa" w:w="4320"/>
          </w:tcPr>
          <w:p>
            <w:r>
              <w:t>Data subject rights</w:t>
            </w:r>
          </w:p>
        </w:tc>
        <w:tc>
          <w:tcPr>
            <w:tcW w:type="dxa" w:w="4320"/>
          </w:tcPr>
          <w:p>
            <w:r>
              <w:t>Whether individuals can reasonably exercise privacy rights through the organisation and recipient.</w:t>
            </w:r>
          </w:p>
        </w:tc>
      </w:tr>
      <w:tr>
        <w:tc>
          <w:tcPr>
            <w:tcW w:type="dxa" w:w="4320"/>
          </w:tcPr>
          <w:p>
            <w:r>
              <w:t>Government access risk</w:t>
            </w:r>
          </w:p>
        </w:tc>
        <w:tc>
          <w:tcPr>
            <w:tcW w:type="dxa" w:w="4320"/>
          </w:tcPr>
          <w:p>
            <w:r>
              <w:t>Whether public authority access is limited, lawful, reviewable, and proportionate.</w:t>
            </w:r>
          </w:p>
        </w:tc>
      </w:tr>
      <w:tr>
        <w:tc>
          <w:tcPr>
            <w:tcW w:type="dxa" w:w="4320"/>
          </w:tcPr>
          <w:p>
            <w:r>
              <w:t>Contract enforceability</w:t>
            </w:r>
          </w:p>
        </w:tc>
        <w:tc>
          <w:tcPr>
            <w:tcW w:type="dxa" w:w="4320"/>
          </w:tcPr>
          <w:p>
            <w:r>
              <w:t>Whether contractual privacy and security obligations can be enforced against the recipient.</w:t>
            </w:r>
          </w:p>
        </w:tc>
      </w:tr>
      <w:tr>
        <w:tc>
          <w:tcPr>
            <w:tcW w:type="dxa" w:w="4320"/>
          </w:tcPr>
          <w:p>
            <w:r>
              <w:t>Security environment</w:t>
            </w:r>
          </w:p>
        </w:tc>
        <w:tc>
          <w:tcPr>
            <w:tcW w:type="dxa" w:w="4320"/>
          </w:tcPr>
          <w:p>
            <w:r>
              <w:t>Whether the destination presents heightened cyber, political, or operational risk.</w:t>
            </w:r>
          </w:p>
        </w:tc>
      </w:tr>
      <w:tr>
        <w:tc>
          <w:tcPr>
            <w:tcW w:type="dxa" w:w="4320"/>
          </w:tcPr>
          <w:p>
            <w:r>
              <w:t>Localisation restrictions</w:t>
            </w:r>
          </w:p>
        </w:tc>
        <w:tc>
          <w:tcPr>
            <w:tcW w:type="dxa" w:w="4320"/>
          </w:tcPr>
          <w:p>
            <w:r>
              <w:t>Whether Saudi personal data transfer conditions are met before export.</w:t>
            </w:r>
          </w:p>
        </w:tc>
      </w:tr>
      <w:tr>
        <w:tc>
          <w:tcPr>
            <w:tcW w:type="dxa" w:w="4320"/>
          </w:tcPr>
          <w:p>
            <w:r>
              <w:t>Sector sensitivity</w:t>
            </w:r>
          </w:p>
        </w:tc>
        <w:tc>
          <w:tcPr>
            <w:tcW w:type="dxa" w:w="4320"/>
          </w:tcPr>
          <w:p>
            <w:r>
              <w:t>Whether the data relates to regulated sectors such as health, finance, telecommunications, education, or employment.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Destination Country</w:t>
            </w:r>
          </w:p>
        </w:tc>
        <w:tc>
          <w:tcPr>
            <w:tcW w:type="dxa" w:w="2160"/>
          </w:tcPr>
          <w:p>
            <w:r>
              <w:t>Transfers Involved</w:t>
            </w:r>
          </w:p>
        </w:tc>
        <w:tc>
          <w:tcPr>
            <w:tcW w:type="dxa" w:w="2160"/>
          </w:tcPr>
          <w:p>
            <w:r>
              <w:t>Assessment Status</w:t>
            </w:r>
          </w:p>
        </w:tc>
        <w:tc>
          <w:tcPr>
            <w:tcW w:type="dxa" w:w="2160"/>
          </w:tcPr>
          <w:p>
            <w:r>
              <w:t>Preliminary Destination Risk</w:t>
            </w:r>
          </w:p>
        </w:tc>
      </w:tr>
      <w:tr>
        <w:tc>
          <w:tcPr>
            <w:tcW w:type="dxa" w:w="2160"/>
          </w:tcPr>
          <w:p>
            <w:r>
              <w:t>[Country A]</w:t>
            </w:r>
          </w:p>
        </w:tc>
        <w:tc>
          <w:tcPr>
            <w:tcW w:type="dxa" w:w="2160"/>
          </w:tcPr>
          <w:p>
            <w:r>
              <w:t>T-01, T-05</w:t>
            </w:r>
          </w:p>
        </w:tc>
        <w:tc>
          <w:tcPr>
            <w:tcW w:type="dxa" w:w="2160"/>
          </w:tcPr>
          <w:p>
            <w:r>
              <w:t>Partial</w:t>
            </w:r>
          </w:p>
        </w:tc>
        <w:tc>
          <w:tcPr>
            <w:tcW w:type="dxa" w:w="2160"/>
          </w:tcPr>
          <w:p>
            <w:r>
              <w:t>Medium</w:t>
            </w:r>
          </w:p>
        </w:tc>
      </w:tr>
      <w:tr>
        <w:tc>
          <w:tcPr>
            <w:tcW w:type="dxa" w:w="2160"/>
          </w:tcPr>
          <w:p>
            <w:r>
              <w:t>[Country B]</w:t>
            </w:r>
          </w:p>
        </w:tc>
        <w:tc>
          <w:tcPr>
            <w:tcW w:type="dxa" w:w="2160"/>
          </w:tcPr>
          <w:p>
            <w:r>
              <w:t>T-02</w:t>
            </w:r>
          </w:p>
        </w:tc>
        <w:tc>
          <w:tcPr>
            <w:tcW w:type="dxa" w:w="2160"/>
          </w:tcPr>
          <w:p>
            <w:r>
              <w:t>Not completed</w:t>
            </w:r>
          </w:p>
        </w:tc>
        <w:tc>
          <w:tcPr>
            <w:tcW w:type="dxa" w:w="2160"/>
          </w:tcPr>
          <w:p>
            <w:r>
              <w:t>High</w:t>
            </w:r>
          </w:p>
        </w:tc>
      </w:tr>
      <w:tr>
        <w:tc>
          <w:tcPr>
            <w:tcW w:type="dxa" w:w="2160"/>
          </w:tcPr>
          <w:p>
            <w:r>
              <w:t>[Country C]</w:t>
            </w:r>
          </w:p>
        </w:tc>
        <w:tc>
          <w:tcPr>
            <w:tcW w:type="dxa" w:w="2160"/>
          </w:tcPr>
          <w:p>
            <w:r>
              <w:t>T-03</w:t>
            </w:r>
          </w:p>
        </w:tc>
        <w:tc>
          <w:tcPr>
            <w:tcW w:type="dxa" w:w="2160"/>
          </w:tcPr>
          <w:p>
            <w:r>
              <w:t>Not completed</w:t>
            </w:r>
          </w:p>
        </w:tc>
        <w:tc>
          <w:tcPr>
            <w:tcW w:type="dxa" w:w="2160"/>
          </w:tcPr>
          <w:p>
            <w:r>
              <w:t>High</w:t>
            </w:r>
          </w:p>
        </w:tc>
      </w:tr>
      <w:tr>
        <w:tc>
          <w:tcPr>
            <w:tcW w:type="dxa" w:w="2160"/>
          </w:tcPr>
          <w:p>
            <w:r>
              <w:t>[Country D]</w:t>
            </w:r>
          </w:p>
        </w:tc>
        <w:tc>
          <w:tcPr>
            <w:tcW w:type="dxa" w:w="2160"/>
          </w:tcPr>
          <w:p>
            <w:r>
              <w:t>T-04</w:t>
            </w:r>
          </w:p>
        </w:tc>
        <w:tc>
          <w:tcPr>
            <w:tcW w:type="dxa" w:w="2160"/>
          </w:tcPr>
          <w:p>
            <w:r>
              <w:t>Partial</w:t>
            </w:r>
          </w:p>
        </w:tc>
        <w:tc>
          <w:tcPr>
            <w:tcW w:type="dxa" w:w="2160"/>
          </w:tcPr>
          <w:p>
            <w:r>
              <w:t>Medium</w:t>
            </w:r>
          </w:p>
        </w:tc>
      </w:tr>
    </w:tbl>
    <w:p>
      <w:r>
        <w:t>Impact: Incomplete destination assessments may result in transfers to locations where legal or practical safeguards are insufficient, increasing risk to data subjects and the organisation.</w:t>
      </w:r>
    </w:p>
    <w:p>
      <w:r>
        <w:t>Severity: High</w:t>
      </w:r>
    </w:p>
    <w:p>
      <w:r>
        <w:t>Status: Open</w:t>
      </w:r>
    </w:p>
    <w:p>
      <w:r>
        <w:t>---</w:t>
      </w:r>
    </w:p>
    <w:p>
      <w:pPr>
        <w:pStyle w:val="Heading3"/>
      </w:pPr>
      <w:r>
        <w:t>4. Recipient Due Diligence</w:t>
      </w:r>
    </w:p>
    <w:p>
      <w:pPr>
        <w:pStyle w:val="Heading4"/>
      </w:pPr>
      <w:r>
        <w:t>Finding F-04 - Recipient Privacy and Security Due Diligence Is Not Uniform</w:t>
      </w:r>
    </w:p>
    <w:p>
      <w:r>
        <w:t>Major cloud and enterprise providers have provided security documentation, certifications, and standard data protection terms. However, due diligence is less complete for smaller service providers, support vendors, and marketing platforms.</w:t>
      </w:r>
    </w:p>
    <w:p>
      <w:r>
        <w:t>Areas requiring stronger evidence include:</w:t>
      </w:r>
    </w:p>
    <w:p>
      <w:pPr>
        <w:pStyle w:val="ListBullet"/>
      </w:pPr>
      <w:r>
        <w:t>Recipient privacy governance and accountability.</w:t>
      </w:r>
    </w:p>
    <w:p>
      <w:pPr>
        <w:pStyle w:val="ListBullet"/>
      </w:pPr>
      <w:r>
        <w:t>Staff confidentiality commitments.</w:t>
      </w:r>
    </w:p>
    <w:p>
      <w:pPr>
        <w:pStyle w:val="ListBullet"/>
      </w:pPr>
      <w:r>
        <w:t>Access control and privileged access management.</w:t>
      </w:r>
    </w:p>
    <w:p>
      <w:pPr>
        <w:pStyle w:val="ListBullet"/>
      </w:pPr>
      <w:r>
        <w:t>Encryption of data in transit and at rest.</w:t>
      </w:r>
    </w:p>
    <w:p>
      <w:pPr>
        <w:pStyle w:val="ListBullet"/>
      </w:pPr>
      <w:r>
        <w:t>Logging and monitoring of access to Saudi personal data.</w:t>
      </w:r>
    </w:p>
    <w:p>
      <w:pPr>
        <w:pStyle w:val="ListBullet"/>
      </w:pPr>
      <w:r>
        <w:t>Data segregation in multi-tenant environments.</w:t>
      </w:r>
    </w:p>
    <w:p>
      <w:pPr>
        <w:pStyle w:val="ListBullet"/>
      </w:pPr>
      <w:r>
        <w:t>Secure software development and vulnerability management.</w:t>
      </w:r>
    </w:p>
    <w:p>
      <w:pPr>
        <w:pStyle w:val="ListBullet"/>
      </w:pPr>
      <w:r>
        <w:t>Incident notification and cooperation process.</w:t>
      </w:r>
    </w:p>
    <w:p>
      <w:pPr>
        <w:pStyle w:val="ListBullet"/>
      </w:pPr>
      <w:r>
        <w:t>Data return and deletion capability.</w:t>
      </w:r>
    </w:p>
    <w:p>
      <w:pPr>
        <w:pStyle w:val="ListBullet"/>
      </w:pPr>
      <w:r>
        <w:t>Subprocessor management and change notification.</w:t>
      </w:r>
    </w:p>
    <w:p>
      <w:pPr>
        <w:pStyle w:val="ListBullet"/>
      </w:pPr>
      <w:r>
        <w:t>Evidence of independent security assurance.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Recipient Type</w:t>
            </w:r>
          </w:p>
        </w:tc>
        <w:tc>
          <w:tcPr>
            <w:tcW w:type="dxa" w:w="2160"/>
          </w:tcPr>
          <w:p>
            <w:r>
              <w:t>Due Diligence Status</w:t>
            </w:r>
          </w:p>
        </w:tc>
        <w:tc>
          <w:tcPr>
            <w:tcW w:type="dxa" w:w="2160"/>
          </w:tcPr>
          <w:p>
            <w:r>
              <w:t>Key Gaps</w:t>
            </w:r>
          </w:p>
        </w:tc>
        <w:tc>
          <w:tcPr>
            <w:tcW w:type="dxa" w:w="2160"/>
          </w:tcPr>
          <w:p>
            <w:r>
              <w:t>Risk</w:t>
            </w:r>
          </w:p>
        </w:tc>
      </w:tr>
      <w:tr>
        <w:tc>
          <w:tcPr>
            <w:tcW w:type="dxa" w:w="2160"/>
          </w:tcPr>
          <w:p>
            <w:r>
              <w:t>Global cloud provider</w:t>
            </w:r>
          </w:p>
        </w:tc>
        <w:tc>
          <w:tcPr>
            <w:tcW w:type="dxa" w:w="2160"/>
          </w:tcPr>
          <w:p>
            <w:r>
              <w:t>Mostly complete</w:t>
            </w:r>
          </w:p>
        </w:tc>
        <w:tc>
          <w:tcPr>
            <w:tcW w:type="dxa" w:w="2160"/>
          </w:tcPr>
          <w:p>
            <w:r>
              <w:t>Confirmation of selected region, support access, and subprocessor locations</w:t>
            </w:r>
          </w:p>
        </w:tc>
        <w:tc>
          <w:tcPr>
            <w:tcW w:type="dxa" w:w="2160"/>
          </w:tcPr>
          <w:p>
            <w:r>
              <w:t>Medium</w:t>
            </w:r>
          </w:p>
        </w:tc>
      </w:tr>
      <w:tr>
        <w:tc>
          <w:tcPr>
            <w:tcW w:type="dxa" w:w="2160"/>
          </w:tcPr>
          <w:p>
            <w:r>
              <w:t>Payroll provider</w:t>
            </w:r>
          </w:p>
        </w:tc>
        <w:tc>
          <w:tcPr>
            <w:tcW w:type="dxa" w:w="2160"/>
          </w:tcPr>
          <w:p>
            <w:r>
              <w:t>Partial</w:t>
            </w:r>
          </w:p>
        </w:tc>
        <w:tc>
          <w:tcPr>
            <w:tcW w:type="dxa" w:w="2160"/>
          </w:tcPr>
          <w:p>
            <w:r>
              <w:t>Sensitive employee data controls and deletion evidence</w:t>
            </w:r>
          </w:p>
        </w:tc>
        <w:tc>
          <w:tcPr>
            <w:tcW w:type="dxa" w:w="2160"/>
          </w:tcPr>
          <w:p>
            <w:r>
              <w:t>High</w:t>
            </w:r>
          </w:p>
        </w:tc>
      </w:tr>
      <w:tr>
        <w:tc>
          <w:tcPr>
            <w:tcW w:type="dxa" w:w="2160"/>
          </w:tcPr>
          <w:p>
            <w:r>
              <w:t>Managed service provider</w:t>
            </w:r>
          </w:p>
        </w:tc>
        <w:tc>
          <w:tcPr>
            <w:tcW w:type="dxa" w:w="2160"/>
          </w:tcPr>
          <w:p>
            <w:r>
              <w:t>Partial</w:t>
            </w:r>
          </w:p>
        </w:tc>
        <w:tc>
          <w:tcPr>
            <w:tcW w:type="dxa" w:w="2160"/>
          </w:tcPr>
          <w:p>
            <w:r>
              <w:t>Remote access logging, session recording, and country access restrictions</w:t>
            </w:r>
          </w:p>
        </w:tc>
        <w:tc>
          <w:tcPr>
            <w:tcW w:type="dxa" w:w="2160"/>
          </w:tcPr>
          <w:p>
            <w:r>
              <w:t>High</w:t>
            </w:r>
          </w:p>
        </w:tc>
      </w:tr>
      <w:tr>
        <w:tc>
          <w:tcPr>
            <w:tcW w:type="dxa" w:w="2160"/>
          </w:tcPr>
          <w:p>
            <w:r>
              <w:t>Marketing platform</w:t>
            </w:r>
          </w:p>
        </w:tc>
        <w:tc>
          <w:tcPr>
            <w:tcW w:type="dxa" w:w="2160"/>
          </w:tcPr>
          <w:p>
            <w:r>
              <w:t>Partial</w:t>
            </w:r>
          </w:p>
        </w:tc>
        <w:tc>
          <w:tcPr>
            <w:tcW w:type="dxa" w:w="2160"/>
          </w:tcPr>
          <w:p>
            <w:r>
              <w:t>Data minimisation, analytics tracking, and audience deletion controls</w:t>
            </w:r>
          </w:p>
        </w:tc>
        <w:tc>
          <w:tcPr>
            <w:tcW w:type="dxa" w:w="2160"/>
          </w:tcPr>
          <w:p>
            <w:r>
              <w:t>Medium</w:t>
            </w:r>
          </w:p>
        </w:tc>
      </w:tr>
      <w:tr>
        <w:tc>
          <w:tcPr>
            <w:tcW w:type="dxa" w:w="2160"/>
          </w:tcPr>
          <w:p>
            <w:r>
              <w:t>Backup provider</w:t>
            </w:r>
          </w:p>
        </w:tc>
        <w:tc>
          <w:tcPr>
            <w:tcW w:type="dxa" w:w="2160"/>
          </w:tcPr>
          <w:p>
            <w:r>
              <w:t>Partial</w:t>
            </w:r>
          </w:p>
        </w:tc>
        <w:tc>
          <w:tcPr>
            <w:tcW w:type="dxa" w:w="2160"/>
          </w:tcPr>
          <w:p>
            <w:r>
              <w:t>Backup encryption key control and deletion certification</w:t>
            </w:r>
          </w:p>
        </w:tc>
        <w:tc>
          <w:tcPr>
            <w:tcW w:type="dxa" w:w="2160"/>
          </w:tcPr>
          <w:p>
            <w:r>
              <w:t>Medium</w:t>
            </w:r>
          </w:p>
        </w:tc>
      </w:tr>
    </w:tbl>
    <w:p>
      <w:r>
        <w:t>Impact: Inconsistent due diligence reduces confidence that all overseas recipients can protect personal data to the required standard.</w:t>
      </w:r>
    </w:p>
    <w:p>
      <w:r>
        <w:t>Severity: High</w:t>
      </w:r>
    </w:p>
    <w:p>
      <w:r>
        <w:t>Status: Open</w:t>
      </w:r>
    </w:p>
    <w:p>
      <w:r>
        <w:t>---</w:t>
      </w:r>
    </w:p>
    <w:p>
      <w:pPr>
        <w:pStyle w:val="Heading3"/>
      </w:pPr>
      <w:r>
        <w:t>5. Contractual Safeguards</w:t>
      </w:r>
    </w:p>
    <w:p>
      <w:pPr>
        <w:pStyle w:val="Heading4"/>
      </w:pPr>
      <w:r>
        <w:t>Finding F-05 - Contracts Require Saudi-Specific Cross-Border Transfer Protections</w:t>
      </w:r>
    </w:p>
    <w:p>
      <w:r>
        <w:t>Some contracts contain general privacy and confidentiality clauses, but not all include specific obligations required to govern overseas processing of Saudi personal data.</w:t>
      </w:r>
    </w:p>
    <w:p>
      <w:r>
        <w:t>Contracts should address the following safeguards:</w:t>
      </w:r>
    </w:p>
    <w:tbl>
      <w:tblPr>
        <w:tblStyle w:val="TableGrid"/>
        <w:tblW w:type="auto" w:w="0"/>
        <w:tblLook w:firstColumn="1" w:firstRow="1" w:lastColumn="0" w:lastRow="0" w:noHBand="0" w:noVBand="1" w:val="04A0"/>
      </w:tblPr>
      <w:tblGrid>
        <w:gridCol w:w="4320"/>
        <w:gridCol w:w="4320"/>
      </w:tblGrid>
      <w:tr>
        <w:tc>
          <w:tcPr>
            <w:tcW w:type="dxa" w:w="4320"/>
          </w:tcPr>
          <w:p>
            <w:r>
              <w:t>Safeguard Area</w:t>
            </w:r>
          </w:p>
        </w:tc>
        <w:tc>
          <w:tcPr>
            <w:tcW w:type="dxa" w:w="4320"/>
          </w:tcPr>
          <w:p>
            <w:r>
              <w:t>Required Contractual Position</w:t>
            </w:r>
          </w:p>
        </w:tc>
      </w:tr>
      <w:tr>
        <w:tc>
          <w:tcPr>
            <w:tcW w:type="dxa" w:w="4320"/>
          </w:tcPr>
          <w:p>
            <w:r>
              <w:t>Purpose limitation</w:t>
            </w:r>
          </w:p>
        </w:tc>
        <w:tc>
          <w:tcPr>
            <w:tcW w:type="dxa" w:w="4320"/>
          </w:tcPr>
          <w:p>
            <w:r>
              <w:t>Recipient may process personal data only for documented purposes approved by the organisation.</w:t>
            </w:r>
          </w:p>
        </w:tc>
      </w:tr>
      <w:tr>
        <w:tc>
          <w:tcPr>
            <w:tcW w:type="dxa" w:w="4320"/>
          </w:tcPr>
          <w:p>
            <w:r>
              <w:t>Transfer restrictions</w:t>
            </w:r>
          </w:p>
        </w:tc>
        <w:tc>
          <w:tcPr>
            <w:tcW w:type="dxa" w:w="4320"/>
          </w:tcPr>
          <w:p>
            <w:r>
              <w:t>Recipient must not move personal data to another country without prior approval or an agreed notification and objection process.</w:t>
            </w:r>
          </w:p>
        </w:tc>
      </w:tr>
      <w:tr>
        <w:tc>
          <w:tcPr>
            <w:tcW w:type="dxa" w:w="4320"/>
          </w:tcPr>
          <w:p>
            <w:r>
              <w:t>Subprocessor control</w:t>
            </w:r>
          </w:p>
        </w:tc>
        <w:tc>
          <w:tcPr>
            <w:tcW w:type="dxa" w:w="4320"/>
          </w:tcPr>
          <w:p>
            <w:r>
              <w:t>Recipient must maintain a current subprocessor list and impose equivalent obligations on subprocessors.</w:t>
            </w:r>
          </w:p>
        </w:tc>
      </w:tr>
      <w:tr>
        <w:tc>
          <w:tcPr>
            <w:tcW w:type="dxa" w:w="4320"/>
          </w:tcPr>
          <w:p>
            <w:r>
              <w:t>Confidentiality</w:t>
            </w:r>
          </w:p>
        </w:tc>
        <w:tc>
          <w:tcPr>
            <w:tcW w:type="dxa" w:w="4320"/>
          </w:tcPr>
          <w:p>
            <w:r>
              <w:t>Personnel with access to personal data must be bound by confidentiality obligations.</w:t>
            </w:r>
          </w:p>
        </w:tc>
      </w:tr>
      <w:tr>
        <w:tc>
          <w:tcPr>
            <w:tcW w:type="dxa" w:w="4320"/>
          </w:tcPr>
          <w:p>
            <w:r>
              <w:t>Security measures</w:t>
            </w:r>
          </w:p>
        </w:tc>
        <w:tc>
          <w:tcPr>
            <w:tcW w:type="dxa" w:w="4320"/>
          </w:tcPr>
          <w:p>
            <w:r>
              <w:t>Recipient must maintain appropriate technical and organisational security measures.</w:t>
            </w:r>
          </w:p>
        </w:tc>
      </w:tr>
      <w:tr>
        <w:tc>
          <w:tcPr>
            <w:tcW w:type="dxa" w:w="4320"/>
          </w:tcPr>
          <w:p>
            <w:r>
              <w:t>Sensitive data</w:t>
            </w:r>
          </w:p>
        </w:tc>
        <w:tc>
          <w:tcPr>
            <w:tcW w:type="dxa" w:w="4320"/>
          </w:tcPr>
          <w:p>
            <w:r>
              <w:t>Enhanced controls must apply to sensitive personal data.</w:t>
            </w:r>
          </w:p>
        </w:tc>
      </w:tr>
      <w:tr>
        <w:tc>
          <w:tcPr>
            <w:tcW w:type="dxa" w:w="4320"/>
          </w:tcPr>
          <w:p>
            <w:r>
              <w:t>Incident notification</w:t>
            </w:r>
          </w:p>
        </w:tc>
        <w:tc>
          <w:tcPr>
            <w:tcW w:type="dxa" w:w="4320"/>
          </w:tcPr>
          <w:p>
            <w:r>
              <w:t>Recipient must notify the organisation promptly of any actual or suspected breach.</w:t>
            </w:r>
          </w:p>
        </w:tc>
      </w:tr>
      <w:tr>
        <w:tc>
          <w:tcPr>
            <w:tcW w:type="dxa" w:w="4320"/>
          </w:tcPr>
          <w:p>
            <w:r>
              <w:t>Assistance</w:t>
            </w:r>
          </w:p>
        </w:tc>
        <w:tc>
          <w:tcPr>
            <w:tcW w:type="dxa" w:w="4320"/>
          </w:tcPr>
          <w:p>
            <w:r>
              <w:t>Recipient must assist with data subject requests, regulator inquiries, investigations, and impact assessments.</w:t>
            </w:r>
          </w:p>
        </w:tc>
      </w:tr>
      <w:tr>
        <w:tc>
          <w:tcPr>
            <w:tcW w:type="dxa" w:w="4320"/>
          </w:tcPr>
          <w:p>
            <w:r>
              <w:t>Audit and assurance</w:t>
            </w:r>
          </w:p>
        </w:tc>
        <w:tc>
          <w:tcPr>
            <w:tcW w:type="dxa" w:w="4320"/>
          </w:tcPr>
          <w:p>
            <w:r>
              <w:t>Organisation must have rights to obtain audit reports, security evidence, or conduct reviews where appropriate.</w:t>
            </w:r>
          </w:p>
        </w:tc>
      </w:tr>
      <w:tr>
        <w:tc>
          <w:tcPr>
            <w:tcW w:type="dxa" w:w="4320"/>
          </w:tcPr>
          <w:p>
            <w:r>
              <w:t>Retention and deletion</w:t>
            </w:r>
          </w:p>
        </w:tc>
        <w:tc>
          <w:tcPr>
            <w:tcW w:type="dxa" w:w="4320"/>
          </w:tcPr>
          <w:p>
            <w:r>
              <w:t>Recipient must delete or return personal data at end of service and provide evidence when requested.</w:t>
            </w:r>
          </w:p>
        </w:tc>
      </w:tr>
      <w:tr>
        <w:tc>
          <w:tcPr>
            <w:tcW w:type="dxa" w:w="4320"/>
          </w:tcPr>
          <w:p>
            <w:r>
              <w:t>Onward transfers</w:t>
            </w:r>
          </w:p>
        </w:tc>
        <w:tc>
          <w:tcPr>
            <w:tcW w:type="dxa" w:w="4320"/>
          </w:tcPr>
          <w:p>
            <w:r>
              <w:t>Recipient must not allow uncontrolled onward transfers.</w:t>
            </w:r>
          </w:p>
        </w:tc>
      </w:tr>
      <w:tr>
        <w:tc>
          <w:tcPr>
            <w:tcW w:type="dxa" w:w="4320"/>
          </w:tcPr>
          <w:p>
            <w:r>
              <w:t>Conflict of laws</w:t>
            </w:r>
          </w:p>
        </w:tc>
        <w:tc>
          <w:tcPr>
            <w:tcW w:type="dxa" w:w="4320"/>
          </w:tcPr>
          <w:p>
            <w:r>
              <w:t>Recipient must notify the organisation where local law may prevent compliance with agreed safeguards.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 Ref.</w:t>
            </w:r>
          </w:p>
        </w:tc>
        <w:tc>
          <w:tcPr>
            <w:tcW w:type="dxa" w:w="2160"/>
          </w:tcPr>
          <w:p>
            <w:r>
              <w:t>Contract Reviewed</w:t>
            </w:r>
          </w:p>
        </w:tc>
        <w:tc>
          <w:tcPr>
            <w:tcW w:type="dxa" w:w="2160"/>
          </w:tcPr>
          <w:p>
            <w:r>
              <w:t>Adequate Transfer Terms</w:t>
            </w:r>
          </w:p>
        </w:tc>
        <w:tc>
          <w:tcPr>
            <w:tcW w:type="dxa" w:w="2160"/>
          </w:tcPr>
          <w:p>
            <w:r>
              <w:t>Remediation Required</w:t>
            </w:r>
          </w:p>
        </w:tc>
      </w:tr>
      <w:tr>
        <w:tc>
          <w:tcPr>
            <w:tcW w:type="dxa" w:w="2160"/>
          </w:tcPr>
          <w:p>
            <w:r>
              <w:t>T-01</w:t>
            </w:r>
          </w:p>
        </w:tc>
        <w:tc>
          <w:tcPr>
            <w:tcW w:type="dxa" w:w="2160"/>
          </w:tcPr>
          <w:p>
            <w:r>
              <w:t>Yes</w:t>
            </w:r>
          </w:p>
        </w:tc>
        <w:tc>
          <w:tcPr>
            <w:tcW w:type="dxa" w:w="2160"/>
          </w:tcPr>
          <w:p>
            <w:r>
              <w:t>Partial</w:t>
            </w:r>
          </w:p>
        </w:tc>
        <w:tc>
          <w:tcPr>
            <w:tcW w:type="dxa" w:w="2160"/>
          </w:tcPr>
          <w:p>
            <w:r>
              <w:t>Add support access, subprocessor, and audit evidence commitments.</w:t>
            </w:r>
          </w:p>
        </w:tc>
      </w:tr>
      <w:tr>
        <w:tc>
          <w:tcPr>
            <w:tcW w:type="dxa" w:w="2160"/>
          </w:tcPr>
          <w:p>
            <w:r>
              <w:t>T-02</w:t>
            </w:r>
          </w:p>
        </w:tc>
        <w:tc>
          <w:tcPr>
            <w:tcW w:type="dxa" w:w="2160"/>
          </w:tcPr>
          <w:p>
            <w:r>
              <w:t>Yes</w:t>
            </w:r>
          </w:p>
        </w:tc>
        <w:tc>
          <w:tcPr>
            <w:tcW w:type="dxa" w:w="2160"/>
          </w:tcPr>
          <w:p>
            <w:r>
              <w:t>No</w:t>
            </w:r>
          </w:p>
        </w:tc>
        <w:tc>
          <w:tcPr>
            <w:tcW w:type="dxa" w:w="2160"/>
          </w:tcPr>
          <w:p>
            <w:r>
              <w:t>Update payroll data processing terms and sensitive data safeguards.</w:t>
            </w:r>
          </w:p>
        </w:tc>
      </w:tr>
      <w:tr>
        <w:tc>
          <w:tcPr>
            <w:tcW w:type="dxa" w:w="2160"/>
          </w:tcPr>
          <w:p>
            <w:r>
              <w:t>T-03</w:t>
            </w:r>
          </w:p>
        </w:tc>
        <w:tc>
          <w:tcPr>
            <w:tcW w:type="dxa" w:w="2160"/>
          </w:tcPr>
          <w:p>
            <w:r>
              <w:t>Yes</w:t>
            </w:r>
          </w:p>
        </w:tc>
        <w:tc>
          <w:tcPr>
            <w:tcW w:type="dxa" w:w="2160"/>
          </w:tcPr>
          <w:p>
            <w:r>
              <w:t>No</w:t>
            </w:r>
          </w:p>
        </w:tc>
        <w:tc>
          <w:tcPr>
            <w:tcW w:type="dxa" w:w="2160"/>
          </w:tcPr>
          <w:p>
            <w:r>
              <w:t>Add remote access restrictions, logging, incident notification, and onward transfer controls.</w:t>
            </w:r>
          </w:p>
        </w:tc>
      </w:tr>
      <w:tr>
        <w:tc>
          <w:tcPr>
            <w:tcW w:type="dxa" w:w="2160"/>
          </w:tcPr>
          <w:p>
            <w:r>
              <w:t>T-04</w:t>
            </w:r>
          </w:p>
        </w:tc>
        <w:tc>
          <w:tcPr>
            <w:tcW w:type="dxa" w:w="2160"/>
          </w:tcPr>
          <w:p>
            <w:r>
              <w:t>Yes</w:t>
            </w:r>
          </w:p>
        </w:tc>
        <w:tc>
          <w:tcPr>
            <w:tcW w:type="dxa" w:w="2160"/>
          </w:tcPr>
          <w:p>
            <w:r>
              <w:t>Partial</w:t>
            </w:r>
          </w:p>
        </w:tc>
        <w:tc>
          <w:tcPr>
            <w:tcW w:type="dxa" w:w="2160"/>
          </w:tcPr>
          <w:p>
            <w:r>
              <w:t>Add deletion, analytics restrictions, and subprocessor notice terms.</w:t>
            </w:r>
          </w:p>
        </w:tc>
      </w:tr>
      <w:tr>
        <w:tc>
          <w:tcPr>
            <w:tcW w:type="dxa" w:w="2160"/>
          </w:tcPr>
          <w:p>
            <w:r>
              <w:t>T-05</w:t>
            </w:r>
          </w:p>
        </w:tc>
        <w:tc>
          <w:tcPr>
            <w:tcW w:type="dxa" w:w="2160"/>
          </w:tcPr>
          <w:p>
            <w:r>
              <w:t>Yes</w:t>
            </w:r>
          </w:p>
        </w:tc>
        <w:tc>
          <w:tcPr>
            <w:tcW w:type="dxa" w:w="2160"/>
          </w:tcPr>
          <w:p>
            <w:r>
              <w:t>Partial</w:t>
            </w:r>
          </w:p>
        </w:tc>
        <w:tc>
          <w:tcPr>
            <w:tcW w:type="dxa" w:w="2160"/>
          </w:tcPr>
          <w:p>
            <w:r>
              <w:t>Add backup deletion, encryption key, and restoration location commitments.</w:t>
            </w:r>
          </w:p>
        </w:tc>
      </w:tr>
    </w:tbl>
    <w:p>
      <w:r>
        <w:t>Impact: Weak contractual safeguards may limit the organisation’s ability to enforce privacy obligations, prevent onward transfers, obtain breach information, or require deletion of overseas personal data.</w:t>
      </w:r>
    </w:p>
    <w:p>
      <w:r>
        <w:t>Severity: High</w:t>
      </w:r>
    </w:p>
    <w:p>
      <w:r>
        <w:t>Status: Open</w:t>
      </w:r>
    </w:p>
    <w:p>
      <w:r>
        <w:t>---</w:t>
      </w:r>
    </w:p>
    <w:p>
      <w:pPr>
        <w:pStyle w:val="Heading3"/>
      </w:pPr>
      <w:r>
        <w:t>6. Technical and Organisational Safeguards</w:t>
      </w:r>
    </w:p>
    <w:p>
      <w:pPr>
        <w:pStyle w:val="Heading4"/>
      </w:pPr>
      <w:r>
        <w:t>Finding F-06 - Technical Controls Exist but Evidence Is Inconsistent</w:t>
      </w:r>
    </w:p>
    <w:p>
      <w:r>
        <w:t>The organisation and its major providers use several appropriate safeguards, including encryption, role-based access control, single sign-on, multi-factor authentication, logging, endpoint protection, and network security controls. However, evidence is inconsistent across all transfers, and some controls require formal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Current Position</w:t>
            </w:r>
          </w:p>
        </w:tc>
        <w:tc>
          <w:tcPr>
            <w:tcW w:type="dxa" w:w="2880"/>
          </w:tcPr>
          <w:p>
            <w:r>
              <w:t>Gap</w:t>
            </w:r>
          </w:p>
        </w:tc>
      </w:tr>
      <w:tr>
        <w:tc>
          <w:tcPr>
            <w:tcW w:type="dxa" w:w="2880"/>
          </w:tcPr>
          <w:p>
            <w:r>
              <w:t>Encryption in transit</w:t>
            </w:r>
          </w:p>
        </w:tc>
        <w:tc>
          <w:tcPr>
            <w:tcW w:type="dxa" w:w="2880"/>
          </w:tcPr>
          <w:p>
            <w:r>
              <w:t>Generally implemented using secure protocols</w:t>
            </w:r>
          </w:p>
        </w:tc>
        <w:tc>
          <w:tcPr>
            <w:tcW w:type="dxa" w:w="2880"/>
          </w:tcPr>
          <w:p>
            <w:r>
              <w:t>Evidence required for all APIs, integrations, and file transfers.</w:t>
            </w:r>
          </w:p>
        </w:tc>
      </w:tr>
      <w:tr>
        <w:tc>
          <w:tcPr>
            <w:tcW w:type="dxa" w:w="2880"/>
          </w:tcPr>
          <w:p>
            <w:r>
              <w:t>Encryption at rest</w:t>
            </w:r>
          </w:p>
        </w:tc>
        <w:tc>
          <w:tcPr>
            <w:tcW w:type="dxa" w:w="2880"/>
          </w:tcPr>
          <w:p>
            <w:r>
              <w:t>Implemented in major cloud platforms</w:t>
            </w:r>
          </w:p>
        </w:tc>
        <w:tc>
          <w:tcPr>
            <w:tcW w:type="dxa" w:w="2880"/>
          </w:tcPr>
          <w:p>
            <w:r>
              <w:t>Key ownership and key rotation evidence incomplete for some systems.</w:t>
            </w:r>
          </w:p>
        </w:tc>
      </w:tr>
      <w:tr>
        <w:tc>
          <w:tcPr>
            <w:tcW w:type="dxa" w:w="2880"/>
          </w:tcPr>
          <w:p>
            <w:r>
              <w:t>Access control</w:t>
            </w:r>
          </w:p>
        </w:tc>
        <w:tc>
          <w:tcPr>
            <w:tcW w:type="dxa" w:w="2880"/>
          </w:tcPr>
          <w:p>
            <w:r>
              <w:t>Role-based access used</w:t>
            </w:r>
          </w:p>
        </w:tc>
        <w:tc>
          <w:tcPr>
            <w:tcW w:type="dxa" w:w="2880"/>
          </w:tcPr>
          <w:p>
            <w:r>
              <w:t>Overseas support access approvals and periodic reviews require improvement.</w:t>
            </w:r>
          </w:p>
        </w:tc>
      </w:tr>
      <w:tr>
        <w:tc>
          <w:tcPr>
            <w:tcW w:type="dxa" w:w="2880"/>
          </w:tcPr>
          <w:p>
            <w:r>
              <w:t>Multi-factor authentication</w:t>
            </w:r>
          </w:p>
        </w:tc>
        <w:tc>
          <w:tcPr>
            <w:tcW w:type="dxa" w:w="2880"/>
          </w:tcPr>
          <w:p>
            <w:r>
              <w:t>Implemented for internal users and major providers</w:t>
            </w:r>
          </w:p>
        </w:tc>
        <w:tc>
          <w:tcPr>
            <w:tcW w:type="dxa" w:w="2880"/>
          </w:tcPr>
          <w:p>
            <w:r>
              <w:t>Not confirmed for all vendor administrative access.</w:t>
            </w:r>
          </w:p>
        </w:tc>
      </w:tr>
      <w:tr>
        <w:tc>
          <w:tcPr>
            <w:tcW w:type="dxa" w:w="2880"/>
          </w:tcPr>
          <w:p>
            <w:r>
              <w:t>Logging and monitoring</w:t>
            </w:r>
          </w:p>
        </w:tc>
        <w:tc>
          <w:tcPr>
            <w:tcW w:type="dxa" w:w="2880"/>
          </w:tcPr>
          <w:p>
            <w:r>
              <w:t>Available in core platforms</w:t>
            </w:r>
          </w:p>
        </w:tc>
        <w:tc>
          <w:tcPr>
            <w:tcW w:type="dxa" w:w="2880"/>
          </w:tcPr>
          <w:p>
            <w:r>
              <w:t>Logs are not consistently reviewed for overseas access events.</w:t>
            </w:r>
          </w:p>
        </w:tc>
      </w:tr>
      <w:tr>
        <w:tc>
          <w:tcPr>
            <w:tcW w:type="dxa" w:w="2880"/>
          </w:tcPr>
          <w:p>
            <w:r>
              <w:t>Data masking</w:t>
            </w:r>
          </w:p>
        </w:tc>
        <w:tc>
          <w:tcPr>
            <w:tcW w:type="dxa" w:w="2880"/>
          </w:tcPr>
          <w:p>
            <w:r>
              <w:t>Used in some testing environments</w:t>
            </w:r>
          </w:p>
        </w:tc>
        <w:tc>
          <w:tcPr>
            <w:tcW w:type="dxa" w:w="2880"/>
          </w:tcPr>
          <w:p>
            <w:r>
              <w:t>Not consistently applied to support, analytics, or training datasets.</w:t>
            </w:r>
          </w:p>
        </w:tc>
      </w:tr>
      <w:tr>
        <w:tc>
          <w:tcPr>
            <w:tcW w:type="dxa" w:w="2880"/>
          </w:tcPr>
          <w:p>
            <w:r>
              <w:t>Remote access</w:t>
            </w:r>
          </w:p>
        </w:tc>
        <w:tc>
          <w:tcPr>
            <w:tcW w:type="dxa" w:w="2880"/>
          </w:tcPr>
          <w:p>
            <w:r>
              <w:t>Controlled through support tools</w:t>
            </w:r>
          </w:p>
        </w:tc>
        <w:tc>
          <w:tcPr>
            <w:tcW w:type="dxa" w:w="2880"/>
          </w:tcPr>
          <w:p>
            <w:r>
              <w:t>Session recording and just-in-time access not consistently enforced.</w:t>
            </w:r>
          </w:p>
        </w:tc>
      </w:tr>
      <w:tr>
        <w:tc>
          <w:tcPr>
            <w:tcW w:type="dxa" w:w="2880"/>
          </w:tcPr>
          <w:p>
            <w:r>
              <w:t>Backup security</w:t>
            </w:r>
          </w:p>
        </w:tc>
        <w:tc>
          <w:tcPr>
            <w:tcW w:type="dxa" w:w="2880"/>
          </w:tcPr>
          <w:p>
            <w:r>
              <w:t>Encrypted backups used</w:t>
            </w:r>
          </w:p>
        </w:tc>
        <w:tc>
          <w:tcPr>
            <w:tcW w:type="dxa" w:w="2880"/>
          </w:tcPr>
          <w:p>
            <w:r>
              <w:t>Backup retention, restoration testing, and destruction evidence require improvement.</w:t>
            </w:r>
          </w:p>
        </w:tc>
      </w:tr>
      <w:tr>
        <w:tc>
          <w:tcPr>
            <w:tcW w:type="dxa" w:w="2880"/>
          </w:tcPr>
          <w:p>
            <w:r>
              <w:t>Secure deletion</w:t>
            </w:r>
          </w:p>
        </w:tc>
        <w:tc>
          <w:tcPr>
            <w:tcW w:type="dxa" w:w="2880"/>
          </w:tcPr>
          <w:p>
            <w:r>
              <w:t>Available in major systems</w:t>
            </w:r>
          </w:p>
        </w:tc>
        <w:tc>
          <w:tcPr>
            <w:tcW w:type="dxa" w:w="2880"/>
          </w:tcPr>
          <w:p>
            <w:r>
              <w:t>Deletion certificates or equivalent evidence not consistently obtained.</w:t>
            </w:r>
          </w:p>
        </w:tc>
      </w:tr>
    </w:tbl>
    <w:p>
      <w:r>
        <w:t>Impact: Incomplete technical evidence may weaken the organisation’s ability to demonstrate that personal data remains protected after transfer.</w:t>
      </w:r>
    </w:p>
    <w:p>
      <w:r>
        <w:t>Severity: Medium</w:t>
      </w:r>
    </w:p>
    <w:p>
      <w:r>
        <w:t>Status: Open</w:t>
      </w:r>
    </w:p>
    <w:p>
      <w:r>
        <w:t>---</w:t>
      </w:r>
    </w:p>
    <w:p>
      <w:pPr>
        <w:pStyle w:val="Heading3"/>
      </w:pPr>
      <w:r>
        <w:t>7. Data Minimisation and Sensitive Personal Data</w:t>
      </w:r>
    </w:p>
    <w:p>
      <w:pPr>
        <w:pStyle w:val="Heading4"/>
      </w:pPr>
      <w:r>
        <w:t>Finding F-07 - Some Transfers Include More Personal Data Than Necessary</w:t>
      </w:r>
    </w:p>
    <w:p>
      <w:r>
        <w:t>The assessment identified transfers where data exports, integrations, or support access may include fields beyond what is required for the stated purpose.</w:t>
      </w:r>
    </w:p>
    <w:p>
      <w:r>
        <w:t>Examples requiring remediation:</w:t>
      </w:r>
    </w:p>
    <w:tbl>
      <w:tblPr>
        <w:tblStyle w:val="TableGrid"/>
        <w:tblW w:type="auto" w:w="0"/>
        <w:tblLook w:firstColumn="1" w:firstRow="1" w:lastColumn="0" w:lastRow="0" w:noHBand="0" w:noVBand="1" w:val="04A0"/>
      </w:tblPr>
      <w:tblGrid>
        <w:gridCol w:w="2880"/>
        <w:gridCol w:w="2880"/>
        <w:gridCol w:w="2880"/>
      </w:tblGrid>
      <w:tr>
        <w:tc>
          <w:tcPr>
            <w:tcW w:type="dxa" w:w="2880"/>
          </w:tcPr>
          <w:p>
            <w:r>
              <w:t>Transfer Ref.</w:t>
            </w:r>
          </w:p>
        </w:tc>
        <w:tc>
          <w:tcPr>
            <w:tcW w:type="dxa" w:w="2880"/>
          </w:tcPr>
          <w:p>
            <w:r>
              <w:t>Potential Excess Data</w:t>
            </w:r>
          </w:p>
        </w:tc>
        <w:tc>
          <w:tcPr>
            <w:tcW w:type="dxa" w:w="2880"/>
          </w:tcPr>
          <w:p>
            <w:r>
              <w:t>Required Action</w:t>
            </w:r>
          </w:p>
        </w:tc>
      </w:tr>
      <w:tr>
        <w:tc>
          <w:tcPr>
            <w:tcW w:type="dxa" w:w="2880"/>
          </w:tcPr>
          <w:p>
            <w:r>
              <w:t>T-03</w:t>
            </w:r>
          </w:p>
        </w:tc>
        <w:tc>
          <w:tcPr>
            <w:tcW w:type="dxa" w:w="2880"/>
          </w:tcPr>
          <w:p>
            <w:r>
              <w:t>Full customer records visible during IT support troubleshooting</w:t>
            </w:r>
          </w:p>
        </w:tc>
        <w:tc>
          <w:tcPr>
            <w:tcW w:type="dxa" w:w="2880"/>
          </w:tcPr>
          <w:p>
            <w:r>
              <w:t>Implement restricted views, masked data, and incident-specific elevation.</w:t>
            </w:r>
          </w:p>
        </w:tc>
      </w:tr>
      <w:tr>
        <w:tc>
          <w:tcPr>
            <w:tcW w:type="dxa" w:w="2880"/>
          </w:tcPr>
          <w:p>
            <w:r>
              <w:t>T-04</w:t>
            </w:r>
          </w:p>
        </w:tc>
        <w:tc>
          <w:tcPr>
            <w:tcW w:type="dxa" w:w="2880"/>
          </w:tcPr>
          <w:p>
            <w:r>
              <w:t>Customer account history included in marketing segmentation exports</w:t>
            </w:r>
          </w:p>
        </w:tc>
        <w:tc>
          <w:tcPr>
            <w:tcW w:type="dxa" w:w="2880"/>
          </w:tcPr>
          <w:p>
            <w:r>
              <w:t>Limit exports to contact details, preferences, and relevant segmentation attributes.</w:t>
            </w:r>
          </w:p>
        </w:tc>
      </w:tr>
      <w:tr>
        <w:tc>
          <w:tcPr>
            <w:tcW w:type="dxa" w:w="2880"/>
          </w:tcPr>
          <w:p>
            <w:r>
              <w:t>T-02</w:t>
            </w:r>
          </w:p>
        </w:tc>
        <w:tc>
          <w:tcPr>
            <w:tcW w:type="dxa" w:w="2880"/>
          </w:tcPr>
          <w:p>
            <w:r>
              <w:t>Employee documents accessible to payroll support teams beyond payroll requirements</w:t>
            </w:r>
          </w:p>
        </w:tc>
        <w:tc>
          <w:tcPr>
            <w:tcW w:type="dxa" w:w="2880"/>
          </w:tcPr>
          <w:p>
            <w:r>
              <w:t>Restrict access to payroll-relevant records only.</w:t>
            </w:r>
          </w:p>
        </w:tc>
      </w:tr>
      <w:tr>
        <w:tc>
          <w:tcPr>
            <w:tcW w:type="dxa" w:w="2880"/>
          </w:tcPr>
          <w:p>
            <w:r>
              <w:t>T-05</w:t>
            </w:r>
          </w:p>
        </w:tc>
        <w:tc>
          <w:tcPr>
            <w:tcW w:type="dxa" w:w="2880"/>
          </w:tcPr>
          <w:p>
            <w:r>
              <w:t>Full backup replicas include all system data</w:t>
            </w:r>
          </w:p>
        </w:tc>
        <w:tc>
          <w:tcPr>
            <w:tcW w:type="dxa" w:w="2880"/>
          </w:tcPr>
          <w:p>
            <w:r>
              <w:t>Confirm encryption, limited restoration access, and documented justification for full replication.</w:t>
            </w:r>
          </w:p>
        </w:tc>
      </w:tr>
    </w:tbl>
    <w:p>
      <w:r>
        <w:t>Sensitive personal data requires enhanced scrutiny before transfer. This includes data that could materially affect an individual’s privacy, dignity, employment, health, finances, safety, or legal rights.</w:t>
      </w:r>
    </w:p>
    <w:p>
      <w:r>
        <w:t>Impact: Excessive transfers increase exposure in the event of unauthorised access, breach, misuse, or onward transfer.</w:t>
      </w:r>
    </w:p>
    <w:p>
      <w:r>
        <w:t>Severity: Medium</w:t>
      </w:r>
    </w:p>
    <w:p>
      <w:r>
        <w:t>Status: Open</w:t>
      </w:r>
    </w:p>
    <w:p>
      <w:r>
        <w:t>---</w:t>
      </w:r>
    </w:p>
    <w:p>
      <w:pPr>
        <w:pStyle w:val="Heading3"/>
      </w:pPr>
      <w:r>
        <w:t>8. Data Subject Transparency and Rights</w:t>
      </w:r>
    </w:p>
    <w:p>
      <w:pPr>
        <w:pStyle w:val="Heading4"/>
      </w:pPr>
      <w:r>
        <w:t>Finding F-08 - Privacy Notices Need Clearer Cross-Border Transfer Disclosures</w:t>
      </w:r>
    </w:p>
    <w:p>
      <w:r>
        <w:t>The organisation’s privacy notices refer generally to service providers and data processing, but do not consistently explain cross-border transfers in clear and accessible language.</w:t>
      </w:r>
    </w:p>
    <w:p>
      <w:r>
        <w:t>Notices should describe, where applicable:</w:t>
      </w:r>
    </w:p>
    <w:p>
      <w:pPr>
        <w:pStyle w:val="ListBullet"/>
      </w:pPr>
      <w:r>
        <w:t>That personal data may be transferred outside Saudi Arabia.</w:t>
      </w:r>
    </w:p>
    <w:p>
      <w:pPr>
        <w:pStyle w:val="ListBullet"/>
      </w:pPr>
      <w:r>
        <w:t>Categories of overseas recipients, such as cloud providers, group companies, IT support providers, payroll providers, and marketing platforms.</w:t>
      </w:r>
    </w:p>
    <w:p>
      <w:pPr>
        <w:pStyle w:val="ListBullet"/>
      </w:pPr>
      <w:r>
        <w:t>Purposes of overseas transfer.</w:t>
      </w:r>
    </w:p>
    <w:p>
      <w:pPr>
        <w:pStyle w:val="ListBullet"/>
      </w:pPr>
      <w:r>
        <w:t>Types of personal data transferred.</w:t>
      </w:r>
    </w:p>
    <w:p>
      <w:pPr>
        <w:pStyle w:val="ListBullet"/>
      </w:pPr>
      <w:r>
        <w:t>Safeguards used to protect the data.</w:t>
      </w:r>
    </w:p>
    <w:p>
      <w:pPr>
        <w:pStyle w:val="ListBullet"/>
      </w:pPr>
      <w:r>
        <w:t>How individuals can exercise their rights or raise concerns.</w:t>
      </w:r>
    </w:p>
    <w:p>
      <w:pPr>
        <w:pStyle w:val="ListBullet"/>
      </w:pPr>
      <w:r>
        <w:t>Where consent is used, what the individual is agreeing to and how consent may be withdrawn, subject to legal or contractual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Notice Type</w:t>
            </w:r>
          </w:p>
        </w:tc>
        <w:tc>
          <w:tcPr>
            <w:tcW w:type="dxa" w:w="2880"/>
          </w:tcPr>
          <w:p>
            <w:r>
              <w:t>Current Status</w:t>
            </w:r>
          </w:p>
        </w:tc>
        <w:tc>
          <w:tcPr>
            <w:tcW w:type="dxa" w:w="2880"/>
          </w:tcPr>
          <w:p>
            <w:r>
              <w:t>Required Update</w:t>
            </w:r>
          </w:p>
        </w:tc>
      </w:tr>
      <w:tr>
        <w:tc>
          <w:tcPr>
            <w:tcW w:type="dxa" w:w="2880"/>
          </w:tcPr>
          <w:p>
            <w:r>
              <w:t>Customer privacy notice</w:t>
            </w:r>
          </w:p>
        </w:tc>
        <w:tc>
          <w:tcPr>
            <w:tcW w:type="dxa" w:w="2880"/>
          </w:tcPr>
          <w:p>
            <w:r>
              <w:t>Partial</w:t>
            </w:r>
          </w:p>
        </w:tc>
        <w:tc>
          <w:tcPr>
            <w:tcW w:type="dxa" w:w="2880"/>
          </w:tcPr>
          <w:p>
            <w:r>
              <w:t>Add clearer transfer purposes, recipient categories, and safeguards.</w:t>
            </w:r>
          </w:p>
        </w:tc>
      </w:tr>
      <w:tr>
        <w:tc>
          <w:tcPr>
            <w:tcW w:type="dxa" w:w="2880"/>
          </w:tcPr>
          <w:p>
            <w:r>
              <w:t>Employee privacy notice</w:t>
            </w:r>
          </w:p>
        </w:tc>
        <w:tc>
          <w:tcPr>
            <w:tcW w:type="dxa" w:w="2880"/>
          </w:tcPr>
          <w:p>
            <w:r>
              <w:t>Partial</w:t>
            </w:r>
          </w:p>
        </w:tc>
        <w:tc>
          <w:tcPr>
            <w:tcW w:type="dxa" w:w="2880"/>
          </w:tcPr>
          <w:p>
            <w:r>
              <w:t>Add HR, payroll, group administration, and overseas support disclosures.</w:t>
            </w:r>
          </w:p>
        </w:tc>
      </w:tr>
      <w:tr>
        <w:tc>
          <w:tcPr>
            <w:tcW w:type="dxa" w:w="2880"/>
          </w:tcPr>
          <w:p>
            <w:r>
              <w:t>Website privacy notice</w:t>
            </w:r>
          </w:p>
        </w:tc>
        <w:tc>
          <w:tcPr>
            <w:tcW w:type="dxa" w:w="2880"/>
          </w:tcPr>
          <w:p>
            <w:r>
              <w:t>Partial</w:t>
            </w:r>
          </w:p>
        </w:tc>
        <w:tc>
          <w:tcPr>
            <w:tcW w:type="dxa" w:w="2880"/>
          </w:tcPr>
          <w:p>
            <w:r>
              <w:t>Add analytics, marketing platforms, cookies, and overseas vendor processing.</w:t>
            </w:r>
          </w:p>
        </w:tc>
      </w:tr>
      <w:tr>
        <w:tc>
          <w:tcPr>
            <w:tcW w:type="dxa" w:w="2880"/>
          </w:tcPr>
          <w:p>
            <w:r>
              <w:t>Vendor / supplier notice</w:t>
            </w:r>
          </w:p>
        </w:tc>
        <w:tc>
          <w:tcPr>
            <w:tcW w:type="dxa" w:w="2880"/>
          </w:tcPr>
          <w:p>
            <w:r>
              <w:t>Not confirmed</w:t>
            </w:r>
          </w:p>
        </w:tc>
        <w:tc>
          <w:tcPr>
            <w:tcW w:type="dxa" w:w="2880"/>
          </w:tcPr>
          <w:p>
            <w:r>
              <w:t>Confirm whether supplier contacts are covered.</w:t>
            </w:r>
          </w:p>
        </w:tc>
      </w:tr>
      <w:tr>
        <w:tc>
          <w:tcPr>
            <w:tcW w:type="dxa" w:w="2880"/>
          </w:tcPr>
          <w:p>
            <w:r>
              <w:t>Mobile app notice</w:t>
            </w:r>
          </w:p>
        </w:tc>
        <w:tc>
          <w:tcPr>
            <w:tcW w:type="dxa" w:w="2880"/>
          </w:tcPr>
          <w:p>
            <w:r>
              <w:t>[Not assessed / Partial / Complete]</w:t>
            </w:r>
          </w:p>
        </w:tc>
        <w:tc>
          <w:tcPr>
            <w:tcW w:type="dxa" w:w="2880"/>
          </w:tcPr>
          <w:p>
            <w:r>
              <w:t>Confirm hosting, analytics, push notification, and crash reporting transfers.</w:t>
            </w:r>
          </w:p>
        </w:tc>
      </w:tr>
    </w:tbl>
    <w:p>
      <w:r>
        <w:t>Impact: Incomplete transparency may impair individuals’ ability to understand how their personal data is used and transferred.</w:t>
      </w:r>
    </w:p>
    <w:p>
      <w:r>
        <w:t>Severity: Medium</w:t>
      </w:r>
    </w:p>
    <w:p>
      <w:r>
        <w:t>Status: Open</w:t>
      </w:r>
    </w:p>
    <w:p>
      <w:r>
        <w:t>---</w:t>
      </w:r>
    </w:p>
    <w:p>
      <w:pPr>
        <w:pStyle w:val="Heading3"/>
      </w:pPr>
      <w:r>
        <w:t>9. Onward Transfers and Subprocessor Management</w:t>
      </w:r>
    </w:p>
    <w:p>
      <w:pPr>
        <w:pStyle w:val="Heading4"/>
      </w:pPr>
      <w:r>
        <w:t>Finding F-09 - Onward Transfer Controls Are Incomplete</w:t>
      </w:r>
    </w:p>
    <w:p>
      <w:r>
        <w:t>Several overseas recipients rely on affiliates, cloud infrastructure providers, customer support teams, security monitoring providers, and other subprocessors. The organisation does not consistently maintain current subprocessor lists or assess onward transfer locations.</w:t>
      </w:r>
    </w:p>
    <w:p>
      <w:r>
        <w:t>Required controls include:</w:t>
      </w:r>
    </w:p>
    <w:p>
      <w:pPr>
        <w:pStyle w:val="ListBullet"/>
      </w:pPr>
      <w:r>
        <w:t>Current subprocessor list for each overseas recipient.</w:t>
      </w:r>
    </w:p>
    <w:p>
      <w:pPr>
        <w:pStyle w:val="ListBullet"/>
      </w:pPr>
      <w:r>
        <w:t>Prior written approval or clear notification and objection process.</w:t>
      </w:r>
    </w:p>
    <w:p>
      <w:pPr>
        <w:pStyle w:val="ListBullet"/>
      </w:pPr>
      <w:r>
        <w:t>Equivalent privacy and security obligations imposed on subprocessors.</w:t>
      </w:r>
    </w:p>
    <w:p>
      <w:pPr>
        <w:pStyle w:val="ListBullet"/>
      </w:pPr>
      <w:r>
        <w:t>Confirmation of subprocessor countries and service roles.</w:t>
      </w:r>
    </w:p>
    <w:p>
      <w:pPr>
        <w:pStyle w:val="ListBullet"/>
      </w:pPr>
      <w:r>
        <w:t>Risk assessment of high-risk subprocessors.</w:t>
      </w:r>
    </w:p>
    <w:p>
      <w:pPr>
        <w:pStyle w:val="ListBullet"/>
      </w:pPr>
      <w:r>
        <w:t>Contractual restrictions on further onward transfers.</w:t>
      </w:r>
    </w:p>
    <w:p>
      <w:pPr>
        <w:pStyle w:val="ListBullet"/>
      </w:pPr>
      <w:r>
        <w:t>Timely notification of subprocessor changes.</w:t>
      </w:r>
    </w:p>
    <w:p>
      <w:pPr>
        <w:pStyle w:val="ListBullet"/>
      </w:pPr>
      <w:r>
        <w:t>Ability to object, terminate, or apply additional safeguards where risk is unacceptable.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Transfer Ref.</w:t>
            </w:r>
          </w:p>
        </w:tc>
        <w:tc>
          <w:tcPr>
            <w:tcW w:type="dxa" w:w="1728"/>
          </w:tcPr>
          <w:p>
            <w:r>
              <w:t>Subprocessor List Available</w:t>
            </w:r>
          </w:p>
        </w:tc>
        <w:tc>
          <w:tcPr>
            <w:tcW w:type="dxa" w:w="1728"/>
          </w:tcPr>
          <w:p>
            <w:r>
              <w:t>Change Notification</w:t>
            </w:r>
          </w:p>
        </w:tc>
        <w:tc>
          <w:tcPr>
            <w:tcW w:type="dxa" w:w="1728"/>
          </w:tcPr>
          <w:p>
            <w:r>
              <w:t>Risk Assessment Completed</w:t>
            </w:r>
          </w:p>
        </w:tc>
        <w:tc>
          <w:tcPr>
            <w:tcW w:type="dxa" w:w="1728"/>
          </w:tcPr>
          <w:p>
            <w:r>
              <w:t>Risk</w:t>
            </w:r>
          </w:p>
        </w:tc>
      </w:tr>
      <w:tr>
        <w:tc>
          <w:tcPr>
            <w:tcW w:type="dxa" w:w="1728"/>
          </w:tcPr>
          <w:p>
            <w:r>
              <w:t>T-01</w:t>
            </w:r>
          </w:p>
        </w:tc>
        <w:tc>
          <w:tcPr>
            <w:tcW w:type="dxa" w:w="1728"/>
          </w:tcPr>
          <w:p>
            <w:r>
              <w:t>Yes</w:t>
            </w:r>
          </w:p>
        </w:tc>
        <w:tc>
          <w:tcPr>
            <w:tcW w:type="dxa" w:w="1728"/>
          </w:tcPr>
          <w:p>
            <w:r>
              <w:t>Yes</w:t>
            </w:r>
          </w:p>
        </w:tc>
        <w:tc>
          <w:tcPr>
            <w:tcW w:type="dxa" w:w="1728"/>
          </w:tcPr>
          <w:p>
            <w:r>
              <w:t>Partial</w:t>
            </w:r>
          </w:p>
        </w:tc>
        <w:tc>
          <w:tcPr>
            <w:tcW w:type="dxa" w:w="1728"/>
          </w:tcPr>
          <w:p>
            <w:r>
              <w:t>Medium</w:t>
            </w:r>
          </w:p>
        </w:tc>
      </w:tr>
      <w:tr>
        <w:tc>
          <w:tcPr>
            <w:tcW w:type="dxa" w:w="1728"/>
          </w:tcPr>
          <w:p>
            <w:r>
              <w:t>T-02</w:t>
            </w:r>
          </w:p>
        </w:tc>
        <w:tc>
          <w:tcPr>
            <w:tcW w:type="dxa" w:w="1728"/>
          </w:tcPr>
          <w:p>
            <w:r>
              <w:t>No</w:t>
            </w:r>
          </w:p>
        </w:tc>
        <w:tc>
          <w:tcPr>
            <w:tcW w:type="dxa" w:w="1728"/>
          </w:tcPr>
          <w:p>
            <w:r>
              <w:t>No</w:t>
            </w:r>
          </w:p>
        </w:tc>
        <w:tc>
          <w:tcPr>
            <w:tcW w:type="dxa" w:w="1728"/>
          </w:tcPr>
          <w:p>
            <w:r>
              <w:t>No</w:t>
            </w:r>
          </w:p>
        </w:tc>
        <w:tc>
          <w:tcPr>
            <w:tcW w:type="dxa" w:w="1728"/>
          </w:tcPr>
          <w:p>
            <w:r>
              <w:t>High</w:t>
            </w:r>
          </w:p>
        </w:tc>
      </w:tr>
      <w:tr>
        <w:tc>
          <w:tcPr>
            <w:tcW w:type="dxa" w:w="1728"/>
          </w:tcPr>
          <w:p>
            <w:r>
              <w:t>T-03</w:t>
            </w:r>
          </w:p>
        </w:tc>
        <w:tc>
          <w:tcPr>
            <w:tcW w:type="dxa" w:w="1728"/>
          </w:tcPr>
          <w:p>
            <w:r>
              <w:t>Partial</w:t>
            </w:r>
          </w:p>
        </w:tc>
        <w:tc>
          <w:tcPr>
            <w:tcW w:type="dxa" w:w="1728"/>
          </w:tcPr>
          <w:p>
            <w:r>
              <w:t>No</w:t>
            </w:r>
          </w:p>
        </w:tc>
        <w:tc>
          <w:tcPr>
            <w:tcW w:type="dxa" w:w="1728"/>
          </w:tcPr>
          <w:p>
            <w:r>
              <w:t>No</w:t>
            </w:r>
          </w:p>
        </w:tc>
        <w:tc>
          <w:tcPr>
            <w:tcW w:type="dxa" w:w="1728"/>
          </w:tcPr>
          <w:p>
            <w:r>
              <w:t>High</w:t>
            </w:r>
          </w:p>
        </w:tc>
      </w:tr>
      <w:tr>
        <w:tc>
          <w:tcPr>
            <w:tcW w:type="dxa" w:w="1728"/>
          </w:tcPr>
          <w:p>
            <w:r>
              <w:t>T-04</w:t>
            </w:r>
          </w:p>
        </w:tc>
        <w:tc>
          <w:tcPr>
            <w:tcW w:type="dxa" w:w="1728"/>
          </w:tcPr>
          <w:p>
            <w:r>
              <w:t>Yes</w:t>
            </w:r>
          </w:p>
        </w:tc>
        <w:tc>
          <w:tcPr>
            <w:tcW w:type="dxa" w:w="1728"/>
          </w:tcPr>
          <w:p>
            <w:r>
              <w:t>Partial</w:t>
            </w:r>
          </w:p>
        </w:tc>
        <w:tc>
          <w:tcPr>
            <w:tcW w:type="dxa" w:w="1728"/>
          </w:tcPr>
          <w:p>
            <w:r>
              <w:t>Partial</w:t>
            </w:r>
          </w:p>
        </w:tc>
        <w:tc>
          <w:tcPr>
            <w:tcW w:type="dxa" w:w="1728"/>
          </w:tcPr>
          <w:p>
            <w:r>
              <w:t>Medium</w:t>
            </w:r>
          </w:p>
        </w:tc>
      </w:tr>
      <w:tr>
        <w:tc>
          <w:tcPr>
            <w:tcW w:type="dxa" w:w="1728"/>
          </w:tcPr>
          <w:p>
            <w:r>
              <w:t>T-05</w:t>
            </w:r>
          </w:p>
        </w:tc>
        <w:tc>
          <w:tcPr>
            <w:tcW w:type="dxa" w:w="1728"/>
          </w:tcPr>
          <w:p>
            <w:r>
              <w:t>Yes</w:t>
            </w:r>
          </w:p>
        </w:tc>
        <w:tc>
          <w:tcPr>
            <w:tcW w:type="dxa" w:w="1728"/>
          </w:tcPr>
          <w:p>
            <w:r>
              <w:t>Yes</w:t>
            </w:r>
          </w:p>
        </w:tc>
        <w:tc>
          <w:tcPr>
            <w:tcW w:type="dxa" w:w="1728"/>
          </w:tcPr>
          <w:p>
            <w:r>
              <w:t>Partial</w:t>
            </w:r>
          </w:p>
        </w:tc>
        <w:tc>
          <w:tcPr>
            <w:tcW w:type="dxa" w:w="1728"/>
          </w:tcPr>
          <w:p>
            <w:r>
              <w:t>Medium</w:t>
            </w:r>
          </w:p>
        </w:tc>
      </w:tr>
    </w:tbl>
    <w:p>
      <w:r>
        <w:t>Impact: Without onward transfer controls, personal data may be processed in unassessed countries or by unapproved entities.</w:t>
      </w:r>
    </w:p>
    <w:p>
      <w:r>
        <w:t>Severity: High</w:t>
      </w:r>
    </w:p>
    <w:p>
      <w:r>
        <w:t>Status: Open</w:t>
      </w:r>
    </w:p>
    <w:p>
      <w:r>
        <w:t>---</w:t>
      </w:r>
    </w:p>
    <w:p>
      <w:pPr>
        <w:pStyle w:val="Heading3"/>
      </w:pPr>
      <w:r>
        <w:t>10. Retention, Deletion, and Return of Data</w:t>
      </w:r>
    </w:p>
    <w:p>
      <w:pPr>
        <w:pStyle w:val="Heading4"/>
      </w:pPr>
      <w:r>
        <w:t>Finding F-10 - Overseas Retention and Deletion Evidence Is Incomplete</w:t>
      </w:r>
    </w:p>
    <w:p>
      <w:r>
        <w:t>The organisation has internal retention schedules, but these are not consistently reflected in overseas vendor contracts and operational procedures.</w:t>
      </w:r>
    </w:p>
    <w:p>
      <w:r>
        <w:t>Gaps include:</w:t>
      </w:r>
    </w:p>
    <w:p>
      <w:pPr>
        <w:pStyle w:val="ListBullet"/>
      </w:pPr>
      <w:r>
        <w:t>No consistent confirmation that overseas recipients apply the organisation’s retention schedule.</w:t>
      </w:r>
    </w:p>
    <w:p>
      <w:pPr>
        <w:pStyle w:val="ListBullet"/>
      </w:pPr>
      <w:r>
        <w:t>Limited evidence of deletion after contract termination.</w:t>
      </w:r>
    </w:p>
    <w:p>
      <w:pPr>
        <w:pStyle w:val="ListBullet"/>
      </w:pPr>
      <w:r>
        <w:t>Backup deletion timelines not clearly defined.</w:t>
      </w:r>
    </w:p>
    <w:p>
      <w:pPr>
        <w:pStyle w:val="ListBullet"/>
      </w:pPr>
      <w:r>
        <w:t>No standard deletion certificate template.</w:t>
      </w:r>
    </w:p>
    <w:p>
      <w:pPr>
        <w:pStyle w:val="ListBullet"/>
      </w:pPr>
      <w:r>
        <w:t>Unclear handling of residual data in logs, archives, and disaster recovery systems.</w:t>
      </w:r>
    </w:p>
    <w:p>
      <w:pPr>
        <w:pStyle w:val="ListBullet"/>
      </w:pPr>
      <w:r>
        <w:t>No documented process for verifying deletion after migration or vendor offboarding.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 Ref.</w:t>
            </w:r>
          </w:p>
        </w:tc>
        <w:tc>
          <w:tcPr>
            <w:tcW w:type="dxa" w:w="2160"/>
          </w:tcPr>
          <w:p>
            <w:r>
              <w:t>Retention Defined</w:t>
            </w:r>
          </w:p>
        </w:tc>
        <w:tc>
          <w:tcPr>
            <w:tcW w:type="dxa" w:w="2160"/>
          </w:tcPr>
          <w:p>
            <w:r>
              <w:t>Deletion Evidence Available</w:t>
            </w:r>
          </w:p>
        </w:tc>
        <w:tc>
          <w:tcPr>
            <w:tcW w:type="dxa" w:w="2160"/>
          </w:tcPr>
          <w:p>
            <w:r>
              <w:t>Gap</w:t>
            </w:r>
          </w:p>
        </w:tc>
      </w:tr>
      <w:tr>
        <w:tc>
          <w:tcPr>
            <w:tcW w:type="dxa" w:w="2160"/>
          </w:tcPr>
          <w:p>
            <w:r>
              <w:t>T-01</w:t>
            </w:r>
          </w:p>
        </w:tc>
        <w:tc>
          <w:tcPr>
            <w:tcW w:type="dxa" w:w="2160"/>
          </w:tcPr>
          <w:p>
            <w:r>
              <w:t>Partial</w:t>
            </w:r>
          </w:p>
        </w:tc>
        <w:tc>
          <w:tcPr>
            <w:tcW w:type="dxa" w:w="2160"/>
          </w:tcPr>
          <w:p>
            <w:r>
              <w:t>Partial</w:t>
            </w:r>
          </w:p>
        </w:tc>
        <w:tc>
          <w:tcPr>
            <w:tcW w:type="dxa" w:w="2160"/>
          </w:tcPr>
          <w:p>
            <w:r>
              <w:t>Need deletion evidence for inactive accounts and support data.</w:t>
            </w:r>
          </w:p>
        </w:tc>
      </w:tr>
      <w:tr>
        <w:tc>
          <w:tcPr>
            <w:tcW w:type="dxa" w:w="2160"/>
          </w:tcPr>
          <w:p>
            <w:r>
              <w:t>T-02</w:t>
            </w:r>
          </w:p>
        </w:tc>
        <w:tc>
          <w:tcPr>
            <w:tcW w:type="dxa" w:w="2160"/>
          </w:tcPr>
          <w:p>
            <w:r>
              <w:t>Partial</w:t>
            </w:r>
          </w:p>
        </w:tc>
        <w:tc>
          <w:tcPr>
            <w:tcW w:type="dxa" w:w="2160"/>
          </w:tcPr>
          <w:p>
            <w:r>
              <w:t>No</w:t>
            </w:r>
          </w:p>
        </w:tc>
        <w:tc>
          <w:tcPr>
            <w:tcW w:type="dxa" w:w="2160"/>
          </w:tcPr>
          <w:p>
            <w:r>
              <w:t>Payroll data retention and deletion certification required.</w:t>
            </w:r>
          </w:p>
        </w:tc>
      </w:tr>
      <w:tr>
        <w:tc>
          <w:tcPr>
            <w:tcW w:type="dxa" w:w="2160"/>
          </w:tcPr>
          <w:p>
            <w:r>
              <w:t>T-03</w:t>
            </w:r>
          </w:p>
        </w:tc>
        <w:tc>
          <w:tcPr>
            <w:tcW w:type="dxa" w:w="2160"/>
          </w:tcPr>
          <w:p>
            <w:r>
              <w:t>No</w:t>
            </w:r>
          </w:p>
        </w:tc>
        <w:tc>
          <w:tcPr>
            <w:tcW w:type="dxa" w:w="2160"/>
          </w:tcPr>
          <w:p>
            <w:r>
              <w:t>No</w:t>
            </w:r>
          </w:p>
        </w:tc>
        <w:tc>
          <w:tcPr>
            <w:tcW w:type="dxa" w:w="2160"/>
          </w:tcPr>
          <w:p>
            <w:r>
              <w:t>Support logs and exported diagnostic files not governed.</w:t>
            </w:r>
          </w:p>
        </w:tc>
      </w:tr>
      <w:tr>
        <w:tc>
          <w:tcPr>
            <w:tcW w:type="dxa" w:w="2160"/>
          </w:tcPr>
          <w:p>
            <w:r>
              <w:t>T-04</w:t>
            </w:r>
          </w:p>
        </w:tc>
        <w:tc>
          <w:tcPr>
            <w:tcW w:type="dxa" w:w="2160"/>
          </w:tcPr>
          <w:p>
            <w:r>
              <w:t>Partial</w:t>
            </w:r>
          </w:p>
        </w:tc>
        <w:tc>
          <w:tcPr>
            <w:tcW w:type="dxa" w:w="2160"/>
          </w:tcPr>
          <w:p>
            <w:r>
              <w:t>Partial</w:t>
            </w:r>
          </w:p>
        </w:tc>
        <w:tc>
          <w:tcPr>
            <w:tcW w:type="dxa" w:w="2160"/>
          </w:tcPr>
          <w:p>
            <w:r>
              <w:t>Campaign audience deletion evidence needed.</w:t>
            </w:r>
          </w:p>
        </w:tc>
      </w:tr>
      <w:tr>
        <w:tc>
          <w:tcPr>
            <w:tcW w:type="dxa" w:w="2160"/>
          </w:tcPr>
          <w:p>
            <w:r>
              <w:t>T-05</w:t>
            </w:r>
          </w:p>
        </w:tc>
        <w:tc>
          <w:tcPr>
            <w:tcW w:type="dxa" w:w="2160"/>
          </w:tcPr>
          <w:p>
            <w:r>
              <w:t>Partial</w:t>
            </w:r>
          </w:p>
        </w:tc>
        <w:tc>
          <w:tcPr>
            <w:tcW w:type="dxa" w:w="2160"/>
          </w:tcPr>
          <w:p>
            <w:r>
              <w:t>No</w:t>
            </w:r>
          </w:p>
        </w:tc>
        <w:tc>
          <w:tcPr>
            <w:tcW w:type="dxa" w:w="2160"/>
          </w:tcPr>
          <w:p>
            <w:r>
              <w:t>Backup destruction and restoration copy deletion evidence required.</w:t>
            </w:r>
          </w:p>
        </w:tc>
      </w:tr>
    </w:tbl>
    <w:p>
      <w:r>
        <w:t>Impact: Retaining personal data overseas longer than necessary increases privacy, legal, and security risk.</w:t>
      </w:r>
    </w:p>
    <w:p>
      <w:r>
        <w:t>Severity: Medium</w:t>
      </w:r>
    </w:p>
    <w:p>
      <w:r>
        <w:t>Status: Open</w:t>
      </w:r>
    </w:p>
    <w:p>
      <w:r>
        <w:t>---</w:t>
      </w:r>
    </w:p>
    <w:p>
      <w:pPr>
        <w:pStyle w:val="Heading3"/>
      </w:pPr>
      <w:r>
        <w:t>11. Incident Management and Breach Notification</w:t>
      </w:r>
    </w:p>
    <w:p>
      <w:pPr>
        <w:pStyle w:val="Heading4"/>
      </w:pPr>
      <w:r>
        <w:t>Finding F-11 - Vendor Incident Notification Terms Require Alignment</w:t>
      </w:r>
    </w:p>
    <w:p>
      <w:r>
        <w:t>The organisation maintains an incident response process. However, some overseas recipients’ contractual notification timelines, cooperation obligations, and evidence preservation requirements are not sufficiently specific.</w:t>
      </w:r>
    </w:p>
    <w:p>
      <w:r>
        <w:t>Contracts and operational runbooks should require overseas recipients to:</w:t>
      </w:r>
    </w:p>
    <w:p>
      <w:pPr>
        <w:pStyle w:val="ListBullet"/>
      </w:pPr>
      <w:r>
        <w:t>Notify the organisation promptly of actual or suspected unauthorised access, loss, disclosure, alteration, or unavailability affecting personal data.</w:t>
      </w:r>
    </w:p>
    <w:p>
      <w:pPr>
        <w:pStyle w:val="ListBullet"/>
      </w:pPr>
      <w:r>
        <w:t>Provide sufficient details to support containment, assessment, notification decisions, and regulatory engagement.</w:t>
      </w:r>
    </w:p>
    <w:p>
      <w:pPr>
        <w:pStyle w:val="ListBullet"/>
      </w:pPr>
      <w:r>
        <w:t>Preserve relevant logs and evidence.</w:t>
      </w:r>
    </w:p>
    <w:p>
      <w:pPr>
        <w:pStyle w:val="ListBullet"/>
      </w:pPr>
      <w:r>
        <w:t>Cooperate with investigation and remediation.</w:t>
      </w:r>
    </w:p>
    <w:p>
      <w:pPr>
        <w:pStyle w:val="ListBullet"/>
      </w:pPr>
      <w:r>
        <w:t>Notify the organisation before communicating externally about incidents involving the organisation’s data.</w:t>
      </w:r>
    </w:p>
    <w:p>
      <w:pPr>
        <w:pStyle w:val="ListBullet"/>
      </w:pPr>
      <w:r>
        <w:t>Maintain tested incident response capabilities.</w:t>
      </w:r>
    </w:p>
    <w:p>
      <w:pPr>
        <w:pStyle w:val="ListBullet"/>
      </w:pPr>
      <w:r>
        <w:t>Provide post-incident reports and corrective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 Ref.</w:t>
            </w:r>
          </w:p>
        </w:tc>
        <w:tc>
          <w:tcPr>
            <w:tcW w:type="dxa" w:w="2160"/>
          </w:tcPr>
          <w:p>
            <w:r>
              <w:t>Incident Terms Adequate</w:t>
            </w:r>
          </w:p>
        </w:tc>
        <w:tc>
          <w:tcPr>
            <w:tcW w:type="dxa" w:w="2160"/>
          </w:tcPr>
          <w:p>
            <w:r>
              <w:t>Operational Contact Defined</w:t>
            </w:r>
          </w:p>
        </w:tc>
        <w:tc>
          <w:tcPr>
            <w:tcW w:type="dxa" w:w="2160"/>
          </w:tcPr>
          <w:p>
            <w:r>
              <w:t>Gap</w:t>
            </w:r>
          </w:p>
        </w:tc>
      </w:tr>
      <w:tr>
        <w:tc>
          <w:tcPr>
            <w:tcW w:type="dxa" w:w="2160"/>
          </w:tcPr>
          <w:p>
            <w:r>
              <w:t>T-01</w:t>
            </w:r>
          </w:p>
        </w:tc>
        <w:tc>
          <w:tcPr>
            <w:tcW w:type="dxa" w:w="2160"/>
          </w:tcPr>
          <w:p>
            <w:r>
              <w:t>Partial</w:t>
            </w:r>
          </w:p>
        </w:tc>
        <w:tc>
          <w:tcPr>
            <w:tcW w:type="dxa" w:w="2160"/>
          </w:tcPr>
          <w:p>
            <w:r>
              <w:t>Yes</w:t>
            </w:r>
          </w:p>
        </w:tc>
        <w:tc>
          <w:tcPr>
            <w:tcW w:type="dxa" w:w="2160"/>
          </w:tcPr>
          <w:p>
            <w:r>
              <w:t>Require more specific Saudi escalation and reporting support.</w:t>
            </w:r>
          </w:p>
        </w:tc>
      </w:tr>
      <w:tr>
        <w:tc>
          <w:tcPr>
            <w:tcW w:type="dxa" w:w="2160"/>
          </w:tcPr>
          <w:p>
            <w:r>
              <w:t>T-02</w:t>
            </w:r>
          </w:p>
        </w:tc>
        <w:tc>
          <w:tcPr>
            <w:tcW w:type="dxa" w:w="2160"/>
          </w:tcPr>
          <w:p>
            <w:r>
              <w:t>No</w:t>
            </w:r>
          </w:p>
        </w:tc>
        <w:tc>
          <w:tcPr>
            <w:tcW w:type="dxa" w:w="2160"/>
          </w:tcPr>
          <w:p>
            <w:r>
              <w:t>Partial</w:t>
            </w:r>
          </w:p>
        </w:tc>
        <w:tc>
          <w:tcPr>
            <w:tcW w:type="dxa" w:w="2160"/>
          </w:tcPr>
          <w:p>
            <w:r>
              <w:t>Add prompt notification and investigation support.</w:t>
            </w:r>
          </w:p>
        </w:tc>
      </w:tr>
      <w:tr>
        <w:tc>
          <w:tcPr>
            <w:tcW w:type="dxa" w:w="2160"/>
          </w:tcPr>
          <w:p>
            <w:r>
              <w:t>T-03</w:t>
            </w:r>
          </w:p>
        </w:tc>
        <w:tc>
          <w:tcPr>
            <w:tcW w:type="dxa" w:w="2160"/>
          </w:tcPr>
          <w:p>
            <w:r>
              <w:t>No</w:t>
            </w:r>
          </w:p>
        </w:tc>
        <w:tc>
          <w:tcPr>
            <w:tcW w:type="dxa" w:w="2160"/>
          </w:tcPr>
          <w:p>
            <w:r>
              <w:t>Partial</w:t>
            </w:r>
          </w:p>
        </w:tc>
        <w:tc>
          <w:tcPr>
            <w:tcW w:type="dxa" w:w="2160"/>
          </w:tcPr>
          <w:p>
            <w:r>
              <w:t>Add breach notification, log preservation, and remote access evidence requirements.</w:t>
            </w:r>
          </w:p>
        </w:tc>
      </w:tr>
      <w:tr>
        <w:tc>
          <w:tcPr>
            <w:tcW w:type="dxa" w:w="2160"/>
          </w:tcPr>
          <w:p>
            <w:r>
              <w:t>T-04</w:t>
            </w:r>
          </w:p>
        </w:tc>
        <w:tc>
          <w:tcPr>
            <w:tcW w:type="dxa" w:w="2160"/>
          </w:tcPr>
          <w:p>
            <w:r>
              <w:t>Partial</w:t>
            </w:r>
          </w:p>
        </w:tc>
        <w:tc>
          <w:tcPr>
            <w:tcW w:type="dxa" w:w="2160"/>
          </w:tcPr>
          <w:p>
            <w:r>
              <w:t>Yes</w:t>
            </w:r>
          </w:p>
        </w:tc>
        <w:tc>
          <w:tcPr>
            <w:tcW w:type="dxa" w:w="2160"/>
          </w:tcPr>
          <w:p>
            <w:r>
              <w:t>Add campaign data exposure notification detail.</w:t>
            </w:r>
          </w:p>
        </w:tc>
      </w:tr>
      <w:tr>
        <w:tc>
          <w:tcPr>
            <w:tcW w:type="dxa" w:w="2160"/>
          </w:tcPr>
          <w:p>
            <w:r>
              <w:t>T-05</w:t>
            </w:r>
          </w:p>
        </w:tc>
        <w:tc>
          <w:tcPr>
            <w:tcW w:type="dxa" w:w="2160"/>
          </w:tcPr>
          <w:p>
            <w:r>
              <w:t>Partial</w:t>
            </w:r>
          </w:p>
        </w:tc>
        <w:tc>
          <w:tcPr>
            <w:tcW w:type="dxa" w:w="2160"/>
          </w:tcPr>
          <w:p>
            <w:r>
              <w:t>Yes</w:t>
            </w:r>
          </w:p>
        </w:tc>
        <w:tc>
          <w:tcPr>
            <w:tcW w:type="dxa" w:w="2160"/>
          </w:tcPr>
          <w:p>
            <w:r>
              <w:t>Add backup compromise and restoration integrity reporting.</w:t>
            </w:r>
          </w:p>
        </w:tc>
      </w:tr>
    </w:tbl>
    <w:p>
      <w:r>
        <w:t>Impact: Delayed or incomplete notification by overseas recipients may impair the organisation’s ability to protect individuals and meet external reporting obligations.</w:t>
      </w:r>
    </w:p>
    <w:p>
      <w:r>
        <w:t>Severity: Medium</w:t>
      </w:r>
    </w:p>
    <w:p>
      <w:r>
        <w:t>Status: Open</w:t>
      </w:r>
    </w:p>
    <w:p>
      <w:r>
        <w:t>---</w:t>
      </w:r>
    </w:p>
    <w:p>
      <w:pPr>
        <w:pStyle w:val="Heading3"/>
      </w:pPr>
      <w:r>
        <w:t>12. Transfer-by-Transfer Risk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Transfer Ref.</w:t>
            </w:r>
          </w:p>
        </w:tc>
        <w:tc>
          <w:tcPr>
            <w:tcW w:type="dxa" w:w="1234"/>
          </w:tcPr>
          <w:p>
            <w:r>
              <w:t>Transfer Description</w:t>
            </w:r>
          </w:p>
        </w:tc>
        <w:tc>
          <w:tcPr>
            <w:tcW w:type="dxa" w:w="1234"/>
          </w:tcPr>
          <w:p>
            <w:r>
              <w:t>Data Sensitivity</w:t>
            </w:r>
          </w:p>
        </w:tc>
        <w:tc>
          <w:tcPr>
            <w:tcW w:type="dxa" w:w="1234"/>
          </w:tcPr>
          <w:p>
            <w:r>
              <w:t>Destination Risk</w:t>
            </w:r>
          </w:p>
        </w:tc>
        <w:tc>
          <w:tcPr>
            <w:tcW w:type="dxa" w:w="1234"/>
          </w:tcPr>
          <w:p>
            <w:r>
              <w:t>Safeguard Maturity</w:t>
            </w:r>
          </w:p>
        </w:tc>
        <w:tc>
          <w:tcPr>
            <w:tcW w:type="dxa" w:w="1234"/>
          </w:tcPr>
          <w:p>
            <w:r>
              <w:t>Residual Risk</w:t>
            </w:r>
          </w:p>
        </w:tc>
        <w:tc>
          <w:tcPr>
            <w:tcW w:type="dxa" w:w="1234"/>
          </w:tcPr>
          <w:p>
            <w:r>
              <w:t>Recommended Decision</w:t>
            </w:r>
          </w:p>
        </w:tc>
      </w:tr>
      <w:tr>
        <w:tc>
          <w:tcPr>
            <w:tcW w:type="dxa" w:w="1234"/>
          </w:tcPr>
          <w:p>
            <w:r>
              <w:t>T-01</w:t>
            </w:r>
          </w:p>
        </w:tc>
        <w:tc>
          <w:tcPr>
            <w:tcW w:type="dxa" w:w="1234"/>
          </w:tcPr>
          <w:p>
            <w:r>
              <w:t>CRM cloud hosting and support</w:t>
            </w:r>
          </w:p>
        </w:tc>
        <w:tc>
          <w:tcPr>
            <w:tcW w:type="dxa" w:w="1234"/>
          </w:tcPr>
          <w:p>
            <w:r>
              <w:t>High</w:t>
            </w:r>
          </w:p>
        </w:tc>
        <w:tc>
          <w:tcPr>
            <w:tcW w:type="dxa" w:w="1234"/>
          </w:tcPr>
          <w:p>
            <w:r>
              <w:t>Medium</w:t>
            </w:r>
          </w:p>
        </w:tc>
        <w:tc>
          <w:tcPr>
            <w:tcW w:type="dxa" w:w="1234"/>
          </w:tcPr>
          <w:p>
            <w:r>
              <w:t>Medium</w:t>
            </w:r>
          </w:p>
        </w:tc>
        <w:tc>
          <w:tcPr>
            <w:tcW w:type="dxa" w:w="1234"/>
          </w:tcPr>
          <w:p>
            <w:r>
              <w:t>Medium</w:t>
            </w:r>
          </w:p>
        </w:tc>
        <w:tc>
          <w:tcPr>
            <w:tcW w:type="dxa" w:w="1234"/>
          </w:tcPr>
          <w:p>
            <w:r>
              <w:t>Conditional approval</w:t>
            </w:r>
          </w:p>
        </w:tc>
      </w:tr>
      <w:tr>
        <w:tc>
          <w:tcPr>
            <w:tcW w:type="dxa" w:w="1234"/>
          </w:tcPr>
          <w:p>
            <w:r>
              <w:t>T-02</w:t>
            </w:r>
          </w:p>
        </w:tc>
        <w:tc>
          <w:tcPr>
            <w:tcW w:type="dxa" w:w="1234"/>
          </w:tcPr>
          <w:p>
            <w:r>
              <w:t>HR and payroll processing</w:t>
            </w:r>
          </w:p>
        </w:tc>
        <w:tc>
          <w:tcPr>
            <w:tcW w:type="dxa" w:w="1234"/>
          </w:tcPr>
          <w:p>
            <w:r>
              <w:t>High</w:t>
            </w:r>
          </w:p>
        </w:tc>
        <w:tc>
          <w:tcPr>
            <w:tcW w:type="dxa" w:w="1234"/>
          </w:tcPr>
          <w:p>
            <w:r>
              <w:t>High</w:t>
            </w:r>
          </w:p>
        </w:tc>
        <w:tc>
          <w:tcPr>
            <w:tcW w:type="dxa" w:w="1234"/>
          </w:tcPr>
          <w:p>
            <w:r>
              <w:t>Low to Medium</w:t>
            </w:r>
          </w:p>
        </w:tc>
        <w:tc>
          <w:tcPr>
            <w:tcW w:type="dxa" w:w="1234"/>
          </w:tcPr>
          <w:p>
            <w:r>
              <w:t>High</w:t>
            </w:r>
          </w:p>
        </w:tc>
        <w:tc>
          <w:tcPr>
            <w:tcW w:type="dxa" w:w="1234"/>
          </w:tcPr>
          <w:p>
            <w:r>
              <w:t>Do not approve until remediation or obtain senior risk acceptance</w:t>
            </w:r>
          </w:p>
        </w:tc>
      </w:tr>
      <w:tr>
        <w:tc>
          <w:tcPr>
            <w:tcW w:type="dxa" w:w="1234"/>
          </w:tcPr>
          <w:p>
            <w:r>
              <w:t>T-03</w:t>
            </w:r>
          </w:p>
        </w:tc>
        <w:tc>
          <w:tcPr>
            <w:tcW w:type="dxa" w:w="1234"/>
          </w:tcPr>
          <w:p>
            <w:r>
              <w:t>Overseas IT service desk support</w:t>
            </w:r>
          </w:p>
        </w:tc>
        <w:tc>
          <w:tcPr>
            <w:tcW w:type="dxa" w:w="1234"/>
          </w:tcPr>
          <w:p>
            <w:r>
              <w:t>Medium to High</w:t>
            </w:r>
          </w:p>
        </w:tc>
        <w:tc>
          <w:tcPr>
            <w:tcW w:type="dxa" w:w="1234"/>
          </w:tcPr>
          <w:p>
            <w:r>
              <w:t>High</w:t>
            </w:r>
          </w:p>
        </w:tc>
        <w:tc>
          <w:tcPr>
            <w:tcW w:type="dxa" w:w="1234"/>
          </w:tcPr>
          <w:p>
            <w:r>
              <w:t>Low to Medium</w:t>
            </w:r>
          </w:p>
        </w:tc>
        <w:tc>
          <w:tcPr>
            <w:tcW w:type="dxa" w:w="1234"/>
          </w:tcPr>
          <w:p>
            <w:r>
              <w:t>High</w:t>
            </w:r>
          </w:p>
        </w:tc>
        <w:tc>
          <w:tcPr>
            <w:tcW w:type="dxa" w:w="1234"/>
          </w:tcPr>
          <w:p>
            <w:r>
              <w:t>Restrict pending remediation</w:t>
            </w:r>
          </w:p>
        </w:tc>
      </w:tr>
      <w:tr>
        <w:tc>
          <w:tcPr>
            <w:tcW w:type="dxa" w:w="1234"/>
          </w:tcPr>
          <w:p>
            <w:r>
              <w:t>T-04</w:t>
            </w:r>
          </w:p>
        </w:tc>
        <w:tc>
          <w:tcPr>
            <w:tcW w:type="dxa" w:w="1234"/>
          </w:tcPr>
          <w:p>
            <w:r>
              <w:t>Marketing communications platform</w:t>
            </w:r>
          </w:p>
        </w:tc>
        <w:tc>
          <w:tcPr>
            <w:tcW w:type="dxa" w:w="1234"/>
          </w:tcPr>
          <w:p>
            <w:r>
              <w:t>Medium</w:t>
            </w:r>
          </w:p>
        </w:tc>
        <w:tc>
          <w:tcPr>
            <w:tcW w:type="dxa" w:w="1234"/>
          </w:tcPr>
          <w:p>
            <w:r>
              <w:t>Medium</w:t>
            </w:r>
          </w:p>
        </w:tc>
        <w:tc>
          <w:tcPr>
            <w:tcW w:type="dxa" w:w="1234"/>
          </w:tcPr>
          <w:p>
            <w:r>
              <w:t>Medium</w:t>
            </w:r>
          </w:p>
        </w:tc>
        <w:tc>
          <w:tcPr>
            <w:tcW w:type="dxa" w:w="1234"/>
          </w:tcPr>
          <w:p>
            <w:r>
              <w:t>Medium</w:t>
            </w:r>
          </w:p>
        </w:tc>
        <w:tc>
          <w:tcPr>
            <w:tcW w:type="dxa" w:w="1234"/>
          </w:tcPr>
          <w:p>
            <w:r>
              <w:t>Conditional approval</w:t>
            </w:r>
          </w:p>
        </w:tc>
      </w:tr>
      <w:tr>
        <w:tc>
          <w:tcPr>
            <w:tcW w:type="dxa" w:w="1234"/>
          </w:tcPr>
          <w:p>
            <w:r>
              <w:t>T-05</w:t>
            </w:r>
          </w:p>
        </w:tc>
        <w:tc>
          <w:tcPr>
            <w:tcW w:type="dxa" w:w="1234"/>
          </w:tcPr>
          <w:p>
            <w:r>
              <w:t>Backup and disaster recovery replication</w:t>
            </w:r>
          </w:p>
        </w:tc>
        <w:tc>
          <w:tcPr>
            <w:tcW w:type="dxa" w:w="1234"/>
          </w:tcPr>
          <w:p>
            <w:r>
              <w:t>High</w:t>
            </w:r>
          </w:p>
        </w:tc>
        <w:tc>
          <w:tcPr>
            <w:tcW w:type="dxa" w:w="1234"/>
          </w:tcPr>
          <w:p>
            <w:r>
              <w:t>Medium</w:t>
            </w:r>
          </w:p>
        </w:tc>
        <w:tc>
          <w:tcPr>
            <w:tcW w:type="dxa" w:w="1234"/>
          </w:tcPr>
          <w:p>
            <w:r>
              <w:t>Medium</w:t>
            </w:r>
          </w:p>
        </w:tc>
        <w:tc>
          <w:tcPr>
            <w:tcW w:type="dxa" w:w="1234"/>
          </w:tcPr>
          <w:p>
            <w:r>
              <w:t>Medium</w:t>
            </w:r>
          </w:p>
        </w:tc>
        <w:tc>
          <w:tcPr>
            <w:tcW w:type="dxa" w:w="1234"/>
          </w:tcPr>
          <w:p>
            <w:r>
              <w:t>Conditional approval</w:t>
            </w:r>
          </w:p>
        </w:tc>
      </w:tr>
    </w:tbl>
    <w:p>
      <w:pPr>
        <w:pStyle w:val="Heading2"/>
      </w:pPr>
      <w:r>
        <w:t>Analysis</w:t>
      </w:r>
    </w:p>
    <w:p>
      <w:pPr>
        <w:pStyle w:val="Heading3"/>
      </w:pPr>
      <w:r>
        <w:t>Overall Compliance Position</w:t>
      </w:r>
    </w:p>
    <w:p>
      <w:r>
        <w:t>The organisation has a legitimate operational need for several cross-border transfers, and there is evidence that core security controls are in place for major systems. However, the current control environment is not yet sufficiently documented or standardised to demonstrate consistent compliance across all transfer activities.</w:t>
      </w:r>
    </w:p>
    <w:p>
      <w:r>
        <w:t>The most significant compliance gaps are:</w:t>
      </w:r>
    </w:p>
    <w:p>
      <w:pPr>
        <w:pStyle w:val="ListBullet"/>
      </w:pPr>
      <w:r>
        <w:t>Lack of a complete transfer register.</w:t>
      </w:r>
    </w:p>
    <w:p>
      <w:pPr>
        <w:pStyle w:val="ListBullet"/>
      </w:pPr>
      <w:r>
        <w:t>Incomplete destination country and recipient assessments.</w:t>
      </w:r>
    </w:p>
    <w:p>
      <w:pPr>
        <w:pStyle w:val="ListBullet"/>
      </w:pPr>
      <w:r>
        <w:t>Insufficiently specific contractual safeguards.</w:t>
      </w:r>
    </w:p>
    <w:p>
      <w:pPr>
        <w:pStyle w:val="ListBullet"/>
      </w:pPr>
      <w:r>
        <w:t>Weak visibility over onward transfers and subprocessors.</w:t>
      </w:r>
    </w:p>
    <w:p>
      <w:pPr>
        <w:pStyle w:val="ListBullet"/>
      </w:pPr>
      <w:r>
        <w:t>Inconsistent evidence of deletion and retention controls.</w:t>
      </w:r>
    </w:p>
    <w:p>
      <w:pPr>
        <w:pStyle w:val="ListBullet"/>
      </w:pPr>
      <w:r>
        <w:t>Incomplete data subject transparency.</w:t>
      </w:r>
    </w:p>
    <w:p>
      <w:r>
        <w:t>These issues do not necessarily mean that all transfers must stop immediately. They do mean that the organisation should apply a risk-based remediation programme and ensure that high-risk transfers are not approved without appropriate management oversight, legal review, and compensating safeguards.</w:t>
      </w:r>
    </w:p>
    <w:p>
      <w:pPr>
        <w:pStyle w:val="Heading3"/>
      </w:pPr>
      <w:r>
        <w:t>Adequacy and Safeguards Assessment</w:t>
      </w:r>
    </w:p>
    <w:p>
      <w:r>
        <w:t>A cross-border transfer should be supported by either an acceptable destination protection assessment or additional safeguards that compensate for destination or recipient risk.</w:t>
      </w:r>
    </w:p>
    <w:p>
      <w:r>
        <w:t>The following practical safeguards are most relevant to the assessed transfers:</w:t>
      </w:r>
    </w:p>
    <w:tbl>
      <w:tblPr>
        <w:tblStyle w:val="TableGrid"/>
        <w:tblW w:type="auto" w:w="0"/>
        <w:tblLook w:firstColumn="1" w:firstRow="1" w:lastColumn="0" w:lastRow="0" w:noHBand="0" w:noVBand="1" w:val="04A0"/>
      </w:tblPr>
      <w:tblGrid>
        <w:gridCol w:w="2880"/>
        <w:gridCol w:w="2880"/>
        <w:gridCol w:w="2880"/>
      </w:tblGrid>
      <w:tr>
        <w:tc>
          <w:tcPr>
            <w:tcW w:type="dxa" w:w="2880"/>
          </w:tcPr>
          <w:p>
            <w:r>
              <w:t>Safeguard Type</w:t>
            </w:r>
          </w:p>
        </w:tc>
        <w:tc>
          <w:tcPr>
            <w:tcW w:type="dxa" w:w="2880"/>
          </w:tcPr>
          <w:p>
            <w:r>
              <w:t>Applicability</w:t>
            </w:r>
          </w:p>
        </w:tc>
        <w:tc>
          <w:tcPr>
            <w:tcW w:type="dxa" w:w="2880"/>
          </w:tcPr>
          <w:p>
            <w:r>
              <w:t>Effectiveness</w:t>
            </w:r>
          </w:p>
        </w:tc>
      </w:tr>
      <w:tr>
        <w:tc>
          <w:tcPr>
            <w:tcW w:type="dxa" w:w="2880"/>
          </w:tcPr>
          <w:p>
            <w:r>
              <w:t>Destination country assessment</w:t>
            </w:r>
          </w:p>
        </w:tc>
        <w:tc>
          <w:tcPr>
            <w:tcW w:type="dxa" w:w="2880"/>
          </w:tcPr>
          <w:p>
            <w:r>
              <w:t>All transfers</w:t>
            </w:r>
          </w:p>
        </w:tc>
        <w:tc>
          <w:tcPr>
            <w:tcW w:type="dxa" w:w="2880"/>
          </w:tcPr>
          <w:p>
            <w:r>
              <w:t>Essential to determine whether legal and practical protection is acceptable.</w:t>
            </w:r>
          </w:p>
        </w:tc>
      </w:tr>
      <w:tr>
        <w:tc>
          <w:tcPr>
            <w:tcW w:type="dxa" w:w="2880"/>
          </w:tcPr>
          <w:p>
            <w:r>
              <w:t>Binding contractual terms</w:t>
            </w:r>
          </w:p>
        </w:tc>
        <w:tc>
          <w:tcPr>
            <w:tcW w:type="dxa" w:w="2880"/>
          </w:tcPr>
          <w:p>
            <w:r>
              <w:t>All vendor and group transfers</w:t>
            </w:r>
          </w:p>
        </w:tc>
        <w:tc>
          <w:tcPr>
            <w:tcW w:type="dxa" w:w="2880"/>
          </w:tcPr>
          <w:p>
            <w:r>
              <w:t>Essential to control recipient behaviour and onward transfers.</w:t>
            </w:r>
          </w:p>
        </w:tc>
      </w:tr>
      <w:tr>
        <w:tc>
          <w:tcPr>
            <w:tcW w:type="dxa" w:w="2880"/>
          </w:tcPr>
          <w:p>
            <w:r>
              <w:t>Encryption in transit and at rest</w:t>
            </w:r>
          </w:p>
        </w:tc>
        <w:tc>
          <w:tcPr>
            <w:tcW w:type="dxa" w:w="2880"/>
          </w:tcPr>
          <w:p>
            <w:r>
              <w:t>All electronic transfers and hosted data</w:t>
            </w:r>
          </w:p>
        </w:tc>
        <w:tc>
          <w:tcPr>
            <w:tcW w:type="dxa" w:w="2880"/>
          </w:tcPr>
          <w:p>
            <w:r>
              <w:t>Strong safeguard if keys are controlled and configurations are verified.</w:t>
            </w:r>
          </w:p>
        </w:tc>
      </w:tr>
      <w:tr>
        <w:tc>
          <w:tcPr>
            <w:tcW w:type="dxa" w:w="2880"/>
          </w:tcPr>
          <w:p>
            <w:r>
              <w:t>Access restriction and least privilege</w:t>
            </w:r>
          </w:p>
        </w:tc>
        <w:tc>
          <w:tcPr>
            <w:tcW w:type="dxa" w:w="2880"/>
          </w:tcPr>
          <w:p>
            <w:r>
              <w:t>All transfers involving hosted systems or support access</w:t>
            </w:r>
          </w:p>
        </w:tc>
        <w:tc>
          <w:tcPr>
            <w:tcW w:type="dxa" w:w="2880"/>
          </w:tcPr>
          <w:p>
            <w:r>
              <w:t>Strong safeguard if reviewed and monitored regularly.</w:t>
            </w:r>
          </w:p>
        </w:tc>
      </w:tr>
      <w:tr>
        <w:tc>
          <w:tcPr>
            <w:tcW w:type="dxa" w:w="2880"/>
          </w:tcPr>
          <w:p>
            <w:r>
              <w:t>Data masking or pseudonymisation</w:t>
            </w:r>
          </w:p>
        </w:tc>
        <w:tc>
          <w:tcPr>
            <w:tcW w:type="dxa" w:w="2880"/>
          </w:tcPr>
          <w:p>
            <w:r>
              <w:t>Support, testing, analytics, marketing</w:t>
            </w:r>
          </w:p>
        </w:tc>
        <w:tc>
          <w:tcPr>
            <w:tcW w:type="dxa" w:w="2880"/>
          </w:tcPr>
          <w:p>
            <w:r>
              <w:t>Strong safeguard where direct identifiers are not needed.</w:t>
            </w:r>
          </w:p>
        </w:tc>
      </w:tr>
      <w:tr>
        <w:tc>
          <w:tcPr>
            <w:tcW w:type="dxa" w:w="2880"/>
          </w:tcPr>
          <w:p>
            <w:r>
              <w:t>Localisation or regional hosting</w:t>
            </w:r>
          </w:p>
        </w:tc>
        <w:tc>
          <w:tcPr>
            <w:tcW w:type="dxa" w:w="2880"/>
          </w:tcPr>
          <w:p>
            <w:r>
              <w:t>High-risk and sensitive data transfers</w:t>
            </w:r>
          </w:p>
        </w:tc>
        <w:tc>
          <w:tcPr>
            <w:tcW w:type="dxa" w:w="2880"/>
          </w:tcPr>
          <w:p>
            <w:r>
              <w:t>Strong safeguard where feasible, especially for sensitive data.</w:t>
            </w:r>
          </w:p>
        </w:tc>
      </w:tr>
      <w:tr>
        <w:tc>
          <w:tcPr>
            <w:tcW w:type="dxa" w:w="2880"/>
          </w:tcPr>
          <w:p>
            <w:r>
              <w:t>Prior approval for support access</w:t>
            </w:r>
          </w:p>
        </w:tc>
        <w:tc>
          <w:tcPr>
            <w:tcW w:type="dxa" w:w="2880"/>
          </w:tcPr>
          <w:p>
            <w:r>
              <w:t>Remote access scenarios</w:t>
            </w:r>
          </w:p>
        </w:tc>
        <w:tc>
          <w:tcPr>
            <w:tcW w:type="dxa" w:w="2880"/>
          </w:tcPr>
          <w:p>
            <w:r>
              <w:t>Strong safeguard when paired with logging and session recording.</w:t>
            </w:r>
          </w:p>
        </w:tc>
      </w:tr>
      <w:tr>
        <w:tc>
          <w:tcPr>
            <w:tcW w:type="dxa" w:w="2880"/>
          </w:tcPr>
          <w:p>
            <w:r>
              <w:t>Subprocessor approval controls</w:t>
            </w:r>
          </w:p>
        </w:tc>
        <w:tc>
          <w:tcPr>
            <w:tcW w:type="dxa" w:w="2880"/>
          </w:tcPr>
          <w:p>
            <w:r>
              <w:t>All outsourced processing</w:t>
            </w:r>
          </w:p>
        </w:tc>
        <w:tc>
          <w:tcPr>
            <w:tcW w:type="dxa" w:w="2880"/>
          </w:tcPr>
          <w:p>
            <w:r>
              <w:t>Essential to prevent uncontrolled onward transfers.</w:t>
            </w:r>
          </w:p>
        </w:tc>
      </w:tr>
      <w:tr>
        <w:tc>
          <w:tcPr>
            <w:tcW w:type="dxa" w:w="2880"/>
          </w:tcPr>
          <w:p>
            <w:r>
              <w:t>Deletion certification</w:t>
            </w:r>
          </w:p>
        </w:tc>
        <w:tc>
          <w:tcPr>
            <w:tcW w:type="dxa" w:w="2880"/>
          </w:tcPr>
          <w:p>
            <w:r>
              <w:t>Vendor offboarding and campaign processing</w:t>
            </w:r>
          </w:p>
        </w:tc>
        <w:tc>
          <w:tcPr>
            <w:tcW w:type="dxa" w:w="2880"/>
          </w:tcPr>
          <w:p>
            <w:r>
              <w:t>Important for retention compliance and evidence.</w:t>
            </w:r>
          </w:p>
        </w:tc>
      </w:tr>
      <w:tr>
        <w:tc>
          <w:tcPr>
            <w:tcW w:type="dxa" w:w="2880"/>
          </w:tcPr>
          <w:p>
            <w:r>
              <w:t>Breach notification obligations</w:t>
            </w:r>
          </w:p>
        </w:tc>
        <w:tc>
          <w:tcPr>
            <w:tcW w:type="dxa" w:w="2880"/>
          </w:tcPr>
          <w:p>
            <w:r>
              <w:t>All transfers</w:t>
            </w:r>
          </w:p>
        </w:tc>
        <w:tc>
          <w:tcPr>
            <w:tcW w:type="dxa" w:w="2880"/>
          </w:tcPr>
          <w:p>
            <w:r>
              <w:t>Essential to allow timely response and regulatory engagement.</w:t>
            </w:r>
          </w:p>
        </w:tc>
      </w:tr>
    </w:tbl>
    <w:p>
      <w:pPr>
        <w:pStyle w:val="Heading3"/>
      </w:pPr>
      <w:r>
        <w:t>Data Subject Risk Analysis</w:t>
      </w:r>
    </w:p>
    <w:p>
      <w:r>
        <w:t>Potential impacts to individuals include:</w:t>
      </w:r>
    </w:p>
    <w:p>
      <w:pPr>
        <w:pStyle w:val="ListBullet"/>
      </w:pPr>
      <w:r>
        <w:t>Unauthorised disclosure of identity, contact, financial, employment, or health information.</w:t>
      </w:r>
    </w:p>
    <w:p>
      <w:pPr>
        <w:pStyle w:val="ListBullet"/>
      </w:pPr>
      <w:r>
        <w:t>Misuse of data for purposes not communicated to individuals.</w:t>
      </w:r>
    </w:p>
    <w:p>
      <w:pPr>
        <w:pStyle w:val="ListBullet"/>
      </w:pPr>
      <w:r>
        <w:t>Reduced ability to exercise privacy rights if data is held by overseas recipients.</w:t>
      </w:r>
    </w:p>
    <w:p>
      <w:pPr>
        <w:pStyle w:val="ListBullet"/>
      </w:pPr>
      <w:r>
        <w:t>Exposure to countries where legal protections or remedies may be less accessible.</w:t>
      </w:r>
    </w:p>
    <w:p>
      <w:pPr>
        <w:pStyle w:val="ListBullet"/>
      </w:pPr>
      <w:r>
        <w:t>Increased harm if sensitive personal data is transferred without enhanced safeguards.</w:t>
      </w:r>
    </w:p>
    <w:p>
      <w:pPr>
        <w:pStyle w:val="ListBullet"/>
      </w:pPr>
      <w:r>
        <w:t>Risk of data being retained overseas beyond the business need.</w:t>
      </w:r>
    </w:p>
    <w:p>
      <w:pPr>
        <w:pStyle w:val="ListBullet"/>
      </w:pPr>
      <w:r>
        <w:t>Risk of onward transfer to unknown or unassessed third parties.</w:t>
      </w:r>
    </w:p>
    <w:p>
      <w:r>
        <w:t>The highest data subject risks are associated with HR/payroll data, remote IT support access, full system backups, and any transfer involving sensitive personal data.</w:t>
      </w:r>
    </w:p>
    <w:p>
      <w:pPr>
        <w:pStyle w:val="Heading3"/>
      </w:pPr>
      <w:r>
        <w:t>Business Risk Analysis</w:t>
      </w:r>
    </w:p>
    <w:p>
      <w:r>
        <w:t>Business risks include:</w:t>
      </w:r>
    </w:p>
    <w:p>
      <w:pPr>
        <w:pStyle w:val="ListBullet"/>
      </w:pPr>
      <w:r>
        <w:t>Regulatory scrutiny or enforcement action.</w:t>
      </w:r>
    </w:p>
    <w:p>
      <w:pPr>
        <w:pStyle w:val="ListBullet"/>
      </w:pPr>
      <w:r>
        <w:t>Required suspension of critical vendor services if transfers are found non-compliant.</w:t>
      </w:r>
    </w:p>
    <w:p>
      <w:pPr>
        <w:pStyle w:val="ListBullet"/>
      </w:pPr>
      <w:r>
        <w:t>Contractual disputes where vendor obligations are insufficient.</w:t>
      </w:r>
    </w:p>
    <w:p>
      <w:pPr>
        <w:pStyle w:val="ListBullet"/>
      </w:pPr>
      <w:r>
        <w:t>Reputational damage following overseas breach or misuse.</w:t>
      </w:r>
    </w:p>
    <w:p>
      <w:pPr>
        <w:pStyle w:val="ListBullet"/>
      </w:pPr>
      <w:r>
        <w:t>Inability to demonstrate accountability during audit or regulator inquiry.</w:t>
      </w:r>
    </w:p>
    <w:p>
      <w:pPr>
        <w:pStyle w:val="ListBullet"/>
      </w:pPr>
      <w:r>
        <w:t>Operational disruption if alternative domestic processing arrangements are required at short notice.</w:t>
      </w:r>
    </w:p>
    <w:p>
      <w:pPr>
        <w:pStyle w:val="Heading3"/>
      </w:pPr>
      <w:r>
        <w:t>Residual Risk Position</w:t>
      </w:r>
    </w:p>
    <w:p>
      <w:r>
        <w:t>After considering current controls, the residual risk profile is assessed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Risk Domain</w:t>
            </w:r>
          </w:p>
        </w:tc>
        <w:tc>
          <w:tcPr>
            <w:tcW w:type="dxa" w:w="2880"/>
          </w:tcPr>
          <w:p>
            <w:r>
              <w:t>Residual Risk</w:t>
            </w:r>
          </w:p>
        </w:tc>
        <w:tc>
          <w:tcPr>
            <w:tcW w:type="dxa" w:w="2880"/>
          </w:tcPr>
          <w:p>
            <w:r>
              <w:t>Rationale</w:t>
            </w:r>
          </w:p>
        </w:tc>
      </w:tr>
      <w:tr>
        <w:tc>
          <w:tcPr>
            <w:tcW w:type="dxa" w:w="2880"/>
          </w:tcPr>
          <w:p>
            <w:r>
              <w:t>Legal and regulatory</w:t>
            </w:r>
          </w:p>
        </w:tc>
        <w:tc>
          <w:tcPr>
            <w:tcW w:type="dxa" w:w="2880"/>
          </w:tcPr>
          <w:p>
            <w:r>
              <w:t>High</w:t>
            </w:r>
          </w:p>
        </w:tc>
        <w:tc>
          <w:tcPr>
            <w:tcW w:type="dxa" w:w="2880"/>
          </w:tcPr>
          <w:p>
            <w:r>
              <w:t>Documentation and contractual safeguards are incomplete for multiple transfers.</w:t>
            </w:r>
          </w:p>
        </w:tc>
      </w:tr>
      <w:tr>
        <w:tc>
          <w:tcPr>
            <w:tcW w:type="dxa" w:w="2880"/>
          </w:tcPr>
          <w:p>
            <w:r>
              <w:t>Privacy impact to individuals</w:t>
            </w:r>
          </w:p>
        </w:tc>
        <w:tc>
          <w:tcPr>
            <w:tcW w:type="dxa" w:w="2880"/>
          </w:tcPr>
          <w:p>
            <w:r>
              <w:t>Medium to High</w:t>
            </w:r>
          </w:p>
        </w:tc>
        <w:tc>
          <w:tcPr>
            <w:tcW w:type="dxa" w:w="2880"/>
          </w:tcPr>
          <w:p>
            <w:r>
              <w:t>Sensitive and high-volume data transfers require stronger minimisation and safeguards.</w:t>
            </w:r>
          </w:p>
        </w:tc>
      </w:tr>
      <w:tr>
        <w:tc>
          <w:tcPr>
            <w:tcW w:type="dxa" w:w="2880"/>
          </w:tcPr>
          <w:p>
            <w:r>
              <w:t>Information security</w:t>
            </w:r>
          </w:p>
        </w:tc>
        <w:tc>
          <w:tcPr>
            <w:tcW w:type="dxa" w:w="2880"/>
          </w:tcPr>
          <w:p>
            <w:r>
              <w:t>Medium</w:t>
            </w:r>
          </w:p>
        </w:tc>
        <w:tc>
          <w:tcPr>
            <w:tcW w:type="dxa" w:w="2880"/>
          </w:tcPr>
          <w:p>
            <w:r>
              <w:t>Core controls exist, but vendor evidence and monitoring are inconsistent.</w:t>
            </w:r>
          </w:p>
        </w:tc>
      </w:tr>
      <w:tr>
        <w:tc>
          <w:tcPr>
            <w:tcW w:type="dxa" w:w="2880"/>
          </w:tcPr>
          <w:p>
            <w:r>
              <w:t>Third-party management</w:t>
            </w:r>
          </w:p>
        </w:tc>
        <w:tc>
          <w:tcPr>
            <w:tcW w:type="dxa" w:w="2880"/>
          </w:tcPr>
          <w:p>
            <w:r>
              <w:t>High</w:t>
            </w:r>
          </w:p>
        </w:tc>
        <w:tc>
          <w:tcPr>
            <w:tcW w:type="dxa" w:w="2880"/>
          </w:tcPr>
          <w:p>
            <w:r>
              <w:t>Subprocessor and onward transfer controls require significant improvement.</w:t>
            </w:r>
          </w:p>
        </w:tc>
      </w:tr>
      <w:tr>
        <w:tc>
          <w:tcPr>
            <w:tcW w:type="dxa" w:w="2880"/>
          </w:tcPr>
          <w:p>
            <w:r>
              <w:t>Operational continuity</w:t>
            </w:r>
          </w:p>
        </w:tc>
        <w:tc>
          <w:tcPr>
            <w:tcW w:type="dxa" w:w="2880"/>
          </w:tcPr>
          <w:p>
            <w:r>
              <w:t>Medium</w:t>
            </w:r>
          </w:p>
        </w:tc>
        <w:tc>
          <w:tcPr>
            <w:tcW w:type="dxa" w:w="2880"/>
          </w:tcPr>
          <w:p>
            <w:r>
              <w:t>Transfers support critical services; remediation should avoid unnecessary disruption.</w:t>
            </w:r>
          </w:p>
        </w:tc>
      </w:tr>
      <w:tr>
        <w:tc>
          <w:tcPr>
            <w:tcW w:type="dxa" w:w="2880"/>
          </w:tcPr>
          <w:p>
            <w:r>
              <w:t>Audit readiness</w:t>
            </w:r>
          </w:p>
        </w:tc>
        <w:tc>
          <w:tcPr>
            <w:tcW w:type="dxa" w:w="2880"/>
          </w:tcPr>
          <w:p>
            <w:r>
              <w:t>High</w:t>
            </w:r>
          </w:p>
        </w:tc>
        <w:tc>
          <w:tcPr>
            <w:tcW w:type="dxa" w:w="2880"/>
          </w:tcPr>
          <w:p>
            <w:r>
              <w:t>Evidence is fragmented and not yet organised into a complete transfer compliance file.</w:t>
            </w:r>
          </w:p>
        </w:tc>
      </w:tr>
    </w:tbl>
    <w:p>
      <w:pPr>
        <w:pStyle w:val="Heading3"/>
      </w:pPr>
      <w:r>
        <w:t>Approval Considerations</w:t>
      </w:r>
    </w:p>
    <w:p>
      <w:r>
        <w:t>Transfers may be approved where all of the following are satisfied:</w:t>
      </w:r>
    </w:p>
    <w:p>
      <w:pPr>
        <w:pStyle w:val="ListBullet"/>
      </w:pPr>
      <w:r>
        <w:t>The transfer purpose is documented and necessary.</w:t>
      </w:r>
    </w:p>
    <w:p>
      <w:pPr>
        <w:pStyle w:val="ListBullet"/>
      </w:pPr>
      <w:r>
        <w:t>Data categories are limited to what is required.</w:t>
      </w:r>
    </w:p>
    <w:p>
      <w:pPr>
        <w:pStyle w:val="ListBullet"/>
      </w:pPr>
      <w:r>
        <w:t>The destination and recipient assessment is completed.</w:t>
      </w:r>
    </w:p>
    <w:p>
      <w:pPr>
        <w:pStyle w:val="ListBullet"/>
      </w:pPr>
      <w:r>
        <w:t>Contractual safeguards are in place.</w:t>
      </w:r>
    </w:p>
    <w:p>
      <w:pPr>
        <w:pStyle w:val="ListBullet"/>
      </w:pPr>
      <w:r>
        <w:t>Technical and organisational safeguards are verified.</w:t>
      </w:r>
    </w:p>
    <w:p>
      <w:pPr>
        <w:pStyle w:val="ListBullet"/>
      </w:pPr>
      <w:r>
        <w:t>Onward transfers are controlled.</w:t>
      </w:r>
    </w:p>
    <w:p>
      <w:pPr>
        <w:pStyle w:val="ListBullet"/>
      </w:pPr>
      <w:r>
        <w:t>Privacy notices are updated where required.</w:t>
      </w:r>
    </w:p>
    <w:p>
      <w:pPr>
        <w:pStyle w:val="ListBullet"/>
      </w:pPr>
      <w:r>
        <w:t>Retention and deletion controls are documented.</w:t>
      </w:r>
    </w:p>
    <w:p>
      <w:pPr>
        <w:pStyle w:val="ListBullet"/>
      </w:pPr>
      <w:r>
        <w:t>The residual risk is accepted by the appropriate authority.</w:t>
      </w:r>
    </w:p>
    <w:p>
      <w:r>
        <w:t>Where these conditions are not satisfied, the transfer should be either remediated before go-live, restricted, suspended, or approved only with documented senior risk acceptance and interim compensating controls.</w:t>
      </w:r>
    </w:p>
    <w:p>
      <w:pPr>
        <w:pStyle w:val="Heading2"/>
      </w:pPr>
      <w:r>
        <w:t>Recommendations &amp; Actions</w:t>
      </w:r>
    </w:p>
    <w:p>
      <w:pPr>
        <w:pStyle w:val="Heading3"/>
      </w:pPr>
      <w:r>
        <w:t>Management Recommendations</w:t>
      </w:r>
    </w:p>
    <w:p>
      <w:pPr>
        <w:pStyle w:val="ListBullet"/>
      </w:pPr>
      <w:r>
        <w:t>Establish and maintain a central cross-border transfer register.</w:t>
      </w:r>
    </w:p>
    <w:p>
      <w:pPr>
        <w:pStyle w:val="ListBullet"/>
      </w:pPr>
      <w:r>
        <w:t>Complete destination country assessments for all overseas transfer locations.</w:t>
      </w:r>
    </w:p>
    <w:p>
      <w:pPr>
        <w:pStyle w:val="ListBullet"/>
      </w:pPr>
      <w:r>
        <w:t>Perform recipient-level due diligence before approving any transfer.</w:t>
      </w:r>
    </w:p>
    <w:p>
      <w:pPr>
        <w:pStyle w:val="ListBullet"/>
      </w:pPr>
      <w:r>
        <w:t>Update vendor and group company contracts with specific cross-border transfer safeguards.</w:t>
      </w:r>
    </w:p>
    <w:p>
      <w:pPr>
        <w:pStyle w:val="ListBullet"/>
      </w:pPr>
      <w:r>
        <w:t>Implement a formal subprocessor and onward transfer approval process.</w:t>
      </w:r>
    </w:p>
    <w:p>
      <w:pPr>
        <w:pStyle w:val="ListBullet"/>
      </w:pPr>
      <w:r>
        <w:t>Strengthen technical evidence collection for encryption, access control, logging, and deletion.</w:t>
      </w:r>
    </w:p>
    <w:p>
      <w:pPr>
        <w:pStyle w:val="ListBullet"/>
      </w:pPr>
      <w:r>
        <w:t>Apply data minimisation to exports, integrations, reports, analytics, and support access.</w:t>
      </w:r>
    </w:p>
    <w:p>
      <w:pPr>
        <w:pStyle w:val="ListBullet"/>
      </w:pPr>
      <w:r>
        <w:t>Update customer, employee, website, and other applicable privacy notices.</w:t>
      </w:r>
    </w:p>
    <w:p>
      <w:pPr>
        <w:pStyle w:val="ListBullet"/>
      </w:pPr>
      <w:r>
        <w:t>Require deletion evidence from overseas recipients at contract end, data expiry, or campaign completion.</w:t>
      </w:r>
    </w:p>
    <w:p>
      <w:pPr>
        <w:pStyle w:val="ListBullet"/>
      </w:pPr>
      <w:r>
        <w:t>Integrate cross-border transfer review into procurement, vendor onboarding, system change, and privacy impact assessment processes.</w:t>
      </w:r>
    </w:p>
    <w:p>
      <w:pPr>
        <w:pStyle w:val="ListBullet"/>
      </w:pPr>
      <w:r>
        <w:t>Establish periodic monitoring and re-assessment of approved transfers.</w:t>
      </w:r>
    </w:p>
    <w:p>
      <w:pPr>
        <w:pStyle w:val="ListBullet"/>
      </w:pPr>
      <w:r>
        <w:t>Escalate high-risk transfers to executive management for approval or suspension decision.</w:t>
      </w:r>
    </w:p>
    <w:p>
      <w:pPr>
        <w:pStyle w:val="Heading3"/>
      </w:pPr>
      <w:r>
        <w:t>Corrective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Ref.</w:t>
            </w:r>
          </w:p>
        </w:tc>
        <w:tc>
          <w:tcPr>
            <w:tcW w:type="dxa" w:w="1234"/>
          </w:tcPr>
          <w:p>
            <w:r>
              <w:t>Action</w:t>
            </w:r>
          </w:p>
        </w:tc>
        <w:tc>
          <w:tcPr>
            <w:tcW w:type="dxa" w:w="1234"/>
          </w:tcPr>
          <w:p>
            <w:r>
              <w:t>Owner</w:t>
            </w:r>
          </w:p>
        </w:tc>
        <w:tc>
          <w:tcPr>
            <w:tcW w:type="dxa" w:w="1234"/>
          </w:tcPr>
          <w:p>
            <w:r>
              <w:t>Priority</w:t>
            </w:r>
          </w:p>
        </w:tc>
        <w:tc>
          <w:tcPr>
            <w:tcW w:type="dxa" w:w="1234"/>
          </w:tcPr>
          <w:p>
            <w:r>
              <w:t>Due Date</w:t>
            </w:r>
          </w:p>
        </w:tc>
        <w:tc>
          <w:tcPr>
            <w:tcW w:type="dxa" w:w="1234"/>
          </w:tcPr>
          <w:p>
            <w:r>
              <w:t>Evidence of Completion</w:t>
            </w:r>
          </w:p>
        </w:tc>
        <w:tc>
          <w:tcPr>
            <w:tcW w:type="dxa" w:w="1234"/>
          </w:tcPr>
          <w:p>
            <w:r>
              <w:t>Status</w:t>
            </w:r>
          </w:p>
        </w:tc>
      </w:tr>
      <w:tr>
        <w:tc>
          <w:tcPr>
            <w:tcW w:type="dxa" w:w="1234"/>
          </w:tcPr>
          <w:p>
            <w:r>
              <w:t>A-01</w:t>
            </w:r>
          </w:p>
        </w:tc>
        <w:tc>
          <w:tcPr>
            <w:tcW w:type="dxa" w:w="1234"/>
          </w:tcPr>
          <w:p>
            <w:r>
              <w:t>Create a complete cross-border transfer register covering all systems, vendors, recipients, countries, subprocessors, data categories, purposes, safeguards, and review dates.</w:t>
            </w:r>
          </w:p>
        </w:tc>
        <w:tc>
          <w:tcPr>
            <w:tcW w:type="dxa" w:w="1234"/>
          </w:tcPr>
          <w:p>
            <w:r>
              <w:t>[Privacy Officer]</w:t>
            </w:r>
          </w:p>
        </w:tc>
        <w:tc>
          <w:tcPr>
            <w:tcW w:type="dxa" w:w="1234"/>
          </w:tcPr>
          <w:p>
            <w:r>
              <w:t>High</w:t>
            </w:r>
          </w:p>
        </w:tc>
        <w:tc>
          <w:tcPr>
            <w:tcW w:type="dxa" w:w="1234"/>
          </w:tcPr>
          <w:p>
            <w:r>
              <w:t>[DD Month YYYY]</w:t>
            </w:r>
          </w:p>
        </w:tc>
        <w:tc>
          <w:tcPr>
            <w:tcW w:type="dxa" w:w="1234"/>
          </w:tcPr>
          <w:p>
            <w:r>
              <w:t>Approved transfer register</w:t>
            </w:r>
          </w:p>
        </w:tc>
        <w:tc>
          <w:tcPr>
            <w:tcW w:type="dxa" w:w="1234"/>
          </w:tcPr>
          <w:p>
            <w:r>
              <w:t>Open</w:t>
            </w:r>
          </w:p>
        </w:tc>
      </w:tr>
      <w:tr>
        <w:tc>
          <w:tcPr>
            <w:tcW w:type="dxa" w:w="1234"/>
          </w:tcPr>
          <w:p>
            <w:r>
              <w:t>A-02</w:t>
            </w:r>
          </w:p>
        </w:tc>
        <w:tc>
          <w:tcPr>
            <w:tcW w:type="dxa" w:w="1234"/>
          </w:tcPr>
          <w:p>
            <w:r>
              <w:t>Complete destination country assessments for [Country A], [Country B], [Country C], and [Country D].</w:t>
            </w:r>
          </w:p>
        </w:tc>
        <w:tc>
          <w:tcPr>
            <w:tcW w:type="dxa" w:w="1234"/>
          </w:tcPr>
          <w:p>
            <w:r>
              <w:t>[Legal Counsel / Privacy Officer]</w:t>
            </w:r>
          </w:p>
        </w:tc>
        <w:tc>
          <w:tcPr>
            <w:tcW w:type="dxa" w:w="1234"/>
          </w:tcPr>
          <w:p>
            <w:r>
              <w:t>High</w:t>
            </w:r>
          </w:p>
        </w:tc>
        <w:tc>
          <w:tcPr>
            <w:tcW w:type="dxa" w:w="1234"/>
          </w:tcPr>
          <w:p>
            <w:r>
              <w:t>[DD Month YYYY]</w:t>
            </w:r>
          </w:p>
        </w:tc>
        <w:tc>
          <w:tcPr>
            <w:tcW w:type="dxa" w:w="1234"/>
          </w:tcPr>
          <w:p>
            <w:r>
              <w:t>Country assessment records</w:t>
            </w:r>
          </w:p>
        </w:tc>
        <w:tc>
          <w:tcPr>
            <w:tcW w:type="dxa" w:w="1234"/>
          </w:tcPr>
          <w:p>
            <w:r>
              <w:t>Open</w:t>
            </w:r>
          </w:p>
        </w:tc>
      </w:tr>
      <w:tr>
        <w:tc>
          <w:tcPr>
            <w:tcW w:type="dxa" w:w="1234"/>
          </w:tcPr>
          <w:p>
            <w:r>
              <w:t>A-03</w:t>
            </w:r>
          </w:p>
        </w:tc>
        <w:tc>
          <w:tcPr>
            <w:tcW w:type="dxa" w:w="1234"/>
          </w:tcPr>
          <w:p>
            <w:r>
              <w:t>Update vendor contracts for T-02 and T-03 with specific transfer, security, incident, deletion, audit, and subprocessor obligations.</w:t>
            </w:r>
          </w:p>
        </w:tc>
        <w:tc>
          <w:tcPr>
            <w:tcW w:type="dxa" w:w="1234"/>
          </w:tcPr>
          <w:p>
            <w:r>
              <w:t>[Procurement / Legal Counsel]</w:t>
            </w:r>
          </w:p>
        </w:tc>
        <w:tc>
          <w:tcPr>
            <w:tcW w:type="dxa" w:w="1234"/>
          </w:tcPr>
          <w:p>
            <w:r>
              <w:t>High</w:t>
            </w:r>
          </w:p>
        </w:tc>
        <w:tc>
          <w:tcPr>
            <w:tcW w:type="dxa" w:w="1234"/>
          </w:tcPr>
          <w:p>
            <w:r>
              <w:t>[DD Month YYYY]</w:t>
            </w:r>
          </w:p>
        </w:tc>
        <w:tc>
          <w:tcPr>
            <w:tcW w:type="dxa" w:w="1234"/>
          </w:tcPr>
          <w:p>
            <w:r>
              <w:t>Signed contract amendments</w:t>
            </w:r>
          </w:p>
        </w:tc>
        <w:tc>
          <w:tcPr>
            <w:tcW w:type="dxa" w:w="1234"/>
          </w:tcPr>
          <w:p>
            <w:r>
              <w:t>Open</w:t>
            </w:r>
          </w:p>
        </w:tc>
      </w:tr>
      <w:tr>
        <w:tc>
          <w:tcPr>
            <w:tcW w:type="dxa" w:w="1234"/>
          </w:tcPr>
          <w:p>
            <w:r>
              <w:t>A-04</w:t>
            </w:r>
          </w:p>
        </w:tc>
        <w:tc>
          <w:tcPr>
            <w:tcW w:type="dxa" w:w="1234"/>
          </w:tcPr>
          <w:p>
            <w:r>
              <w:t>Validate subprocessor lists for all overseas recipients and document onward transfer locations.</w:t>
            </w:r>
          </w:p>
        </w:tc>
        <w:tc>
          <w:tcPr>
            <w:tcW w:type="dxa" w:w="1234"/>
          </w:tcPr>
          <w:p>
            <w:r>
              <w:t>[Vendor Management Lead]</w:t>
            </w:r>
          </w:p>
        </w:tc>
        <w:tc>
          <w:tcPr>
            <w:tcW w:type="dxa" w:w="1234"/>
          </w:tcPr>
          <w:p>
            <w:r>
              <w:t>High</w:t>
            </w:r>
          </w:p>
        </w:tc>
        <w:tc>
          <w:tcPr>
            <w:tcW w:type="dxa" w:w="1234"/>
          </w:tcPr>
          <w:p>
            <w:r>
              <w:t>[DD Month YYYY]</w:t>
            </w:r>
          </w:p>
        </w:tc>
        <w:tc>
          <w:tcPr>
            <w:tcW w:type="dxa" w:w="1234"/>
          </w:tcPr>
          <w:p>
            <w:r>
              <w:t>Current subprocessor register</w:t>
            </w:r>
          </w:p>
        </w:tc>
        <w:tc>
          <w:tcPr>
            <w:tcW w:type="dxa" w:w="1234"/>
          </w:tcPr>
          <w:p>
            <w:r>
              <w:t>Open</w:t>
            </w:r>
          </w:p>
        </w:tc>
      </w:tr>
      <w:tr>
        <w:tc>
          <w:tcPr>
            <w:tcW w:type="dxa" w:w="1234"/>
          </w:tcPr>
          <w:p>
            <w:r>
              <w:t>A-05</w:t>
            </w:r>
          </w:p>
        </w:tc>
        <w:tc>
          <w:tcPr>
            <w:tcW w:type="dxa" w:w="1234"/>
          </w:tcPr>
          <w:p>
            <w:r>
              <w:t>Implement prior approval and logging for overseas remote support access.</w:t>
            </w:r>
          </w:p>
        </w:tc>
        <w:tc>
          <w:tcPr>
            <w:tcW w:type="dxa" w:w="1234"/>
          </w:tcPr>
          <w:p>
            <w:r>
              <w:t>[IT Security Manager]</w:t>
            </w:r>
          </w:p>
        </w:tc>
        <w:tc>
          <w:tcPr>
            <w:tcW w:type="dxa" w:w="1234"/>
          </w:tcPr>
          <w:p>
            <w:r>
              <w:t>High</w:t>
            </w:r>
          </w:p>
        </w:tc>
        <w:tc>
          <w:tcPr>
            <w:tcW w:type="dxa" w:w="1234"/>
          </w:tcPr>
          <w:p>
            <w:r>
              <w:t>[DD Month YYYY]</w:t>
            </w:r>
          </w:p>
        </w:tc>
        <w:tc>
          <w:tcPr>
            <w:tcW w:type="dxa" w:w="1234"/>
          </w:tcPr>
          <w:p>
            <w:r>
              <w:t>Access workflow, logs, and review records</w:t>
            </w:r>
          </w:p>
        </w:tc>
        <w:tc>
          <w:tcPr>
            <w:tcW w:type="dxa" w:w="1234"/>
          </w:tcPr>
          <w:p>
            <w:r>
              <w:t>Open</w:t>
            </w:r>
          </w:p>
        </w:tc>
      </w:tr>
      <w:tr>
        <w:tc>
          <w:tcPr>
            <w:tcW w:type="dxa" w:w="1234"/>
          </w:tcPr>
          <w:p>
            <w:r>
              <w:t>A-06</w:t>
            </w:r>
          </w:p>
        </w:tc>
        <w:tc>
          <w:tcPr>
            <w:tcW w:type="dxa" w:w="1234"/>
          </w:tcPr>
          <w:p>
            <w:r>
              <w:t>Review and reduce data fields transferred to marketing and support providers.</w:t>
            </w:r>
          </w:p>
        </w:tc>
        <w:tc>
          <w:tcPr>
            <w:tcW w:type="dxa" w:w="1234"/>
          </w:tcPr>
          <w:p>
            <w:r>
              <w:t>[Business System Owners]</w:t>
            </w:r>
          </w:p>
        </w:tc>
        <w:tc>
          <w:tcPr>
            <w:tcW w:type="dxa" w:w="1234"/>
          </w:tcPr>
          <w:p>
            <w:r>
              <w:t>Medium</w:t>
            </w:r>
          </w:p>
        </w:tc>
        <w:tc>
          <w:tcPr>
            <w:tcW w:type="dxa" w:w="1234"/>
          </w:tcPr>
          <w:p>
            <w:r>
              <w:t>[DD Month YYYY]</w:t>
            </w:r>
          </w:p>
        </w:tc>
        <w:tc>
          <w:tcPr>
            <w:tcW w:type="dxa" w:w="1234"/>
          </w:tcPr>
          <w:p>
            <w:r>
              <w:t>Data minimisation review and updated integration mappings</w:t>
            </w:r>
          </w:p>
        </w:tc>
        <w:tc>
          <w:tcPr>
            <w:tcW w:type="dxa" w:w="1234"/>
          </w:tcPr>
          <w:p>
            <w:r>
              <w:t>Open</w:t>
            </w:r>
          </w:p>
        </w:tc>
      </w:tr>
      <w:tr>
        <w:tc>
          <w:tcPr>
            <w:tcW w:type="dxa" w:w="1234"/>
          </w:tcPr>
          <w:p>
            <w:r>
              <w:t>A-07</w:t>
            </w:r>
          </w:p>
        </w:tc>
        <w:tc>
          <w:tcPr>
            <w:tcW w:type="dxa" w:w="1234"/>
          </w:tcPr>
          <w:p>
            <w:r>
              <w:t>Update customer, employee, website, and supplier privacy notices to clearly describe overseas transfers and safeguards.</w:t>
            </w:r>
          </w:p>
        </w:tc>
        <w:tc>
          <w:tcPr>
            <w:tcW w:type="dxa" w:w="1234"/>
          </w:tcPr>
          <w:p>
            <w:r>
              <w:t>[Privacy Officer / Communications Lead]</w:t>
            </w:r>
          </w:p>
        </w:tc>
        <w:tc>
          <w:tcPr>
            <w:tcW w:type="dxa" w:w="1234"/>
          </w:tcPr>
          <w:p>
            <w:r>
              <w:t>Medium</w:t>
            </w:r>
          </w:p>
        </w:tc>
        <w:tc>
          <w:tcPr>
            <w:tcW w:type="dxa" w:w="1234"/>
          </w:tcPr>
          <w:p>
            <w:r>
              <w:t>[DD Month YYYY]</w:t>
            </w:r>
          </w:p>
        </w:tc>
        <w:tc>
          <w:tcPr>
            <w:tcW w:type="dxa" w:w="1234"/>
          </w:tcPr>
          <w:p>
            <w:r>
              <w:t>Published updated notices</w:t>
            </w:r>
          </w:p>
        </w:tc>
        <w:tc>
          <w:tcPr>
            <w:tcW w:type="dxa" w:w="1234"/>
          </w:tcPr>
          <w:p>
            <w:r>
              <w:t>Open</w:t>
            </w:r>
          </w:p>
        </w:tc>
      </w:tr>
      <w:tr>
        <w:tc>
          <w:tcPr>
            <w:tcW w:type="dxa" w:w="1234"/>
          </w:tcPr>
          <w:p>
            <w:r>
              <w:t>A-08</w:t>
            </w:r>
          </w:p>
        </w:tc>
        <w:tc>
          <w:tcPr>
            <w:tcW w:type="dxa" w:w="1234"/>
          </w:tcPr>
          <w:p>
            <w:r>
              <w:t>Obtain or configure evidence of encryption at rest, encryption in transit, key management, and administrative access controls for each transfer.</w:t>
            </w:r>
          </w:p>
        </w:tc>
        <w:tc>
          <w:tcPr>
            <w:tcW w:type="dxa" w:w="1234"/>
          </w:tcPr>
          <w:p>
            <w:r>
              <w:t>[IT Security Manager]</w:t>
            </w:r>
          </w:p>
        </w:tc>
        <w:tc>
          <w:tcPr>
            <w:tcW w:type="dxa" w:w="1234"/>
          </w:tcPr>
          <w:p>
            <w:r>
              <w:t>Medium</w:t>
            </w:r>
          </w:p>
        </w:tc>
        <w:tc>
          <w:tcPr>
            <w:tcW w:type="dxa" w:w="1234"/>
          </w:tcPr>
          <w:p>
            <w:r>
              <w:t>[DD Month YYYY]</w:t>
            </w:r>
          </w:p>
        </w:tc>
        <w:tc>
          <w:tcPr>
            <w:tcW w:type="dxa" w:w="1234"/>
          </w:tcPr>
          <w:p>
            <w:r>
              <w:t>Security evidence pack</w:t>
            </w:r>
          </w:p>
        </w:tc>
        <w:tc>
          <w:tcPr>
            <w:tcW w:type="dxa" w:w="1234"/>
          </w:tcPr>
          <w:p>
            <w:r>
              <w:t>Open</w:t>
            </w:r>
          </w:p>
        </w:tc>
      </w:tr>
      <w:tr>
        <w:tc>
          <w:tcPr>
            <w:tcW w:type="dxa" w:w="1234"/>
          </w:tcPr>
          <w:p>
            <w:r>
              <w:t>A-09</w:t>
            </w:r>
          </w:p>
        </w:tc>
        <w:tc>
          <w:tcPr>
            <w:tcW w:type="dxa" w:w="1234"/>
          </w:tcPr>
          <w:p>
            <w:r>
              <w:t>Define retention and deletion requirements for overseas recipients and obtain deletion certificates where applicable.</w:t>
            </w:r>
          </w:p>
        </w:tc>
        <w:tc>
          <w:tcPr>
            <w:tcW w:type="dxa" w:w="1234"/>
          </w:tcPr>
          <w:p>
            <w:r>
              <w:t>[Records Manager / Vendor Owners]</w:t>
            </w:r>
          </w:p>
        </w:tc>
        <w:tc>
          <w:tcPr>
            <w:tcW w:type="dxa" w:w="1234"/>
          </w:tcPr>
          <w:p>
            <w:r>
              <w:t>Medium</w:t>
            </w:r>
          </w:p>
        </w:tc>
        <w:tc>
          <w:tcPr>
            <w:tcW w:type="dxa" w:w="1234"/>
          </w:tcPr>
          <w:p>
            <w:r>
              <w:t>[DD Month YYYY]</w:t>
            </w:r>
          </w:p>
        </w:tc>
        <w:tc>
          <w:tcPr>
            <w:tcW w:type="dxa" w:w="1234"/>
          </w:tcPr>
          <w:p>
            <w:r>
              <w:t>Retention mapping and deletion certificates</w:t>
            </w:r>
          </w:p>
        </w:tc>
        <w:tc>
          <w:tcPr>
            <w:tcW w:type="dxa" w:w="1234"/>
          </w:tcPr>
          <w:p>
            <w:r>
              <w:t>Open</w:t>
            </w:r>
          </w:p>
        </w:tc>
      </w:tr>
      <w:tr>
        <w:tc>
          <w:tcPr>
            <w:tcW w:type="dxa" w:w="1234"/>
          </w:tcPr>
          <w:p>
            <w:r>
              <w:t>A-10</w:t>
            </w:r>
          </w:p>
        </w:tc>
        <w:tc>
          <w:tcPr>
            <w:tcW w:type="dxa" w:w="1234"/>
          </w:tcPr>
          <w:p>
            <w:r>
              <w:t>Update incident response playbooks to include overseas recipient escalation paths and required breach information.</w:t>
            </w:r>
          </w:p>
        </w:tc>
        <w:tc>
          <w:tcPr>
            <w:tcW w:type="dxa" w:w="1234"/>
          </w:tcPr>
          <w:p>
            <w:r>
              <w:t>[Incident Response Lead]</w:t>
            </w:r>
          </w:p>
        </w:tc>
        <w:tc>
          <w:tcPr>
            <w:tcW w:type="dxa" w:w="1234"/>
          </w:tcPr>
          <w:p>
            <w:r>
              <w:t>Medium</w:t>
            </w:r>
          </w:p>
        </w:tc>
        <w:tc>
          <w:tcPr>
            <w:tcW w:type="dxa" w:w="1234"/>
          </w:tcPr>
          <w:p>
            <w:r>
              <w:t>[DD Month YYYY]</w:t>
            </w:r>
          </w:p>
        </w:tc>
        <w:tc>
          <w:tcPr>
            <w:tcW w:type="dxa" w:w="1234"/>
          </w:tcPr>
          <w:p>
            <w:r>
              <w:t>Updated incident playbook and contact list</w:t>
            </w:r>
          </w:p>
        </w:tc>
        <w:tc>
          <w:tcPr>
            <w:tcW w:type="dxa" w:w="1234"/>
          </w:tcPr>
          <w:p>
            <w:r>
              <w:t>Open</w:t>
            </w:r>
          </w:p>
        </w:tc>
      </w:tr>
      <w:tr>
        <w:tc>
          <w:tcPr>
            <w:tcW w:type="dxa" w:w="1234"/>
          </w:tcPr>
          <w:p>
            <w:r>
              <w:t>A-11</w:t>
            </w:r>
          </w:p>
        </w:tc>
        <w:tc>
          <w:tcPr>
            <w:tcW w:type="dxa" w:w="1234"/>
          </w:tcPr>
          <w:p>
            <w:r>
              <w:t>Integrate DTIA review into procurement, vendor onboarding, system change management, and new project approval.</w:t>
            </w:r>
          </w:p>
        </w:tc>
        <w:tc>
          <w:tcPr>
            <w:tcW w:type="dxa" w:w="1234"/>
          </w:tcPr>
          <w:p>
            <w:r>
              <w:t>[GRC Manager]</w:t>
            </w:r>
          </w:p>
        </w:tc>
        <w:tc>
          <w:tcPr>
            <w:tcW w:type="dxa" w:w="1234"/>
          </w:tcPr>
          <w:p>
            <w:r>
              <w:t>High</w:t>
            </w:r>
          </w:p>
        </w:tc>
        <w:tc>
          <w:tcPr>
            <w:tcW w:type="dxa" w:w="1234"/>
          </w:tcPr>
          <w:p>
            <w:r>
              <w:t>[DD Month YYYY]</w:t>
            </w:r>
          </w:p>
        </w:tc>
        <w:tc>
          <w:tcPr>
            <w:tcW w:type="dxa" w:w="1234"/>
          </w:tcPr>
          <w:p>
            <w:r>
              <w:t>Updated process workflows and approval gates</w:t>
            </w:r>
          </w:p>
        </w:tc>
        <w:tc>
          <w:tcPr>
            <w:tcW w:type="dxa" w:w="1234"/>
          </w:tcPr>
          <w:p>
            <w:r>
              <w:t>Open</w:t>
            </w:r>
          </w:p>
        </w:tc>
      </w:tr>
      <w:tr>
        <w:tc>
          <w:tcPr>
            <w:tcW w:type="dxa" w:w="1234"/>
          </w:tcPr>
          <w:p>
            <w:r>
              <w:t>A-12</w:t>
            </w:r>
          </w:p>
        </w:tc>
        <w:tc>
          <w:tcPr>
            <w:tcW w:type="dxa" w:w="1234"/>
          </w:tcPr>
          <w:p>
            <w:r>
              <w:t>Conduct follow-up review of all high-risk transfers and report residual risk to executive management.</w:t>
            </w:r>
          </w:p>
        </w:tc>
        <w:tc>
          <w:tcPr>
            <w:tcW w:type="dxa" w:w="1234"/>
          </w:tcPr>
          <w:p>
            <w:r>
              <w:t>[Privacy Officer]</w:t>
            </w:r>
          </w:p>
        </w:tc>
        <w:tc>
          <w:tcPr>
            <w:tcW w:type="dxa" w:w="1234"/>
          </w:tcPr>
          <w:p>
            <w:r>
              <w:t>High</w:t>
            </w:r>
          </w:p>
        </w:tc>
        <w:tc>
          <w:tcPr>
            <w:tcW w:type="dxa" w:w="1234"/>
          </w:tcPr>
          <w:p>
            <w:r>
              <w:t>[DD Month YYYY]</w:t>
            </w:r>
          </w:p>
        </w:tc>
        <w:tc>
          <w:tcPr>
            <w:tcW w:type="dxa" w:w="1234"/>
          </w:tcPr>
          <w:p>
            <w:r>
              <w:t>Follow-up DTIA report and management decision record</w:t>
            </w:r>
          </w:p>
        </w:tc>
        <w:tc>
          <w:tcPr>
            <w:tcW w:type="dxa" w:w="1234"/>
          </w:tcPr>
          <w:p>
            <w:r>
              <w:t>Open</w:t>
            </w:r>
          </w:p>
        </w:tc>
      </w:tr>
    </w:tbl>
    <w:p>
      <w:pPr>
        <w:pStyle w:val="Heading3"/>
      </w:pPr>
      <w:r>
        <w:t>Transfer Decision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Transfer Ref.</w:t>
            </w:r>
          </w:p>
        </w:tc>
        <w:tc>
          <w:tcPr>
            <w:tcW w:type="dxa" w:w="2880"/>
          </w:tcPr>
          <w:p>
            <w:r>
              <w:t>Decision</w:t>
            </w:r>
          </w:p>
        </w:tc>
        <w:tc>
          <w:tcPr>
            <w:tcW w:type="dxa" w:w="2880"/>
          </w:tcPr>
          <w:p>
            <w:r>
              <w:t>Conditions</w:t>
            </w:r>
          </w:p>
        </w:tc>
      </w:tr>
      <w:tr>
        <w:tc>
          <w:tcPr>
            <w:tcW w:type="dxa" w:w="2880"/>
          </w:tcPr>
          <w:p>
            <w:r>
              <w:t>T-01</w:t>
            </w:r>
          </w:p>
        </w:tc>
        <w:tc>
          <w:tcPr>
            <w:tcW w:type="dxa" w:w="2880"/>
          </w:tcPr>
          <w:p>
            <w:r>
              <w:t>Conditional approval</w:t>
            </w:r>
          </w:p>
        </w:tc>
        <w:tc>
          <w:tcPr>
            <w:tcW w:type="dxa" w:w="2880"/>
          </w:tcPr>
          <w:p>
            <w:r>
              <w:t>Complete subprocessor validation, confirm support locations, update contract terms, and retain security evidence.</w:t>
            </w:r>
          </w:p>
        </w:tc>
      </w:tr>
      <w:tr>
        <w:tc>
          <w:tcPr>
            <w:tcW w:type="dxa" w:w="2880"/>
          </w:tcPr>
          <w:p>
            <w:r>
              <w:t>T-02</w:t>
            </w:r>
          </w:p>
        </w:tc>
        <w:tc>
          <w:tcPr>
            <w:tcW w:type="dxa" w:w="2880"/>
          </w:tcPr>
          <w:p>
            <w:r>
              <w:t>Not approved until remediation / senior risk acceptance required</w:t>
            </w:r>
          </w:p>
        </w:tc>
        <w:tc>
          <w:tcPr>
            <w:tcW w:type="dxa" w:w="2880"/>
          </w:tcPr>
          <w:p>
            <w:r>
              <w:t>Complete destination assessment, update contract, validate sensitive data controls, and confirm deletion obligations.</w:t>
            </w:r>
          </w:p>
        </w:tc>
      </w:tr>
      <w:tr>
        <w:tc>
          <w:tcPr>
            <w:tcW w:type="dxa" w:w="2880"/>
          </w:tcPr>
          <w:p>
            <w:r>
              <w:t>T-03</w:t>
            </w:r>
          </w:p>
        </w:tc>
        <w:tc>
          <w:tcPr>
            <w:tcW w:type="dxa" w:w="2880"/>
          </w:tcPr>
          <w:p>
            <w:r>
              <w:t>Restricted pending remediation</w:t>
            </w:r>
          </w:p>
        </w:tc>
        <w:tc>
          <w:tcPr>
            <w:tcW w:type="dxa" w:w="2880"/>
          </w:tcPr>
          <w:p>
            <w:r>
              <w:t>Limit remote access, implement just-in-time approval, session logging, data masking, and contract updates.</w:t>
            </w:r>
          </w:p>
        </w:tc>
      </w:tr>
      <w:tr>
        <w:tc>
          <w:tcPr>
            <w:tcW w:type="dxa" w:w="2880"/>
          </w:tcPr>
          <w:p>
            <w:r>
              <w:t>T-04</w:t>
            </w:r>
          </w:p>
        </w:tc>
        <w:tc>
          <w:tcPr>
            <w:tcW w:type="dxa" w:w="2880"/>
          </w:tcPr>
          <w:p>
            <w:r>
              <w:t>Conditional approval</w:t>
            </w:r>
          </w:p>
        </w:tc>
        <w:tc>
          <w:tcPr>
            <w:tcW w:type="dxa" w:w="2880"/>
          </w:tcPr>
          <w:p>
            <w:r>
              <w:t>Minimise campaign exports, update privacy notice, confirm analytics settings, and obtain deletion evidence.</w:t>
            </w:r>
          </w:p>
        </w:tc>
      </w:tr>
      <w:tr>
        <w:tc>
          <w:tcPr>
            <w:tcW w:type="dxa" w:w="2880"/>
          </w:tcPr>
          <w:p>
            <w:r>
              <w:t>T-05</w:t>
            </w:r>
          </w:p>
        </w:tc>
        <w:tc>
          <w:tcPr>
            <w:tcW w:type="dxa" w:w="2880"/>
          </w:tcPr>
          <w:p>
            <w:r>
              <w:t>Conditional approval</w:t>
            </w:r>
          </w:p>
        </w:tc>
        <w:tc>
          <w:tcPr>
            <w:tcW w:type="dxa" w:w="2880"/>
          </w:tcPr>
          <w:p>
            <w:r>
              <w:t>Confirm hosting and restoration locations, encryption key controls, backup retention, and deletion evidence.</w:t>
            </w:r>
          </w:p>
        </w:tc>
      </w:tr>
    </w:tbl>
    <w:p>
      <w:pPr>
        <w:pStyle w:val="Heading3"/>
      </w:pPr>
      <w:r>
        <w:t>Interim Safeguards Required for High-Risk Transfers</w:t>
      </w:r>
    </w:p>
    <w:p>
      <w:r>
        <w:t>Until remediation is completed, the following interim safeguards must be applied to high-risk transfers:</w:t>
      </w:r>
    </w:p>
    <w:p>
      <w:pPr>
        <w:pStyle w:val="ListBullet"/>
      </w:pPr>
      <w:r>
        <w:t>Restrict access to named authorised personnel only.</w:t>
      </w:r>
    </w:p>
    <w:p>
      <w:pPr>
        <w:pStyle w:val="ListBullet"/>
      </w:pPr>
      <w:r>
        <w:t>Require business owner approval for each support session involving personal data.</w:t>
      </w:r>
    </w:p>
    <w:p>
      <w:pPr>
        <w:pStyle w:val="ListBullet"/>
      </w:pPr>
      <w:r>
        <w:t>Disable bulk exports unless specifically approved.</w:t>
      </w:r>
    </w:p>
    <w:p>
      <w:pPr>
        <w:pStyle w:val="ListBullet"/>
      </w:pPr>
      <w:r>
        <w:t>Apply masking or redaction where full personal data is not required.</w:t>
      </w:r>
    </w:p>
    <w:p>
      <w:pPr>
        <w:pStyle w:val="ListBullet"/>
      </w:pPr>
      <w:r>
        <w:t>Use encrypted channels for all transfers.</w:t>
      </w:r>
    </w:p>
    <w:p>
      <w:pPr>
        <w:pStyle w:val="ListBullet"/>
      </w:pPr>
      <w:r>
        <w:t>Prohibit local downloads by overseas support teams unless approved and logged.</w:t>
      </w:r>
    </w:p>
    <w:p>
      <w:pPr>
        <w:pStyle w:val="ListBullet"/>
      </w:pPr>
      <w:r>
        <w:t>Review access logs at least monthly.</w:t>
      </w:r>
    </w:p>
    <w:p>
      <w:pPr>
        <w:pStyle w:val="ListBullet"/>
      </w:pPr>
      <w:r>
        <w:t>Require immediate notification of suspected unauthorised access.</w:t>
      </w:r>
    </w:p>
    <w:p>
      <w:pPr>
        <w:pStyle w:val="ListBullet"/>
      </w:pPr>
      <w:r>
        <w:t>Freeze onboarding of new subprocessors unless reviewed and approved.</w:t>
      </w:r>
    </w:p>
    <w:p>
      <w:pPr>
        <w:pStyle w:val="ListBullet"/>
      </w:pPr>
      <w:r>
        <w:t>Maintain written senior management approval for any transfer that continues despite unresolved high risk.</w:t>
      </w:r>
    </w:p>
    <w:p>
      <w:pPr>
        <w:pStyle w:val="Heading3"/>
      </w:pPr>
      <w:r>
        <w:t>Ongoing Monitoring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Output</w:t>
            </w:r>
          </w:p>
        </w:tc>
      </w:tr>
      <w:tr>
        <w:tc>
          <w:tcPr>
            <w:tcW w:type="dxa" w:w="2160"/>
          </w:tcPr>
          <w:p>
            <w:r>
              <w:t>Cross-border transfer register review</w:t>
            </w:r>
          </w:p>
        </w:tc>
        <w:tc>
          <w:tcPr>
            <w:tcW w:type="dxa" w:w="2160"/>
          </w:tcPr>
          <w:p>
            <w:r>
              <w:t>Quarterly</w:t>
            </w:r>
          </w:p>
        </w:tc>
        <w:tc>
          <w:tcPr>
            <w:tcW w:type="dxa" w:w="2160"/>
          </w:tcPr>
          <w:p>
            <w:r>
              <w:t>[Privacy Officer]</w:t>
            </w:r>
          </w:p>
        </w:tc>
        <w:tc>
          <w:tcPr>
            <w:tcW w:type="dxa" w:w="2160"/>
          </w:tcPr>
          <w:p>
            <w:r>
              <w:t>Updated register and exception list</w:t>
            </w:r>
          </w:p>
        </w:tc>
      </w:tr>
      <w:tr>
        <w:tc>
          <w:tcPr>
            <w:tcW w:type="dxa" w:w="2160"/>
          </w:tcPr>
          <w:p>
            <w:r>
              <w:t>Vendor subprocessor review</w:t>
            </w:r>
          </w:p>
        </w:tc>
        <w:tc>
          <w:tcPr>
            <w:tcW w:type="dxa" w:w="2160"/>
          </w:tcPr>
          <w:p>
            <w:r>
              <w:t>Quarterly / upon notification</w:t>
            </w:r>
          </w:p>
        </w:tc>
        <w:tc>
          <w:tcPr>
            <w:tcW w:type="dxa" w:w="2160"/>
          </w:tcPr>
          <w:p>
            <w:r>
              <w:t>[Vendor Management Lead]</w:t>
            </w:r>
          </w:p>
        </w:tc>
        <w:tc>
          <w:tcPr>
            <w:tcW w:type="dxa" w:w="2160"/>
          </w:tcPr>
          <w:p>
            <w:r>
              <w:t>Subprocessor change assessment</w:t>
            </w:r>
          </w:p>
        </w:tc>
      </w:tr>
      <w:tr>
        <w:tc>
          <w:tcPr>
            <w:tcW w:type="dxa" w:w="2160"/>
          </w:tcPr>
          <w:p>
            <w:r>
              <w:t>Access review for overseas users</w:t>
            </w:r>
          </w:p>
        </w:tc>
        <w:tc>
          <w:tcPr>
            <w:tcW w:type="dxa" w:w="2160"/>
          </w:tcPr>
          <w:p>
            <w:r>
              <w:t>Monthly for high-risk systems; quarterly for others</w:t>
            </w:r>
          </w:p>
        </w:tc>
        <w:tc>
          <w:tcPr>
            <w:tcW w:type="dxa" w:w="2160"/>
          </w:tcPr>
          <w:p>
            <w:r>
              <w:t>[IT Security Manager]</w:t>
            </w:r>
          </w:p>
        </w:tc>
        <w:tc>
          <w:tcPr>
            <w:tcW w:type="dxa" w:w="2160"/>
          </w:tcPr>
          <w:p>
            <w:r>
              <w:t>Access review evidence</w:t>
            </w:r>
          </w:p>
        </w:tc>
      </w:tr>
      <w:tr>
        <w:tc>
          <w:tcPr>
            <w:tcW w:type="dxa" w:w="2160"/>
          </w:tcPr>
          <w:p>
            <w:r>
              <w:t>Contract renewal privacy review</w:t>
            </w:r>
          </w:p>
        </w:tc>
        <w:tc>
          <w:tcPr>
            <w:tcW w:type="dxa" w:w="2160"/>
          </w:tcPr>
          <w:p>
            <w:r>
              <w:t>Before renewal</w:t>
            </w:r>
          </w:p>
        </w:tc>
        <w:tc>
          <w:tcPr>
            <w:tcW w:type="dxa" w:w="2160"/>
          </w:tcPr>
          <w:p>
            <w:r>
              <w:t>[Legal Counsel / Procurement]</w:t>
            </w:r>
          </w:p>
        </w:tc>
        <w:tc>
          <w:tcPr>
            <w:tcW w:type="dxa" w:w="2160"/>
          </w:tcPr>
          <w:p>
            <w:r>
              <w:t>Approved contract checklist</w:t>
            </w:r>
          </w:p>
        </w:tc>
      </w:tr>
      <w:tr>
        <w:tc>
          <w:tcPr>
            <w:tcW w:type="dxa" w:w="2160"/>
          </w:tcPr>
          <w:p>
            <w:r>
              <w:t>Destination risk reassessment</w:t>
            </w:r>
          </w:p>
        </w:tc>
        <w:tc>
          <w:tcPr>
            <w:tcW w:type="dxa" w:w="2160"/>
          </w:tcPr>
          <w:p>
            <w:r>
              <w:t>Annually or upon material change</w:t>
            </w:r>
          </w:p>
        </w:tc>
        <w:tc>
          <w:tcPr>
            <w:tcW w:type="dxa" w:w="2160"/>
          </w:tcPr>
          <w:p>
            <w:r>
              <w:t>[Privacy Officer / Legal Counsel]</w:t>
            </w:r>
          </w:p>
        </w:tc>
        <w:tc>
          <w:tcPr>
            <w:tcW w:type="dxa" w:w="2160"/>
          </w:tcPr>
          <w:p>
            <w:r>
              <w:t>Updated country assessment</w:t>
            </w:r>
          </w:p>
        </w:tc>
      </w:tr>
      <w:tr>
        <w:tc>
          <w:tcPr>
            <w:tcW w:type="dxa" w:w="2160"/>
          </w:tcPr>
          <w:p>
            <w:r>
              <w:t>Privacy notice review</w:t>
            </w:r>
          </w:p>
        </w:tc>
        <w:tc>
          <w:tcPr>
            <w:tcW w:type="dxa" w:w="2160"/>
          </w:tcPr>
          <w:p>
            <w:r>
              <w:t>Annually or upon new transfer</w:t>
            </w:r>
          </w:p>
        </w:tc>
        <w:tc>
          <w:tcPr>
            <w:tcW w:type="dxa" w:w="2160"/>
          </w:tcPr>
          <w:p>
            <w:r>
              <w:t>[Privacy Officer]</w:t>
            </w:r>
          </w:p>
        </w:tc>
        <w:tc>
          <w:tcPr>
            <w:tcW w:type="dxa" w:w="2160"/>
          </w:tcPr>
          <w:p>
            <w:r>
              <w:t>Approved notice updates</w:t>
            </w:r>
          </w:p>
        </w:tc>
      </w:tr>
      <w:tr>
        <w:tc>
          <w:tcPr>
            <w:tcW w:type="dxa" w:w="2160"/>
          </w:tcPr>
          <w:p>
            <w:r>
              <w:t>Deletion evidence review</w:t>
            </w:r>
          </w:p>
        </w:tc>
        <w:tc>
          <w:tcPr>
            <w:tcW w:type="dxa" w:w="2160"/>
          </w:tcPr>
          <w:p>
            <w:r>
              <w:t>Upon offboarding or retention expiry</w:t>
            </w:r>
          </w:p>
        </w:tc>
        <w:tc>
          <w:tcPr>
            <w:tcW w:type="dxa" w:w="2160"/>
          </w:tcPr>
          <w:p>
            <w:r>
              <w:t>[Records Manager]</w:t>
            </w:r>
          </w:p>
        </w:tc>
        <w:tc>
          <w:tcPr>
            <w:tcW w:type="dxa" w:w="2160"/>
          </w:tcPr>
          <w:p>
            <w:r>
              <w:t>Deletion certificate or equivalent evidence</w:t>
            </w:r>
          </w:p>
        </w:tc>
      </w:tr>
      <w:tr>
        <w:tc>
          <w:tcPr>
            <w:tcW w:type="dxa" w:w="2160"/>
          </w:tcPr>
          <w:p>
            <w:r>
              <w:t>DTIA refresh</w:t>
            </w:r>
          </w:p>
        </w:tc>
        <w:tc>
          <w:tcPr>
            <w:tcW w:type="dxa" w:w="2160"/>
          </w:tcPr>
          <w:p>
            <w:r>
              <w:t>Annually or before material transfer change</w:t>
            </w:r>
          </w:p>
        </w:tc>
        <w:tc>
          <w:tcPr>
            <w:tcW w:type="dxa" w:w="2160"/>
          </w:tcPr>
          <w:p>
            <w:r>
              <w:t>[Privacy Officer]</w:t>
            </w:r>
          </w:p>
        </w:tc>
        <w:tc>
          <w:tcPr>
            <w:tcW w:type="dxa" w:w="2160"/>
          </w:tcPr>
          <w:p>
            <w:r>
              <w:t>Updated DTIA report</w:t>
            </w:r>
          </w:p>
        </w:tc>
      </w:tr>
    </w:tbl>
    <w:p>
      <w:pPr>
        <w:pStyle w:val="Heading3"/>
      </w:pPr>
      <w:r>
        <w:t>Management Acceptance</w:t>
      </w:r>
    </w:p>
    <w:p>
      <w:r>
        <w:t>The accountable business owner and privacy owner must review the residual risks and approve one of the following outcomes for each transfer:</w:t>
      </w:r>
    </w:p>
    <w:tbl>
      <w:tblPr>
        <w:tblStyle w:val="TableGrid"/>
        <w:tblW w:type="auto" w:w="0"/>
        <w:tblLook w:firstColumn="1" w:firstRow="1" w:lastColumn="0" w:lastRow="0" w:noHBand="0" w:noVBand="1" w:val="04A0"/>
      </w:tblPr>
      <w:tblGrid>
        <w:gridCol w:w="4320"/>
        <w:gridCol w:w="4320"/>
      </w:tblGrid>
      <w:tr>
        <w:tc>
          <w:tcPr>
            <w:tcW w:type="dxa" w:w="4320"/>
          </w:tcPr>
          <w:p>
            <w:r>
              <w:t>Approval Option</w:t>
            </w:r>
          </w:p>
        </w:tc>
        <w:tc>
          <w:tcPr>
            <w:tcW w:type="dxa" w:w="4320"/>
          </w:tcPr>
          <w:p>
            <w:r>
              <w:t>Meaning</w:t>
            </w:r>
          </w:p>
        </w:tc>
      </w:tr>
      <w:tr>
        <w:tc>
          <w:tcPr>
            <w:tcW w:type="dxa" w:w="4320"/>
          </w:tcPr>
          <w:p>
            <w:r>
              <w:t>Approved</w:t>
            </w:r>
          </w:p>
        </w:tc>
        <w:tc>
          <w:tcPr>
            <w:tcW w:type="dxa" w:w="4320"/>
          </w:tcPr>
          <w:p>
            <w:r>
              <w:t>Transfer may proceed with current safeguards and routine monitoring.</w:t>
            </w:r>
          </w:p>
        </w:tc>
      </w:tr>
      <w:tr>
        <w:tc>
          <w:tcPr>
            <w:tcW w:type="dxa" w:w="4320"/>
          </w:tcPr>
          <w:p>
            <w:r>
              <w:t>Conditionally approved</w:t>
            </w:r>
          </w:p>
        </w:tc>
        <w:tc>
          <w:tcPr>
            <w:tcW w:type="dxa" w:w="4320"/>
          </w:tcPr>
          <w:p>
            <w:r>
              <w:t>Transfer may proceed only if specified actions are completed by agreed deadlines.</w:t>
            </w:r>
          </w:p>
        </w:tc>
      </w:tr>
      <w:tr>
        <w:tc>
          <w:tcPr>
            <w:tcW w:type="dxa" w:w="4320"/>
          </w:tcPr>
          <w:p>
            <w:r>
              <w:t>Restricted</w:t>
            </w:r>
          </w:p>
        </w:tc>
        <w:tc>
          <w:tcPr>
            <w:tcW w:type="dxa" w:w="4320"/>
          </w:tcPr>
          <w:p>
            <w:r>
              <w:t>Transfer may continue only under defined limitations until remediation is completed.</w:t>
            </w:r>
          </w:p>
        </w:tc>
      </w:tr>
      <w:tr>
        <w:tc>
          <w:tcPr>
            <w:tcW w:type="dxa" w:w="4320"/>
          </w:tcPr>
          <w:p>
            <w:r>
              <w:t>Suspended</w:t>
            </w:r>
          </w:p>
        </w:tc>
        <w:tc>
          <w:tcPr>
            <w:tcW w:type="dxa" w:w="4320"/>
          </w:tcPr>
          <w:p>
            <w:r>
              <w:t>Transfer must stop until required conditions are met.</w:t>
            </w:r>
          </w:p>
        </w:tc>
      </w:tr>
      <w:tr>
        <w:tc>
          <w:tcPr>
            <w:tcW w:type="dxa" w:w="4320"/>
          </w:tcPr>
          <w:p>
            <w:r>
              <w:t>Rejected</w:t>
            </w:r>
          </w:p>
        </w:tc>
        <w:tc>
          <w:tcPr>
            <w:tcW w:type="dxa" w:w="4320"/>
          </w:tcPr>
          <w:p>
            <w:r>
              <w:t>Transfer must not proceed; alternative processing arrangements are required.</w:t>
            </w:r>
          </w:p>
        </w:tc>
      </w:tr>
      <w:tr>
        <w:tc>
          <w:tcPr>
            <w:tcW w:type="dxa" w:w="4320"/>
          </w:tcPr>
          <w:p>
            <w:r>
              <w:t>Risk accepted</w:t>
            </w:r>
          </w:p>
        </w:tc>
        <w:tc>
          <w:tcPr>
            <w:tcW w:type="dxa" w:w="4320"/>
          </w:tcPr>
          <w:p>
            <w:r>
              <w:t>Transfer may proceed despite residual risk following documented senior management approval.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 / Approval</w:t>
            </w:r>
          </w:p>
        </w:tc>
        <w:tc>
          <w:tcPr>
            <w:tcW w:type="dxa" w:w="2160"/>
          </w:tcPr>
          <w:p>
            <w:r>
              <w:t>Date</w:t>
            </w:r>
          </w:p>
        </w:tc>
      </w:tr>
      <w:tr>
        <w:tc>
          <w:tcPr>
            <w:tcW w:type="dxa" w:w="2160"/>
          </w:tcPr>
          <w:p>
            <w:r>
              <w:t>Business Owner</w:t>
            </w:r>
          </w:p>
        </w:tc>
        <w:tc>
          <w:tcPr>
            <w:tcW w:type="dxa" w:w="2160"/>
          </w:tcPr>
          <w:p>
            <w:r>
              <w:t>[Name]</w:t>
            </w:r>
          </w:p>
        </w:tc>
        <w:tc>
          <w:tcPr>
            <w:tcW w:type="dxa" w:w="2160"/>
          </w:tcPr>
          <w:p>
            <w:r>
              <w:t>[Approved / Conditionally Approved / Restricted / Suspended / Rejected / Risk Accepted]</w:t>
            </w:r>
          </w:p>
        </w:tc>
        <w:tc>
          <w:tcPr>
            <w:tcW w:type="dxa" w:w="2160"/>
          </w:tcPr>
          <w:p>
            <w:r>
              <w:t>[DD Month YYYY]</w:t>
            </w:r>
          </w:p>
        </w:tc>
      </w:tr>
      <w:tr>
        <w:tc>
          <w:tcPr>
            <w:tcW w:type="dxa" w:w="2160"/>
          </w:tcPr>
          <w:p>
            <w:r>
              <w:t>Privacy Officer</w:t>
            </w:r>
          </w:p>
        </w:tc>
        <w:tc>
          <w:tcPr>
            <w:tcW w:type="dxa" w:w="2160"/>
          </w:tcPr>
          <w:p>
            <w:r>
              <w:t>[Name]</w:t>
            </w:r>
          </w:p>
        </w:tc>
        <w:tc>
          <w:tcPr>
            <w:tcW w:type="dxa" w:w="2160"/>
          </w:tcPr>
          <w:p>
            <w:r>
              <w:t>[Approved / Conditionally Approved / Restricted / Suspended / Rejected / Risk Accepted]</w:t>
            </w:r>
          </w:p>
        </w:tc>
        <w:tc>
          <w:tcPr>
            <w:tcW w:type="dxa" w:w="2160"/>
          </w:tcPr>
          <w:p>
            <w:r>
              <w:t>[DD Month YYYY]</w:t>
            </w:r>
          </w:p>
        </w:tc>
      </w:tr>
      <w:tr>
        <w:tc>
          <w:tcPr>
            <w:tcW w:type="dxa" w:w="2160"/>
          </w:tcPr>
          <w:p>
            <w:r>
              <w:t>Legal Counsel</w:t>
            </w:r>
          </w:p>
        </w:tc>
        <w:tc>
          <w:tcPr>
            <w:tcW w:type="dxa" w:w="2160"/>
          </w:tcPr>
          <w:p>
            <w:r>
              <w:t>[Name]</w:t>
            </w:r>
          </w:p>
        </w:tc>
        <w:tc>
          <w:tcPr>
            <w:tcW w:type="dxa" w:w="2160"/>
          </w:tcPr>
          <w:p>
            <w:r>
              <w:t>[Approved / Conditionally Approved / Restricted / Suspended / Rejected / Risk Accepted]</w:t>
            </w:r>
          </w:p>
        </w:tc>
        <w:tc>
          <w:tcPr>
            <w:tcW w:type="dxa" w:w="2160"/>
          </w:tcPr>
          <w:p>
            <w:r>
              <w:t>[DD Month YYYY]</w:t>
            </w:r>
          </w:p>
        </w:tc>
      </w:tr>
      <w:tr>
        <w:tc>
          <w:tcPr>
            <w:tcW w:type="dxa" w:w="2160"/>
          </w:tcPr>
          <w:p>
            <w:r>
              <w:t>Information Security Lead</w:t>
            </w:r>
          </w:p>
        </w:tc>
        <w:tc>
          <w:tcPr>
            <w:tcW w:type="dxa" w:w="2160"/>
          </w:tcPr>
          <w:p>
            <w:r>
              <w:t>[Name]</w:t>
            </w:r>
          </w:p>
        </w:tc>
        <w:tc>
          <w:tcPr>
            <w:tcW w:type="dxa" w:w="2160"/>
          </w:tcPr>
          <w:p>
            <w:r>
              <w:t>[Approved / Conditionally Approved / Restricted / Suspended / Rejected / Risk Accepted]</w:t>
            </w:r>
          </w:p>
        </w:tc>
        <w:tc>
          <w:tcPr>
            <w:tcW w:type="dxa" w:w="2160"/>
          </w:tcPr>
          <w:p>
            <w:r>
              <w:t>[DD Month YYYY]</w:t>
            </w:r>
          </w:p>
        </w:tc>
      </w:tr>
      <w:tr>
        <w:tc>
          <w:tcPr>
            <w:tcW w:type="dxa" w:w="2160"/>
          </w:tcPr>
          <w:p>
            <w:r>
              <w:t>Executive Sponsor</w:t>
            </w:r>
          </w:p>
        </w:tc>
        <w:tc>
          <w:tcPr>
            <w:tcW w:type="dxa" w:w="2160"/>
          </w:tcPr>
          <w:p>
            <w:r>
              <w:t>[Name]</w:t>
            </w:r>
          </w:p>
        </w:tc>
        <w:tc>
          <w:tcPr>
            <w:tcW w:type="dxa" w:w="2160"/>
          </w:tcPr>
          <w:p>
            <w:r>
              <w:t>[Approved / Conditionally Approved / Restricted / Suspended / Rejected / Risk Accepted]</w:t>
            </w:r>
          </w:p>
        </w:tc>
        <w:tc>
          <w:tcPr>
            <w:tcW w:type="dxa" w:w="2160"/>
          </w:tcPr>
          <w:p>
            <w:r>
              <w:t>[DD Month YYYY]</w:t>
            </w:r>
          </w:p>
        </w:tc>
      </w:tr>
    </w:tbl>
    <w:p>
      <w:pPr>
        <w:pStyle w:val="Heading2"/>
      </w:pPr>
      <w:r>
        <w:t>Distribution &amp; Confidentiality</w:t>
      </w:r>
    </w:p>
    <w:p>
      <w:r>
        <w:t>This report contains confidential information about personal data transfers, vendors, systems, countries of processing, contractual safeguards, and security controls. It must be handled as confidential internal governance material.</w:t>
      </w:r>
    </w:p>
    <w:p>
      <w:pPr>
        <w:pStyle w:val="Heading3"/>
      </w:pPr>
      <w:r>
        <w:t>Authorised Distribution</w:t>
      </w:r>
    </w:p>
    <w:tbl>
      <w:tblPr>
        <w:tblStyle w:val="TableGrid"/>
        <w:tblW w:type="auto" w:w="0"/>
        <w:tblLook w:firstColumn="1" w:firstRow="1" w:lastColumn="0" w:lastRow="0" w:noHBand="0" w:noVBand="1" w:val="04A0"/>
      </w:tblPr>
      <w:tblGrid>
        <w:gridCol w:w="4320"/>
        <w:gridCol w:w="4320"/>
      </w:tblGrid>
      <w:tr>
        <w:tc>
          <w:tcPr>
            <w:tcW w:type="dxa" w:w="4320"/>
          </w:tcPr>
          <w:p>
            <w:r>
              <w:t>Recipient Group</w:t>
            </w:r>
          </w:p>
        </w:tc>
        <w:tc>
          <w:tcPr>
            <w:tcW w:type="dxa" w:w="4320"/>
          </w:tcPr>
          <w:p>
            <w:r>
              <w:t>Access Purpose</w:t>
            </w:r>
          </w:p>
        </w:tc>
      </w:tr>
      <w:tr>
        <w:tc>
          <w:tcPr>
            <w:tcW w:type="dxa" w:w="4320"/>
          </w:tcPr>
          <w:p>
            <w:r>
              <w:t>Executive management</w:t>
            </w:r>
          </w:p>
        </w:tc>
        <w:tc>
          <w:tcPr>
            <w:tcW w:type="dxa" w:w="4320"/>
          </w:tcPr>
          <w:p>
            <w:r>
              <w:t>Risk review, decision-making, and approval of high-risk transfers.</w:t>
            </w:r>
          </w:p>
        </w:tc>
      </w:tr>
      <w:tr>
        <w:tc>
          <w:tcPr>
            <w:tcW w:type="dxa" w:w="4320"/>
          </w:tcPr>
          <w:p>
            <w:r>
              <w:t>Privacy and data protection team</w:t>
            </w:r>
          </w:p>
        </w:tc>
        <w:tc>
          <w:tcPr>
            <w:tcW w:type="dxa" w:w="4320"/>
          </w:tcPr>
          <w:p>
            <w:r>
              <w:t>Compliance management and remediation tracking.</w:t>
            </w:r>
          </w:p>
        </w:tc>
      </w:tr>
      <w:tr>
        <w:tc>
          <w:tcPr>
            <w:tcW w:type="dxa" w:w="4320"/>
          </w:tcPr>
          <w:p>
            <w:r>
              <w:t>Legal department</w:t>
            </w:r>
          </w:p>
        </w:tc>
        <w:tc>
          <w:tcPr>
            <w:tcW w:type="dxa" w:w="4320"/>
          </w:tcPr>
          <w:p>
            <w:r>
              <w:t>Contract review, transfer assessment, and regulatory advice.</w:t>
            </w:r>
          </w:p>
        </w:tc>
      </w:tr>
      <w:tr>
        <w:tc>
          <w:tcPr>
            <w:tcW w:type="dxa" w:w="4320"/>
          </w:tcPr>
          <w:p>
            <w:r>
              <w:t>Information security team</w:t>
            </w:r>
          </w:p>
        </w:tc>
        <w:tc>
          <w:tcPr>
            <w:tcW w:type="dxa" w:w="4320"/>
          </w:tcPr>
          <w:p>
            <w:r>
              <w:t>Technical safeguard validation and risk treatment.</w:t>
            </w:r>
          </w:p>
        </w:tc>
      </w:tr>
      <w:tr>
        <w:tc>
          <w:tcPr>
            <w:tcW w:type="dxa" w:w="4320"/>
          </w:tcPr>
          <w:p>
            <w:r>
              <w:t>Procurement and vendor management</w:t>
            </w:r>
          </w:p>
        </w:tc>
        <w:tc>
          <w:tcPr>
            <w:tcW w:type="dxa" w:w="4320"/>
          </w:tcPr>
          <w:p>
            <w:r>
              <w:t>Vendor due diligence, contract updates, and supplier oversight.</w:t>
            </w:r>
          </w:p>
        </w:tc>
      </w:tr>
      <w:tr>
        <w:tc>
          <w:tcPr>
            <w:tcW w:type="dxa" w:w="4320"/>
          </w:tcPr>
          <w:p>
            <w:r>
              <w:t>Business system owners</w:t>
            </w:r>
          </w:p>
        </w:tc>
        <w:tc>
          <w:tcPr>
            <w:tcW w:type="dxa" w:w="4320"/>
          </w:tcPr>
          <w:p>
            <w:r>
              <w:t>Data minimisation, process control, and operational remediation.</w:t>
            </w:r>
          </w:p>
        </w:tc>
      </w:tr>
      <w:tr>
        <w:tc>
          <w:tcPr>
            <w:tcW w:type="dxa" w:w="4320"/>
          </w:tcPr>
          <w:p>
            <w:r>
              <w:t>Internal audit</w:t>
            </w:r>
          </w:p>
        </w:tc>
        <w:tc>
          <w:tcPr>
            <w:tcW w:type="dxa" w:w="4320"/>
          </w:tcPr>
          <w:p>
            <w:r>
              <w:t>Assurance review and evidence validation.</w:t>
            </w:r>
          </w:p>
        </w:tc>
      </w:tr>
      <w:tr>
        <w:tc>
          <w:tcPr>
            <w:tcW w:type="dxa" w:w="4320"/>
          </w:tcPr>
          <w:p>
            <w:r>
              <w:t>External advisers</w:t>
            </w:r>
          </w:p>
        </w:tc>
        <w:tc>
          <w:tcPr>
            <w:tcW w:type="dxa" w:w="4320"/>
          </w:tcPr>
          <w:p>
            <w:r>
              <w:t>Legal, privacy, or security advice under confidentiality obligations.</w:t>
            </w:r>
          </w:p>
        </w:tc>
      </w:tr>
      <w:tr>
        <w:tc>
          <w:tcPr>
            <w:tcW w:type="dxa" w:w="4320"/>
          </w:tcPr>
          <w:p>
            <w:r>
              <w:t>Regulators or competent authorities</w:t>
            </w:r>
          </w:p>
        </w:tc>
        <w:tc>
          <w:tcPr>
            <w:tcW w:type="dxa" w:w="4320"/>
          </w:tcPr>
          <w:p>
            <w:r>
              <w:t>Only where formally required and approved by legal counsel and authorised management.</w:t>
            </w:r>
          </w:p>
        </w:tc>
      </w:tr>
    </w:tbl>
    <w:p>
      <w:pPr>
        <w:pStyle w:val="Heading3"/>
      </w:pPr>
      <w:r>
        <w:t>Confidentiality Requirements</w:t>
      </w:r>
    </w:p>
    <w:p>
      <w:r>
        <w:t>Recipients of this report must:</w:t>
      </w:r>
    </w:p>
    <w:p>
      <w:pPr>
        <w:pStyle w:val="ListBullet"/>
      </w:pPr>
      <w:r>
        <w:t>Use the report only for approved governance, compliance, legal, security, audit, or management purposes.</w:t>
      </w:r>
    </w:p>
    <w:p>
      <w:pPr>
        <w:pStyle w:val="ListBullet"/>
      </w:pPr>
      <w:r>
        <w:t>Not distribute the report outside authorised recipients without approval from [Privacy Officer / Legal Counsel].</w:t>
      </w:r>
    </w:p>
    <w:p>
      <w:pPr>
        <w:pStyle w:val="ListBullet"/>
      </w:pPr>
      <w:r>
        <w:t>Store the report in an approved document repository with access controls.</w:t>
      </w:r>
    </w:p>
    <w:p>
      <w:pPr>
        <w:pStyle w:val="ListBullet"/>
      </w:pPr>
      <w:r>
        <w:t>Avoid copying report extracts into uncontrolled files, emails, or collaboration channels.</w:t>
      </w:r>
    </w:p>
    <w:p>
      <w:pPr>
        <w:pStyle w:val="ListBullet"/>
      </w:pPr>
      <w:r>
        <w:t>Protect vendor security information and contractual details from unauthorised disclosure.</w:t>
      </w:r>
    </w:p>
    <w:p>
      <w:pPr>
        <w:pStyle w:val="ListBullet"/>
      </w:pPr>
      <w:r>
        <w:t>Ensure any external disclosure is reviewed by legal counsel before release.</w:t>
      </w:r>
    </w:p>
    <w:p>
      <w:pPr>
        <w:pStyle w:val="ListBullet"/>
      </w:pPr>
      <w:r>
        <w:t>Retain the report according to the organisation’s governance and records retention requirements.</w:t>
      </w:r>
    </w:p>
    <w:p>
      <w:pPr>
        <w:pStyle w:val="Heading3"/>
      </w:pPr>
      <w:r>
        <w:t>Report Handling</w:t>
      </w:r>
    </w:p>
    <w:tbl>
      <w:tblPr>
        <w:tblStyle w:val="TableGrid"/>
        <w:tblW w:type="auto" w:w="0"/>
        <w:tblLook w:firstColumn="1" w:firstRow="1" w:lastColumn="0" w:lastRow="0" w:noHBand="0" w:noVBand="1" w:val="04A0"/>
      </w:tblPr>
      <w:tblGrid>
        <w:gridCol w:w="4320"/>
        <w:gridCol w:w="4320"/>
      </w:tblGrid>
      <w:tr>
        <w:tc>
          <w:tcPr>
            <w:tcW w:type="dxa" w:w="4320"/>
          </w:tcPr>
          <w:p>
            <w:r>
              <w:t>Handling Requirement</w:t>
            </w:r>
          </w:p>
        </w:tc>
        <w:tc>
          <w:tcPr>
            <w:tcW w:type="dxa" w:w="4320"/>
          </w:tcPr>
          <w:p>
            <w:r>
              <w:t>Instruction</w:t>
            </w:r>
          </w:p>
        </w:tc>
      </w:tr>
      <w:tr>
        <w:tc>
          <w:tcPr>
            <w:tcW w:type="dxa" w:w="4320"/>
          </w:tcPr>
          <w:p>
            <w:r>
              <w:t>Storage location</w:t>
            </w:r>
          </w:p>
        </w:tc>
        <w:tc>
          <w:tcPr>
            <w:tcW w:type="dxa" w:w="4320"/>
          </w:tcPr>
          <w:p>
            <w:r>
              <w:t>[Approved GRC Repository / Document Management System]</w:t>
            </w:r>
          </w:p>
        </w:tc>
      </w:tr>
      <w:tr>
        <w:tc>
          <w:tcPr>
            <w:tcW w:type="dxa" w:w="4320"/>
          </w:tcPr>
          <w:p>
            <w:r>
              <w:t>Access control</w:t>
            </w:r>
          </w:p>
        </w:tc>
        <w:tc>
          <w:tcPr>
            <w:tcW w:type="dxa" w:w="4320"/>
          </w:tcPr>
          <w:p>
            <w:r>
              <w:t>Restricted to authorised roles listed above</w:t>
            </w:r>
          </w:p>
        </w:tc>
      </w:tr>
      <w:tr>
        <w:tc>
          <w:tcPr>
            <w:tcW w:type="dxa" w:w="4320"/>
          </w:tcPr>
          <w:p>
            <w:r>
              <w:t>External sharing</w:t>
            </w:r>
          </w:p>
        </w:tc>
        <w:tc>
          <w:tcPr>
            <w:tcW w:type="dxa" w:w="4320"/>
          </w:tcPr>
          <w:p>
            <w:r>
              <w:t>Requires approval from [Legal Counsel] and [Privacy Officer]</w:t>
            </w:r>
          </w:p>
        </w:tc>
      </w:tr>
      <w:tr>
        <w:tc>
          <w:tcPr>
            <w:tcW w:type="dxa" w:w="4320"/>
          </w:tcPr>
          <w:p>
            <w:r>
              <w:t>Retention period</w:t>
            </w:r>
          </w:p>
        </w:tc>
        <w:tc>
          <w:tcPr>
            <w:tcW w:type="dxa" w:w="4320"/>
          </w:tcPr>
          <w:p>
            <w:r>
              <w:t>[Retention Period] or as required for legal, audit, or regulatory purposes</w:t>
            </w:r>
          </w:p>
        </w:tc>
      </w:tr>
      <w:tr>
        <w:tc>
          <w:tcPr>
            <w:tcW w:type="dxa" w:w="4320"/>
          </w:tcPr>
          <w:p>
            <w:r>
              <w:t>Disposal</w:t>
            </w:r>
          </w:p>
        </w:tc>
        <w:tc>
          <w:tcPr>
            <w:tcW w:type="dxa" w:w="4320"/>
          </w:tcPr>
          <w:p>
            <w:r>
              <w:t>Secure deletion from approved repositories when retention expires</w:t>
            </w:r>
          </w:p>
        </w:tc>
      </w:tr>
      <w:tr>
        <w:tc>
          <w:tcPr>
            <w:tcW w:type="dxa" w:w="4320"/>
          </w:tcPr>
          <w:p>
            <w:r>
              <w:t>Version control</w:t>
            </w:r>
          </w:p>
        </w:tc>
        <w:tc>
          <w:tcPr>
            <w:tcW w:type="dxa" w:w="4320"/>
          </w:tcPr>
          <w:p>
            <w:r>
              <w:t>Maintained by [Privacy Officer / GRC Team]</w:t>
            </w:r>
          </w:p>
        </w:tc>
      </w:tr>
      <w:tr>
        <w:tc>
          <w:tcPr>
            <w:tcW w:type="dxa" w:w="4320"/>
          </w:tcPr>
          <w:p>
            <w:r>
              <w:t>Review frequency</w:t>
            </w:r>
          </w:p>
        </w:tc>
        <w:tc>
          <w:tcPr>
            <w:tcW w:type="dxa" w:w="4320"/>
          </w:tcPr>
          <w:p>
            <w:r>
              <w:t>At least annually or upon material change to transfer arrangements</w:t>
            </w:r>
          </w:p>
        </w:tc>
      </w:tr>
    </w:tbl>
    <w:p>
      <w:pPr>
        <w:pStyle w:val="Heading3"/>
      </w:pPr>
      <w:r>
        <w:t>Material Change Triggers</w:t>
      </w:r>
    </w:p>
    <w:p>
      <w:r>
        <w:t>This report must be reviewed and updated if any of the following occur:</w:t>
      </w:r>
    </w:p>
    <w:p>
      <w:pPr>
        <w:pStyle w:val="ListBullet"/>
      </w:pPr>
      <w:r>
        <w:t>A new overseas recipient is introduced.</w:t>
      </w:r>
    </w:p>
    <w:p>
      <w:pPr>
        <w:pStyle w:val="ListBullet"/>
      </w:pPr>
      <w:r>
        <w:t>Personal data is transferred to a new country.</w:t>
      </w:r>
    </w:p>
    <w:p>
      <w:pPr>
        <w:pStyle w:val="ListBullet"/>
      </w:pPr>
      <w:r>
        <w:t>A vendor changes hosting region or support location.</w:t>
      </w:r>
    </w:p>
    <w:p>
      <w:pPr>
        <w:pStyle w:val="ListBullet"/>
      </w:pPr>
      <w:r>
        <w:t>A new subprocessor is added for material processing.</w:t>
      </w:r>
    </w:p>
    <w:p>
      <w:pPr>
        <w:pStyle w:val="ListBullet"/>
      </w:pPr>
      <w:r>
        <w:t>Sensitive personal data is added to a transfer.</w:t>
      </w:r>
    </w:p>
    <w:p>
      <w:pPr>
        <w:pStyle w:val="ListBullet"/>
      </w:pPr>
      <w:r>
        <w:t>The volume or nature of personal data materially changes.</w:t>
      </w:r>
    </w:p>
    <w:p>
      <w:pPr>
        <w:pStyle w:val="ListBullet"/>
      </w:pPr>
      <w:r>
        <w:t>A new system integration, migration, or outsourcing arrangement is implemented.</w:t>
      </w:r>
    </w:p>
    <w:p>
      <w:pPr>
        <w:pStyle w:val="ListBullet"/>
      </w:pPr>
      <w:r>
        <w:t>A relevant vendor suffers a security incident.</w:t>
      </w:r>
    </w:p>
    <w:p>
      <w:pPr>
        <w:pStyle w:val="ListBullet"/>
      </w:pPr>
      <w:r>
        <w:t>Contractual safeguards change or expire.</w:t>
      </w:r>
    </w:p>
    <w:p>
      <w:pPr>
        <w:pStyle w:val="ListBullet"/>
      </w:pPr>
      <w:r>
        <w:t>Local legal, regulatory, political, or security conditions in the destination country materially change.</w:t>
      </w:r>
    </w:p>
    <w:p>
      <w:pPr>
        <w:pStyle w:val="ListBullet"/>
      </w:pPr>
      <w:r>
        <w:t>A regulator, court, or competent authority requests information about the transfer.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