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Data Breach Notification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[PDPL-PROC-004]</w:t>
            </w:r>
          </w:p>
        </w:tc>
        <w:tc>
          <w:tcPr>
            <w:tcW w:type="dxa" w:w="1440"/>
          </w:tcPr>
          <w:p>
            <w:r>
              <w:t>1.0</w:t>
            </w:r>
          </w:p>
        </w:tc>
        <w:tc>
          <w:tcPr>
            <w:tcW w:type="dxa" w:w="1440"/>
          </w:tcPr>
          <w:p>
            <w:r>
              <w:t>Data Protection Officer / Privacy Office</w:t>
            </w:r>
          </w:p>
        </w:tc>
        <w:tc>
          <w:tcPr>
            <w:tcW w:type="dxa" w:w="1440"/>
          </w:tcPr>
          <w:p>
            <w:r>
              <w:t>[DD Month YYYY]</w:t>
            </w:r>
          </w:p>
        </w:tc>
        <w:tc>
          <w:tcPr>
            <w:tcW w:type="dxa" w:w="1440"/>
          </w:tcPr>
          <w:p>
            <w:r>
              <w:t>Saudi Personal Data Protection Law</w:t>
            </w:r>
          </w:p>
        </w:tc>
        <w:tc>
          <w:tcPr>
            <w:tcW w:type="dxa" w:w="1440"/>
          </w:tcPr>
          <w:p>
            <w:r>
              <w:t>Internal Use</w:t>
            </w:r>
          </w:p>
        </w:tc>
      </w:tr>
    </w:tbl>
    <w:p>
      <w:pPr>
        <w:pStyle w:val="Heading2"/>
      </w:pPr>
      <w:r>
        <w:t>Purpose</w:t>
      </w:r>
    </w:p>
    <w:p>
      <w:r>
        <w:t>This procedure defines how [Organisation Name] identifies, assesses, escalates, documents, and notifies personal data breaches under the Saudi Personal Data Protection Law.</w:t>
      </w:r>
    </w:p>
    <w:p>
      <w:r>
        <w:t>The procedure ensures that:</w:t>
      </w:r>
    </w:p>
    <w:p>
      <w:pPr>
        <w:pStyle w:val="ListBullet"/>
      </w:pPr>
      <w:r>
        <w:t>Personal data breaches are handled quickly, consistently, and lawfully.</w:t>
      </w:r>
    </w:p>
    <w:p>
      <w:pPr>
        <w:pStyle w:val="ListBullet"/>
      </w:pPr>
      <w:r>
        <w:t>The Saudi Data &amp; AI Authority (SDAIA) is notified within the required timeframe where notification is required.</w:t>
      </w:r>
    </w:p>
    <w:p>
      <w:pPr>
        <w:pStyle w:val="ListBullet"/>
      </w:pPr>
      <w:r>
        <w:t>Affected data subjects are notified where the breach may cause substantial harm to their data or rights.</w:t>
      </w:r>
    </w:p>
    <w:p>
      <w:pPr>
        <w:pStyle w:val="ListBullet"/>
      </w:pPr>
      <w:r>
        <w:t>Internal stakeholders understand their responsibilities during breach response.</w:t>
      </w:r>
    </w:p>
    <w:p>
      <w:pPr>
        <w:pStyle w:val="ListBullet"/>
      </w:pPr>
      <w:r>
        <w:t>Evidence, decisions, notifications, and remediation actions are retained for audit and regulatory review.</w:t>
      </w:r>
    </w:p>
    <w:p>
      <w:pPr>
        <w:pStyle w:val="Heading2"/>
      </w:pPr>
      <w:r>
        <w:t>Scope</w:t>
      </w:r>
    </w:p>
    <w:p>
      <w:r>
        <w:t>This procedure applies to all personal data processed by or on behalf of [Organisation Name], including personal data relating to customers, employees, contractors, suppliers, visitors, patients, students, users, beneficiaries, or any other identifiable individuals.</w:t>
      </w:r>
    </w:p>
    <w:p>
      <w:r>
        <w:t>It applies to personal data in all formats and environments, including:</w:t>
      </w:r>
    </w:p>
    <w:p>
      <w:pPr>
        <w:pStyle w:val="ListBullet"/>
      </w:pPr>
      <w:r>
        <w:t>Production systems, applications, databases, cloud platforms, end-user devices, paper files, backups, logs, email, collaboration tools, removable media, and third-party systems.</w:t>
      </w:r>
    </w:p>
    <w:p>
      <w:pPr>
        <w:pStyle w:val="ListBullet"/>
      </w:pPr>
      <w:r>
        <w:t>Personal data processed inside or outside the Kingdom of Saudi Arabia where [Organisation Name] is the controller or has notification obligations.</w:t>
      </w:r>
    </w:p>
    <w:p>
      <w:pPr>
        <w:pStyle w:val="ListBullet"/>
      </w:pPr>
      <w:r>
        <w:t>Personal data handled by processors, service providers, business partners, consultants, or outsourced teams acting on behalf of [Organisation Name].</w:t>
      </w:r>
    </w:p>
    <w:p>
      <w:r>
        <w:t>This procedure covers actual or suspected personal data breaches, including but not limited to:</w:t>
      </w:r>
    </w:p>
    <w:p>
      <w:pPr>
        <w:pStyle w:val="ListBullet"/>
      </w:pPr>
      <w:r>
        <w:t>Unauthorised access to personal data.</w:t>
      </w:r>
    </w:p>
    <w:p>
      <w:pPr>
        <w:pStyle w:val="ListBullet"/>
      </w:pPr>
      <w:r>
        <w:t>Unauthorised disclosure or sharing of personal data.</w:t>
      </w:r>
    </w:p>
    <w:p>
      <w:pPr>
        <w:pStyle w:val="ListBullet"/>
      </w:pPr>
      <w:r>
        <w:t>Loss, theft, alteration, destruction, corruption, or unavailability of personal data.</w:t>
      </w:r>
    </w:p>
    <w:p>
      <w:pPr>
        <w:pStyle w:val="ListBullet"/>
      </w:pPr>
      <w:r>
        <w:t>Sending personal data to the wrong recipient.</w:t>
      </w:r>
    </w:p>
    <w:p>
      <w:pPr>
        <w:pStyle w:val="ListBullet"/>
      </w:pPr>
      <w:r>
        <w:t>Misconfigured systems exposing personal data.</w:t>
      </w:r>
    </w:p>
    <w:p>
      <w:pPr>
        <w:pStyle w:val="ListBullet"/>
      </w:pPr>
      <w:r>
        <w:t>Ransomware or malware affecting personal data.</w:t>
      </w:r>
    </w:p>
    <w:p>
      <w:pPr>
        <w:pStyle w:val="ListBullet"/>
      </w:pPr>
      <w:r>
        <w:t>Insider misuse or unauthorised copying of personal data.</w:t>
      </w:r>
    </w:p>
    <w:p>
      <w:pPr>
        <w:pStyle w:val="ListBullet"/>
      </w:pPr>
      <w:r>
        <w:t>Breach incidents reported by third-party processors or service providers.</w:t>
      </w:r>
    </w:p>
    <w:p>
      <w:pPr>
        <w:pStyle w:val="ListBullet"/>
      </w:pPr>
      <w:r>
        <w:t>Accidental publication of personal data on public channels.</w:t>
      </w:r>
    </w:p>
    <w:p>
      <w:pPr>
        <w:pStyle w:val="ListBullet"/>
      </w:pPr>
      <w:r>
        <w:t>Loss of paper records, laptops, mobile devices, removable media, or credentials.</w:t>
      </w:r>
    </w:p>
    <w:p>
      <w:r>
        <w:t>This procedure does not replace the Cybersecurity Incident Response Procedure, Business Continuity Plan, Legal Hold Procedure, or Disciplinary Procedure. Where relevant, those procedures must operate in parallel.</w:t>
      </w:r>
    </w:p>
    <w:p>
      <w:pPr>
        <w:pStyle w:val="Heading2"/>
      </w:pPr>
      <w:r>
        <w:t>Prerequisites &amp; Inputs</w:t>
      </w:r>
    </w:p>
    <w:p>
      <w:r>
        <w:t>The following prerequisites must be in place to execute this procedure effectively:</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w:t>
            </w:r>
          </w:p>
        </w:tc>
        <w:tc>
          <w:tcPr>
            <w:tcW w:type="dxa" w:w="2880"/>
          </w:tcPr>
          <w:p>
            <w:r>
              <w:t>Description</w:t>
            </w:r>
          </w:p>
        </w:tc>
        <w:tc>
          <w:tcPr>
            <w:tcW w:type="dxa" w:w="2880"/>
          </w:tcPr>
          <w:p>
            <w:r>
              <w:t>Owner</w:t>
            </w:r>
          </w:p>
        </w:tc>
      </w:tr>
      <w:tr>
        <w:tc>
          <w:tcPr>
            <w:tcW w:type="dxa" w:w="2880"/>
          </w:tcPr>
          <w:p>
            <w:r>
              <w:t>Breach reporting channel</w:t>
            </w:r>
          </w:p>
        </w:tc>
        <w:tc>
          <w:tcPr>
            <w:tcW w:type="dxa" w:w="2880"/>
          </w:tcPr>
          <w:p>
            <w:r>
              <w:t>A monitored channel for employees, processors, and third parties to report suspected personal data breaches, such as [privacy@[organisation].com], [security operations portal], or [hotline].</w:t>
            </w:r>
          </w:p>
        </w:tc>
        <w:tc>
          <w:tcPr>
            <w:tcW w:type="dxa" w:w="2880"/>
          </w:tcPr>
          <w:p>
            <w:r>
              <w:t>Privacy Office / Information Security</w:t>
            </w:r>
          </w:p>
        </w:tc>
      </w:tr>
      <w:tr>
        <w:tc>
          <w:tcPr>
            <w:tcW w:type="dxa" w:w="2880"/>
          </w:tcPr>
          <w:p>
            <w:r>
              <w:t>Incident management system</w:t>
            </w:r>
          </w:p>
        </w:tc>
        <w:tc>
          <w:tcPr>
            <w:tcW w:type="dxa" w:w="2880"/>
          </w:tcPr>
          <w:p>
            <w:r>
              <w:t>A system for logging, tracking, assigning, and evidencing breach response activities.</w:t>
            </w:r>
          </w:p>
        </w:tc>
        <w:tc>
          <w:tcPr>
            <w:tcW w:type="dxa" w:w="2880"/>
          </w:tcPr>
          <w:p>
            <w:r>
              <w:t>Information Security</w:t>
            </w:r>
          </w:p>
        </w:tc>
      </w:tr>
      <w:tr>
        <w:tc>
          <w:tcPr>
            <w:tcW w:type="dxa" w:w="2880"/>
          </w:tcPr>
          <w:p>
            <w:r>
              <w:t>Personal data inventory</w:t>
            </w:r>
          </w:p>
        </w:tc>
        <w:tc>
          <w:tcPr>
            <w:tcW w:type="dxa" w:w="2880"/>
          </w:tcPr>
          <w:p>
            <w:r>
              <w:t>Current record of systems, processing activities, data categories, data subjects, retention periods, processors, and cross-border transfers.</w:t>
            </w:r>
          </w:p>
        </w:tc>
        <w:tc>
          <w:tcPr>
            <w:tcW w:type="dxa" w:w="2880"/>
          </w:tcPr>
          <w:p>
            <w:r>
              <w:t>Privacy Office / Data Owners</w:t>
            </w:r>
          </w:p>
        </w:tc>
      </w:tr>
      <w:tr>
        <w:tc>
          <w:tcPr>
            <w:tcW w:type="dxa" w:w="2880"/>
          </w:tcPr>
          <w:p>
            <w:r>
              <w:t>Processor contact list</w:t>
            </w:r>
          </w:p>
        </w:tc>
        <w:tc>
          <w:tcPr>
            <w:tcW w:type="dxa" w:w="2880"/>
          </w:tcPr>
          <w:p>
            <w:r>
              <w:t>Current breach escalation contacts for processors and service providers handling personal data.</w:t>
            </w:r>
          </w:p>
        </w:tc>
        <w:tc>
          <w:tcPr>
            <w:tcW w:type="dxa" w:w="2880"/>
          </w:tcPr>
          <w:p>
            <w:r>
              <w:t>Procurement / Vendor Management</w:t>
            </w:r>
          </w:p>
        </w:tc>
      </w:tr>
      <w:tr>
        <w:tc>
          <w:tcPr>
            <w:tcW w:type="dxa" w:w="2880"/>
          </w:tcPr>
          <w:p>
            <w:r>
              <w:t>Regulatory notification template</w:t>
            </w:r>
          </w:p>
        </w:tc>
        <w:tc>
          <w:tcPr>
            <w:tcW w:type="dxa" w:w="2880"/>
          </w:tcPr>
          <w:p>
            <w:r>
              <w:t>Approved template for notifying SDAIA of a reportable personal data breach.</w:t>
            </w:r>
          </w:p>
        </w:tc>
        <w:tc>
          <w:tcPr>
            <w:tcW w:type="dxa" w:w="2880"/>
          </w:tcPr>
          <w:p>
            <w:r>
              <w:t>Privacy Office / Legal</w:t>
            </w:r>
          </w:p>
        </w:tc>
      </w:tr>
      <w:tr>
        <w:tc>
          <w:tcPr>
            <w:tcW w:type="dxa" w:w="2880"/>
          </w:tcPr>
          <w:p>
            <w:r>
              <w:t>Data subject notification template</w:t>
            </w:r>
          </w:p>
        </w:tc>
        <w:tc>
          <w:tcPr>
            <w:tcW w:type="dxa" w:w="2880"/>
          </w:tcPr>
          <w:p>
            <w:r>
              <w:t>Approved template for notifying affected individuals where required.</w:t>
            </w:r>
          </w:p>
        </w:tc>
        <w:tc>
          <w:tcPr>
            <w:tcW w:type="dxa" w:w="2880"/>
          </w:tcPr>
          <w:p>
            <w:r>
              <w:t>Privacy Office / Communications</w:t>
            </w:r>
          </w:p>
        </w:tc>
      </w:tr>
      <w:tr>
        <w:tc>
          <w:tcPr>
            <w:tcW w:type="dxa" w:w="2880"/>
          </w:tcPr>
          <w:p>
            <w:r>
              <w:t>Internal escalation matrix</w:t>
            </w:r>
          </w:p>
        </w:tc>
        <w:tc>
          <w:tcPr>
            <w:tcW w:type="dxa" w:w="2880"/>
          </w:tcPr>
          <w:p>
            <w:r>
              <w:t>Defined contacts for Legal, Information Security, Privacy, Executive Management, Communications, HR, Customer Support, and Business Owners.</w:t>
            </w:r>
          </w:p>
        </w:tc>
        <w:tc>
          <w:tcPr>
            <w:tcW w:type="dxa" w:w="2880"/>
          </w:tcPr>
          <w:p>
            <w:r>
              <w:t>Privacy Office</w:t>
            </w:r>
          </w:p>
        </w:tc>
      </w:tr>
      <w:tr>
        <w:tc>
          <w:tcPr>
            <w:tcW w:type="dxa" w:w="2880"/>
          </w:tcPr>
          <w:p>
            <w:r>
              <w:t>Evidence preservation guidance</w:t>
            </w:r>
          </w:p>
        </w:tc>
        <w:tc>
          <w:tcPr>
            <w:tcW w:type="dxa" w:w="2880"/>
          </w:tcPr>
          <w:p>
            <w:r>
              <w:t>Instructions for preserving logs, emails, device images, access records, and related evidence.</w:t>
            </w:r>
          </w:p>
        </w:tc>
        <w:tc>
          <w:tcPr>
            <w:tcW w:type="dxa" w:w="2880"/>
          </w:tcPr>
          <w:p>
            <w:r>
              <w:t>Information Security / Legal</w:t>
            </w:r>
          </w:p>
        </w:tc>
      </w:tr>
      <w:tr>
        <w:tc>
          <w:tcPr>
            <w:tcW w:type="dxa" w:w="2880"/>
          </w:tcPr>
          <w:p>
            <w:r>
              <w:t>Authority to act</w:t>
            </w:r>
          </w:p>
        </w:tc>
        <w:tc>
          <w:tcPr>
            <w:tcW w:type="dxa" w:w="2880"/>
          </w:tcPr>
          <w:p>
            <w:r>
              <w:t>Pre-approved authority for the Incident Response Lead and Privacy Office to contain incidents, request evidence, and escalate urgent matters.</w:t>
            </w:r>
          </w:p>
        </w:tc>
        <w:tc>
          <w:tcPr>
            <w:tcW w:type="dxa" w:w="2880"/>
          </w:tcPr>
          <w:p>
            <w:r>
              <w:t>Executive Management</w:t>
            </w:r>
          </w:p>
        </w:tc>
      </w:tr>
    </w:tbl>
    <w:p>
      <w:r>
        <w:t>Inputs for this procedure may include:</w:t>
      </w:r>
    </w:p>
    <w:p>
      <w:pPr>
        <w:pStyle w:val="ListBullet"/>
      </w:pPr>
      <w:r>
        <w:t>Employee, customer, vendor, or public reports of suspected breach.</w:t>
      </w:r>
    </w:p>
    <w:p>
      <w:pPr>
        <w:pStyle w:val="ListBullet"/>
      </w:pPr>
      <w:r>
        <w:t>Security alerts from monitoring tools, SIEM, endpoint detection, DLP, cloud security, email security, or access management systems.</w:t>
      </w:r>
    </w:p>
    <w:p>
      <w:pPr>
        <w:pStyle w:val="ListBullet"/>
      </w:pPr>
      <w:r>
        <w:t>Third-party processor breach notifications.</w:t>
      </w:r>
    </w:p>
    <w:p>
      <w:pPr>
        <w:pStyle w:val="ListBullet"/>
      </w:pPr>
      <w:r>
        <w:t>Helpdesk tickets.</w:t>
      </w:r>
    </w:p>
    <w:p>
      <w:pPr>
        <w:pStyle w:val="ListBullet"/>
      </w:pPr>
      <w:r>
        <w:t>Audit findings.</w:t>
      </w:r>
    </w:p>
    <w:p>
      <w:pPr>
        <w:pStyle w:val="ListBullet"/>
      </w:pPr>
      <w:r>
        <w:t>Data loss prevention alerts.</w:t>
      </w:r>
    </w:p>
    <w:p>
      <w:pPr>
        <w:pStyle w:val="ListBullet"/>
      </w:pPr>
      <w:r>
        <w:t>Media reports or social media posts.</w:t>
      </w:r>
    </w:p>
    <w:p>
      <w:pPr>
        <w:pStyle w:val="ListBullet"/>
      </w:pPr>
      <w:r>
        <w:t>Complaints from data subjects.</w:t>
      </w:r>
    </w:p>
    <w:p>
      <w:pPr>
        <w:pStyle w:val="ListBullet"/>
      </w:pPr>
      <w:r>
        <w:t>Discovery of exposed personal data on public websites, repositories, or storage locations.</w:t>
      </w:r>
    </w:p>
    <w:p>
      <w:pPr>
        <w:pStyle w:val="ListBullet"/>
      </w:pPr>
      <w:r>
        <w:t>Law enforcement or regulator communications.</w:t>
      </w:r>
    </w:p>
    <w:p>
      <w:pPr>
        <w:pStyle w:val="ListBullet"/>
      </w:pPr>
      <w:r>
        <w:t>Business unit escalation.</w:t>
      </w:r>
    </w:p>
    <w:p>
      <w:r>
        <w:t>Key timing principle:</w:t>
      </w:r>
    </w:p>
    <w:tbl>
      <w:tblPr>
        <w:tblStyle w:val="TableGrid"/>
        <w:tblW w:type="auto" w:w="0"/>
        <w:tblLook w:firstColumn="1" w:firstRow="1" w:lastColumn="0" w:lastRow="0" w:noHBand="0" w:noVBand="1" w:val="04A0"/>
      </w:tblPr>
      <w:tblGrid>
        <w:gridCol w:w="4320"/>
        <w:gridCol w:w="4320"/>
      </w:tblGrid>
      <w:tr>
        <w:tc>
          <w:tcPr>
            <w:tcW w:type="dxa" w:w="4320"/>
          </w:tcPr>
          <w:p>
            <w:r>
              <w:t>Event</w:t>
            </w:r>
          </w:p>
        </w:tc>
        <w:tc>
          <w:tcPr>
            <w:tcW w:type="dxa" w:w="4320"/>
          </w:tcPr>
          <w:p>
            <w:r>
              <w:t>Timing Requirement</w:t>
            </w:r>
          </w:p>
        </w:tc>
      </w:tr>
      <w:tr>
        <w:tc>
          <w:tcPr>
            <w:tcW w:type="dxa" w:w="4320"/>
          </w:tcPr>
          <w:p>
            <w:r>
              <w:t>Suspected breach discovered by any employee or contractor</w:t>
            </w:r>
          </w:p>
        </w:tc>
        <w:tc>
          <w:tcPr>
            <w:tcW w:type="dxa" w:w="4320"/>
          </w:tcPr>
          <w:p>
            <w:r>
              <w:t>Report immediately, and no later than the same business day.</w:t>
            </w:r>
          </w:p>
        </w:tc>
      </w:tr>
      <w:tr>
        <w:tc>
          <w:tcPr>
            <w:tcW w:type="dxa" w:w="4320"/>
          </w:tcPr>
          <w:p>
            <w:r>
              <w:t>Breach logged by Privacy Office or Information Security</w:t>
            </w:r>
          </w:p>
        </w:tc>
        <w:tc>
          <w:tcPr>
            <w:tcW w:type="dxa" w:w="4320"/>
          </w:tcPr>
          <w:p>
            <w:r>
              <w:t>As soon as received, with time of awareness recorded.</w:t>
            </w:r>
          </w:p>
        </w:tc>
      </w:tr>
      <w:tr>
        <w:tc>
          <w:tcPr>
            <w:tcW w:type="dxa" w:w="4320"/>
          </w:tcPr>
          <w:p>
            <w:r>
              <w:t>Initial triage</w:t>
            </w:r>
          </w:p>
        </w:tc>
        <w:tc>
          <w:tcPr>
            <w:tcW w:type="dxa" w:w="4320"/>
          </w:tcPr>
          <w:p>
            <w:r>
              <w:t>Target completion within 4 hours of receipt for high-risk or uncertain cases.</w:t>
            </w:r>
          </w:p>
        </w:tc>
      </w:tr>
      <w:tr>
        <w:tc>
          <w:tcPr>
            <w:tcW w:type="dxa" w:w="4320"/>
          </w:tcPr>
          <w:p>
            <w:r>
              <w:t>Initial assessment of reportability</w:t>
            </w:r>
          </w:p>
        </w:tc>
        <w:tc>
          <w:tcPr>
            <w:tcW w:type="dxa" w:w="4320"/>
          </w:tcPr>
          <w:p>
            <w:r>
              <w:t>Target completion within 24 hours of awareness.</w:t>
            </w:r>
          </w:p>
        </w:tc>
      </w:tr>
      <w:tr>
        <w:tc>
          <w:tcPr>
            <w:tcW w:type="dxa" w:w="4320"/>
          </w:tcPr>
          <w:p>
            <w:r>
              <w:t>SDAIA notification, where required</w:t>
            </w:r>
          </w:p>
        </w:tc>
        <w:tc>
          <w:tcPr>
            <w:tcW w:type="dxa" w:w="4320"/>
          </w:tcPr>
          <w:p>
            <w:r>
              <w:t>Submit within the legally required notification window after becoming aware of the breach.</w:t>
            </w:r>
          </w:p>
        </w:tc>
      </w:tr>
      <w:tr>
        <w:tc>
          <w:tcPr>
            <w:tcW w:type="dxa" w:w="4320"/>
          </w:tcPr>
          <w:p>
            <w:r>
              <w:t>Data subject notification, where required</w:t>
            </w:r>
          </w:p>
        </w:tc>
        <w:tc>
          <w:tcPr>
            <w:tcW w:type="dxa" w:w="4320"/>
          </w:tcPr>
          <w:p>
            <w:r>
              <w:t>Notify without undue delay once the affected population, content, and communication method are sufficiently confirmed.</w:t>
            </w:r>
          </w:p>
        </w:tc>
      </w:tr>
      <w:tr>
        <w:tc>
          <w:tcPr>
            <w:tcW w:type="dxa" w:w="4320"/>
          </w:tcPr>
          <w:p>
            <w:r>
              <w:t>Follow-up updates to SDAIA</w:t>
            </w:r>
          </w:p>
        </w:tc>
        <w:tc>
          <w:tcPr>
            <w:tcW w:type="dxa" w:w="4320"/>
          </w:tcPr>
          <w:p>
            <w:r>
              <w:t>Provide as material information becomes available or as requested.</w:t>
            </w:r>
          </w:p>
        </w:tc>
      </w:tr>
      <w:tr>
        <w:tc>
          <w:tcPr>
            <w:tcW w:type="dxa" w:w="4320"/>
          </w:tcPr>
          <w:p>
            <w:r>
              <w:t>Post-incident review</w:t>
            </w:r>
          </w:p>
        </w:tc>
        <w:tc>
          <w:tcPr>
            <w:tcW w:type="dxa" w:w="4320"/>
          </w:tcPr>
          <w:p>
            <w:r>
              <w:t>Complete within 10 business days after containment and required notifications, unless extended by Legal or Executive Management.</w:t>
            </w:r>
          </w:p>
        </w:tc>
      </w:tr>
    </w:tbl>
    <w:p>
      <w:pPr>
        <w:pStyle w:val="Heading2"/>
      </w:pPr>
      <w:r>
        <w:t>Step-by-Step Procedure (numbered)</w:t>
      </w:r>
    </w:p>
    <w:p>
      <w:pPr>
        <w:pStyle w:val="ListBullet"/>
      </w:pPr>
      <w:r>
        <w:t>Identify and report the suspected personal data breach</w:t>
      </w:r>
    </w:p>
    <w:p>
      <w:r>
        <w:t>Any employee, contractor, processor, or third party who becomes aware of an actual or suspected personal data breach must report it immediately through one of the approved reporting channels.</w:t>
      </w:r>
    </w:p>
    <w:p>
      <w:r>
        <w:t>The reporter must provide all available information, including:</w:t>
      </w:r>
    </w:p>
    <w:p>
      <w:pPr>
        <w:pStyle w:val="ListBullet"/>
      </w:pPr>
      <w:r>
        <w:t>Date and time the issue was discovered.</w:t>
      </w:r>
    </w:p>
    <w:p>
      <w:pPr>
        <w:pStyle w:val="ListBullet"/>
      </w:pPr>
      <w:r>
        <w:t>Description of what happened.</w:t>
      </w:r>
    </w:p>
    <w:p>
      <w:pPr>
        <w:pStyle w:val="ListBullet"/>
      </w:pPr>
      <w:r>
        <w:t>System, location, department, vendor, or process involved.</w:t>
      </w:r>
    </w:p>
    <w:p>
      <w:pPr>
        <w:pStyle w:val="ListBullet"/>
      </w:pPr>
      <w:r>
        <w:t>Type of personal data involved, if known.</w:t>
      </w:r>
    </w:p>
    <w:p>
      <w:pPr>
        <w:pStyle w:val="ListBullet"/>
      </w:pPr>
      <w:r>
        <w:t>Approximate number of affected individuals, if known.</w:t>
      </w:r>
    </w:p>
    <w:p>
      <w:pPr>
        <w:pStyle w:val="ListBullet"/>
      </w:pPr>
      <w:r>
        <w:t>Whether sensitive personal data may be involved.</w:t>
      </w:r>
    </w:p>
    <w:p>
      <w:pPr>
        <w:pStyle w:val="ListBullet"/>
      </w:pPr>
      <w:r>
        <w:t>Whether personal data has been accessed, disclosed, copied, altered, lost, destroyed, encrypted, or made unavailable.</w:t>
      </w:r>
    </w:p>
    <w:p>
      <w:pPr>
        <w:pStyle w:val="ListBullet"/>
      </w:pPr>
      <w:r>
        <w:t>Any containment actions already taken.</w:t>
      </w:r>
    </w:p>
    <w:p>
      <w:pPr>
        <w:pStyle w:val="ListBullet"/>
      </w:pPr>
      <w:r>
        <w:t>Screenshots, emails, logs, file names, device identifiers, or other evidence.</w:t>
      </w:r>
    </w:p>
    <w:p>
      <w:r>
        <w:t>The reporter must not:</w:t>
      </w:r>
    </w:p>
    <w:p>
      <w:pPr>
        <w:pStyle w:val="ListBullet"/>
      </w:pPr>
      <w:r>
        <w:t>Delete emails, logs, files, devices, or other evidence.</w:t>
      </w:r>
    </w:p>
    <w:p>
      <w:pPr>
        <w:pStyle w:val="ListBullet"/>
      </w:pPr>
      <w:r>
        <w:t>Contact affected data subjects unless authorised.</w:t>
      </w:r>
    </w:p>
    <w:p>
      <w:pPr>
        <w:pStyle w:val="ListBullet"/>
      </w:pPr>
      <w:r>
        <w:t>Contact SDAIA, law enforcement, media, or third parties unless authorised.</w:t>
      </w:r>
    </w:p>
    <w:p>
      <w:pPr>
        <w:pStyle w:val="ListBullet"/>
      </w:pPr>
      <w:r>
        <w:t>Attempt unauthorised investigation or system access.</w:t>
      </w:r>
    </w:p>
    <w:p>
      <w:pPr>
        <w:pStyle w:val="ListBullet"/>
      </w:pPr>
      <w:r>
        <w:t>Discuss the incident outside approved response channels.</w:t>
      </w:r>
    </w:p>
    <w:p>
      <w:pPr>
        <w:pStyle w:val="ListBullet"/>
      </w:pPr>
      <w:r>
        <w:t>Log the breach record</w:t>
      </w:r>
    </w:p>
    <w:p>
      <w:r>
        <w:t>The Privacy Office or Information Security team must create a breach record in [incident management system] immediately upon receipt.</w:t>
      </w:r>
    </w:p>
    <w:p>
      <w:r>
        <w:t>The breach record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Breach ID</w:t>
            </w:r>
          </w:p>
        </w:tc>
        <w:tc>
          <w:tcPr>
            <w:tcW w:type="dxa" w:w="4320"/>
          </w:tcPr>
          <w:p>
            <w:r>
              <w:t>Unique incident reference number.</w:t>
            </w:r>
          </w:p>
        </w:tc>
      </w:tr>
      <w:tr>
        <w:tc>
          <w:tcPr>
            <w:tcW w:type="dxa" w:w="4320"/>
          </w:tcPr>
          <w:p>
            <w:r>
              <w:t>Date and time reported</w:t>
            </w:r>
          </w:p>
        </w:tc>
        <w:tc>
          <w:tcPr>
            <w:tcW w:type="dxa" w:w="4320"/>
          </w:tcPr>
          <w:p>
            <w:r>
              <w:t>When the suspected breach was reported internally.</w:t>
            </w:r>
          </w:p>
        </w:tc>
      </w:tr>
      <w:tr>
        <w:tc>
          <w:tcPr>
            <w:tcW w:type="dxa" w:w="4320"/>
          </w:tcPr>
          <w:p>
            <w:r>
              <w:t>Date and time of awareness</w:t>
            </w:r>
          </w:p>
        </w:tc>
        <w:tc>
          <w:tcPr>
            <w:tcW w:type="dxa" w:w="4320"/>
          </w:tcPr>
          <w:p>
            <w:r>
              <w:t>When [Organisation Name] first had sufficient indication that a personal data breach may have occurred.</w:t>
            </w:r>
          </w:p>
        </w:tc>
      </w:tr>
      <w:tr>
        <w:tc>
          <w:tcPr>
            <w:tcW w:type="dxa" w:w="4320"/>
          </w:tcPr>
          <w:p>
            <w:r>
              <w:t>Reporter</w:t>
            </w:r>
          </w:p>
        </w:tc>
        <w:tc>
          <w:tcPr>
            <w:tcW w:type="dxa" w:w="4320"/>
          </w:tcPr>
          <w:p>
            <w:r>
              <w:t>Name, department, contact details, and role.</w:t>
            </w:r>
          </w:p>
        </w:tc>
      </w:tr>
      <w:tr>
        <w:tc>
          <w:tcPr>
            <w:tcW w:type="dxa" w:w="4320"/>
          </w:tcPr>
          <w:p>
            <w:r>
              <w:t>Initial description</w:t>
            </w:r>
          </w:p>
        </w:tc>
        <w:tc>
          <w:tcPr>
            <w:tcW w:type="dxa" w:w="4320"/>
          </w:tcPr>
          <w:p>
            <w:r>
              <w:t>Summary of suspected facts.</w:t>
            </w:r>
          </w:p>
        </w:tc>
      </w:tr>
      <w:tr>
        <w:tc>
          <w:tcPr>
            <w:tcW w:type="dxa" w:w="4320"/>
          </w:tcPr>
          <w:p>
            <w:r>
              <w:t>Systems or processes involved</w:t>
            </w:r>
          </w:p>
        </w:tc>
        <w:tc>
          <w:tcPr>
            <w:tcW w:type="dxa" w:w="4320"/>
          </w:tcPr>
          <w:p>
            <w:r>
              <w:t>Applications, databases, files, paper records, vendors, or business functions affected.</w:t>
            </w:r>
          </w:p>
        </w:tc>
      </w:tr>
      <w:tr>
        <w:tc>
          <w:tcPr>
            <w:tcW w:type="dxa" w:w="4320"/>
          </w:tcPr>
          <w:p>
            <w:r>
              <w:t>Personal data involved</w:t>
            </w:r>
          </w:p>
        </w:tc>
        <w:tc>
          <w:tcPr>
            <w:tcW w:type="dxa" w:w="4320"/>
          </w:tcPr>
          <w:p>
            <w:r>
              <w:t>Known or suspected data categories.</w:t>
            </w:r>
          </w:p>
        </w:tc>
      </w:tr>
      <w:tr>
        <w:tc>
          <w:tcPr>
            <w:tcW w:type="dxa" w:w="4320"/>
          </w:tcPr>
          <w:p>
            <w:r>
              <w:t>Data subject groups</w:t>
            </w:r>
          </w:p>
        </w:tc>
        <w:tc>
          <w:tcPr>
            <w:tcW w:type="dxa" w:w="4320"/>
          </w:tcPr>
          <w:p>
            <w:r>
              <w:t>Customers, employees, patients, users, beneficiaries, visitors, or others.</w:t>
            </w:r>
          </w:p>
        </w:tc>
      </w:tr>
      <w:tr>
        <w:tc>
          <w:tcPr>
            <w:tcW w:type="dxa" w:w="4320"/>
          </w:tcPr>
          <w:p>
            <w:r>
              <w:t>Jurisdictions affected</w:t>
            </w:r>
          </w:p>
        </w:tc>
        <w:tc>
          <w:tcPr>
            <w:tcW w:type="dxa" w:w="4320"/>
          </w:tcPr>
          <w:p>
            <w:r>
              <w:t>Kingdom of Saudi Arabia and any other relevant locations.</w:t>
            </w:r>
          </w:p>
        </w:tc>
      </w:tr>
      <w:tr>
        <w:tc>
          <w:tcPr>
            <w:tcW w:type="dxa" w:w="4320"/>
          </w:tcPr>
          <w:p>
            <w:r>
              <w:t>Initial severity</w:t>
            </w:r>
          </w:p>
        </w:tc>
        <w:tc>
          <w:tcPr>
            <w:tcW w:type="dxa" w:w="4320"/>
          </w:tcPr>
          <w:p>
            <w:r>
              <w:t>Low, medium, high, or critical.</w:t>
            </w:r>
          </w:p>
        </w:tc>
      </w:tr>
      <w:tr>
        <w:tc>
          <w:tcPr>
            <w:tcW w:type="dxa" w:w="4320"/>
          </w:tcPr>
          <w:p>
            <w:r>
              <w:t>Assigned incident lead</w:t>
            </w:r>
          </w:p>
        </w:tc>
        <w:tc>
          <w:tcPr>
            <w:tcW w:type="dxa" w:w="4320"/>
          </w:tcPr>
          <w:p>
            <w:r>
              <w:t>Name and role.</w:t>
            </w:r>
          </w:p>
        </w:tc>
      </w:tr>
      <w:tr>
        <w:tc>
          <w:tcPr>
            <w:tcW w:type="dxa" w:w="4320"/>
          </w:tcPr>
          <w:p>
            <w:r>
              <w:t>Assigned privacy lead</w:t>
            </w:r>
          </w:p>
        </w:tc>
        <w:tc>
          <w:tcPr>
            <w:tcW w:type="dxa" w:w="4320"/>
          </w:tcPr>
          <w:p>
            <w:r>
              <w:t>Name and role.</w:t>
            </w:r>
          </w:p>
        </w:tc>
      </w:tr>
      <w:tr>
        <w:tc>
          <w:tcPr>
            <w:tcW w:type="dxa" w:w="4320"/>
          </w:tcPr>
          <w:p>
            <w:r>
              <w:t>Evidence location</w:t>
            </w:r>
          </w:p>
        </w:tc>
        <w:tc>
          <w:tcPr>
            <w:tcW w:type="dxa" w:w="4320"/>
          </w:tcPr>
          <w:p>
            <w:r>
              <w:t>Secure repository path or case file reference.</w:t>
            </w:r>
          </w:p>
        </w:tc>
      </w:tr>
    </w:tbl>
    <w:p>
      <w:r>
        <w:t>The date and time of awareness must be recorded carefully because notification deadlines are measured from awareness, not from completion of the investigation.</w:t>
      </w:r>
    </w:p>
    <w:p>
      <w:pPr>
        <w:pStyle w:val="ListBullet"/>
      </w:pPr>
      <w:r>
        <w:t>Assign the breach response team</w:t>
      </w:r>
    </w:p>
    <w:p>
      <w:r>
        <w:t>The Privacy Office, in coordination with Information Security, must assign a breach response team based on the nature and severity of the incident.</w:t>
      </w:r>
    </w:p>
    <w:p>
      <w:r>
        <w:t>The team should include, as applicable:</w:t>
      </w:r>
    </w:p>
    <w:p>
      <w:pPr>
        <w:pStyle w:val="ListBullet"/>
      </w:pPr>
      <w:r>
        <w:t>Privacy Office / Data Protection Officer.</w:t>
      </w:r>
    </w:p>
    <w:p>
      <w:pPr>
        <w:pStyle w:val="ListBullet"/>
      </w:pPr>
      <w:r>
        <w:t>Information Security Incident Response Lead.</w:t>
      </w:r>
    </w:p>
    <w:p>
      <w:pPr>
        <w:pStyle w:val="ListBullet"/>
      </w:pPr>
      <w:r>
        <w:t>Legal Counsel.</w:t>
      </w:r>
    </w:p>
    <w:p>
      <w:pPr>
        <w:pStyle w:val="ListBullet"/>
      </w:pPr>
      <w:r>
        <w:t>Data Owner or Business Process Owner.</w:t>
      </w:r>
    </w:p>
    <w:p>
      <w:pPr>
        <w:pStyle w:val="ListBullet"/>
      </w:pPr>
      <w:r>
        <w:t>IT Operations or Application Owner.</w:t>
      </w:r>
    </w:p>
    <w:p>
      <w:pPr>
        <w:pStyle w:val="ListBullet"/>
      </w:pPr>
      <w:r>
        <w:t>Vendor Management or Procurement.</w:t>
      </w:r>
    </w:p>
    <w:p>
      <w:pPr>
        <w:pStyle w:val="ListBullet"/>
      </w:pPr>
      <w:r>
        <w:t>Communications / Public Relations.</w:t>
      </w:r>
    </w:p>
    <w:p>
      <w:pPr>
        <w:pStyle w:val="ListBullet"/>
      </w:pPr>
      <w:r>
        <w:t>Customer Support or HR, depending on affected individuals.</w:t>
      </w:r>
    </w:p>
    <w:p>
      <w:pPr>
        <w:pStyle w:val="ListBullet"/>
      </w:pPr>
      <w:r>
        <w:t>Records Management.</w:t>
      </w:r>
    </w:p>
    <w:p>
      <w:pPr>
        <w:pStyle w:val="ListBullet"/>
      </w:pPr>
      <w:r>
        <w:t>Executive sponsor for high-risk or critical incidents.</w:t>
      </w:r>
    </w:p>
    <w:p>
      <w:r>
        <w:t>For high-risk or critical breaches, the Privacy Office must notify [Executive Incident Committee] or [Crisis Management Team] without delay.</w:t>
      </w:r>
    </w:p>
    <w:p>
      <w:pPr>
        <w:pStyle w:val="ListBullet"/>
      </w:pPr>
      <w:r>
        <w:t>Preserve evidence</w:t>
      </w:r>
    </w:p>
    <w:p>
      <w:r>
        <w:t>Information Security, Legal, and relevant system owners must preserve evidence before making changes that could affect the investigation, unless immediate containment is required to prevent further harm.</w:t>
      </w:r>
    </w:p>
    <w:p>
      <w:r>
        <w:t>Evidence may include:</w:t>
      </w:r>
    </w:p>
    <w:p>
      <w:pPr>
        <w:pStyle w:val="ListBullet"/>
      </w:pPr>
      <w:r>
        <w:t>System logs, access logs, audit trails, database logs, authentication records.</w:t>
      </w:r>
    </w:p>
    <w:p>
      <w:pPr>
        <w:pStyle w:val="ListBullet"/>
      </w:pPr>
      <w:r>
        <w:t>Security alerts and SIEM events.</w:t>
      </w:r>
    </w:p>
    <w:p>
      <w:pPr>
        <w:pStyle w:val="ListBullet"/>
      </w:pPr>
      <w:r>
        <w:t>Endpoint images, memory captures, malware samples, affected devices.</w:t>
      </w:r>
    </w:p>
    <w:p>
      <w:pPr>
        <w:pStyle w:val="ListBullet"/>
      </w:pPr>
      <w:r>
        <w:t>Email headers and message content.</w:t>
      </w:r>
    </w:p>
    <w:p>
      <w:pPr>
        <w:pStyle w:val="ListBullet"/>
      </w:pPr>
      <w:r>
        <w:t>Screenshots and web page captures.</w:t>
      </w:r>
    </w:p>
    <w:p>
      <w:pPr>
        <w:pStyle w:val="ListBullet"/>
      </w:pPr>
      <w:r>
        <w:t>File access history.</w:t>
      </w:r>
    </w:p>
    <w:p>
      <w:pPr>
        <w:pStyle w:val="ListBullet"/>
      </w:pPr>
      <w:r>
        <w:t>Cloud storage access records.</w:t>
      </w:r>
    </w:p>
    <w:p>
      <w:pPr>
        <w:pStyle w:val="ListBullet"/>
      </w:pPr>
      <w:r>
        <w:t>CCTV or physical access records where relevant.</w:t>
      </w:r>
    </w:p>
    <w:p>
      <w:pPr>
        <w:pStyle w:val="ListBullet"/>
      </w:pPr>
      <w:r>
        <w:t>Processor reports and communications.</w:t>
      </w:r>
    </w:p>
    <w:p>
      <w:pPr>
        <w:pStyle w:val="ListBullet"/>
      </w:pPr>
      <w:r>
        <w:t>Copies of wrongly sent emails or files.</w:t>
      </w:r>
    </w:p>
    <w:p>
      <w:pPr>
        <w:pStyle w:val="ListBullet"/>
      </w:pPr>
      <w:r>
        <w:t>Paper record inventories.</w:t>
      </w:r>
    </w:p>
    <w:p>
      <w:pPr>
        <w:pStyle w:val="ListBullet"/>
      </w:pPr>
      <w:r>
        <w:t>Communications with affected recipients or third parties.</w:t>
      </w:r>
    </w:p>
    <w:p>
      <w:r>
        <w:t>Evidence must be stored in [secure evidence repository] with access restricted to authorised response team members.</w:t>
      </w:r>
    </w:p>
    <w:p>
      <w:pPr>
        <w:pStyle w:val="ListBullet"/>
      </w:pPr>
      <w:r>
        <w:t>Contain the breach</w:t>
      </w:r>
    </w:p>
    <w:p>
      <w:r>
        <w:t>The Incident Response Lead must coordinate immediate containment actions to stop or reduce further exposure, loss, misuse, alteration, or unavailability of personal data.</w:t>
      </w:r>
    </w:p>
    <w:p>
      <w:r>
        <w:t>Examples of containment actions include:</w:t>
      </w:r>
    </w:p>
    <w:p>
      <w:pPr>
        <w:pStyle w:val="ListBullet"/>
      </w:pPr>
      <w:r>
        <w:t>Disable compromised accounts.</w:t>
      </w:r>
    </w:p>
    <w:p>
      <w:pPr>
        <w:pStyle w:val="ListBullet"/>
      </w:pPr>
      <w:r>
        <w:t>Revoke access tokens, sessions, API keys, or credentials.</w:t>
      </w:r>
    </w:p>
    <w:p>
      <w:pPr>
        <w:pStyle w:val="ListBullet"/>
      </w:pPr>
      <w:r>
        <w:t>Remove public access to exposed storage buckets, repositories, portals, or files.</w:t>
      </w:r>
    </w:p>
    <w:p>
      <w:pPr>
        <w:pStyle w:val="ListBullet"/>
      </w:pPr>
      <w:r>
        <w:t>Isolate affected devices or servers.</w:t>
      </w:r>
    </w:p>
    <w:p>
      <w:pPr>
        <w:pStyle w:val="ListBullet"/>
      </w:pPr>
      <w:r>
        <w:t>Block malicious IP addresses, domains, or email senders.</w:t>
      </w:r>
    </w:p>
    <w:p>
      <w:pPr>
        <w:pStyle w:val="ListBullet"/>
      </w:pPr>
      <w:r>
        <w:t>Suspend affected integrations or data transfers.</w:t>
      </w:r>
    </w:p>
    <w:p>
      <w:pPr>
        <w:pStyle w:val="ListBullet"/>
      </w:pPr>
      <w:r>
        <w:t>Recall or delete emails where technically possible.</w:t>
      </w:r>
    </w:p>
    <w:p>
      <w:pPr>
        <w:pStyle w:val="ListBullet"/>
      </w:pPr>
      <w:r>
        <w:t>Request unintended recipients to securely delete personal data and confirm deletion.</w:t>
      </w:r>
    </w:p>
    <w:p>
      <w:pPr>
        <w:pStyle w:val="ListBullet"/>
      </w:pPr>
      <w:r>
        <w:t>Retrieve lost physical records where possible.</w:t>
      </w:r>
    </w:p>
    <w:p>
      <w:pPr>
        <w:pStyle w:val="ListBullet"/>
      </w:pPr>
      <w:r>
        <w:t>Suspend processor access if the processor is involved.</w:t>
      </w:r>
    </w:p>
    <w:p>
      <w:pPr>
        <w:pStyle w:val="ListBullet"/>
      </w:pPr>
      <w:r>
        <w:t>Apply emergency configuration changes or patches.</w:t>
      </w:r>
    </w:p>
    <w:p>
      <w:pPr>
        <w:pStyle w:val="ListBullet"/>
      </w:pPr>
      <w:r>
        <w:t>Restore service availability using clean backups where required.</w:t>
      </w:r>
    </w:p>
    <w:p>
      <w:r>
        <w:t>Containment actions must be documented in the breach record, including who authorised and performed each action, the time performed, and the outcome.</w:t>
      </w:r>
    </w:p>
    <w:p>
      <w:pPr>
        <w:pStyle w:val="ListBullet"/>
      </w:pPr>
      <w:r>
        <w:t>Determine whether personal data is involved</w:t>
      </w:r>
    </w:p>
    <w:p>
      <w:r>
        <w:t>The Privacy Office and Data Owner must determine whether the incident involves personal data.</w:t>
      </w:r>
    </w:p>
    <w:p>
      <w:r>
        <w:t>The following questions must be assessed:</w:t>
      </w:r>
    </w:p>
    <w:p>
      <w:pPr>
        <w:pStyle w:val="ListBullet"/>
      </w:pPr>
      <w:r>
        <w:t>Does the information identify an individual directly?</w:t>
      </w:r>
    </w:p>
    <w:p>
      <w:pPr>
        <w:pStyle w:val="ListBullet"/>
      </w:pPr>
      <w:r>
        <w:t>Can the information identify an individual indirectly when combined with other data?</w:t>
      </w:r>
    </w:p>
    <w:p>
      <w:pPr>
        <w:pStyle w:val="ListBullet"/>
      </w:pPr>
      <w:r>
        <w:t>Is the data anonymised, pseudonymised, encrypted, masked, or otherwise protected?</w:t>
      </w:r>
    </w:p>
    <w:p>
      <w:pPr>
        <w:pStyle w:val="ListBullet"/>
      </w:pPr>
      <w:r>
        <w:t>Is the data still reasonably capable of identifying an individual?</w:t>
      </w:r>
    </w:p>
    <w:p>
      <w:pPr>
        <w:pStyle w:val="ListBullet"/>
      </w:pPr>
      <w:r>
        <w:t>Does the affected data include sensitive personal data?</w:t>
      </w:r>
    </w:p>
    <w:p>
      <w:pPr>
        <w:pStyle w:val="ListBullet"/>
      </w:pPr>
      <w:r>
        <w:t>Does the affected data relate to children, vulnerable individuals, employees, patients, financial customers, or other higher-risk groups?</w:t>
      </w:r>
    </w:p>
    <w:p>
      <w:r>
        <w:t>If no personal data is involved, the incident may be closed under this procedure, but it must continue under other applicable incident procedures where relevant. The rationale for closing the privacy breach assessment must be documented.</w:t>
      </w:r>
    </w:p>
    <w:p>
      <w:pPr>
        <w:pStyle w:val="ListBullet"/>
      </w:pPr>
      <w:r>
        <w:t>Classify the breach type</w:t>
      </w:r>
    </w:p>
    <w:p>
      <w:r>
        <w:t>The Privacy Office must classify the breach by impact type. More than one type may apply.</w:t>
      </w:r>
    </w:p>
    <w:tbl>
      <w:tblPr>
        <w:tblStyle w:val="TableGrid"/>
        <w:tblW w:type="auto" w:w="0"/>
        <w:tblLook w:firstColumn="1" w:firstRow="1" w:lastColumn="0" w:lastRow="0" w:noHBand="0" w:noVBand="1" w:val="04A0"/>
      </w:tblPr>
      <w:tblGrid>
        <w:gridCol w:w="2880"/>
        <w:gridCol w:w="2880"/>
        <w:gridCol w:w="2880"/>
      </w:tblGrid>
      <w:tr>
        <w:tc>
          <w:tcPr>
            <w:tcW w:type="dxa" w:w="2880"/>
          </w:tcPr>
          <w:p>
            <w:r>
              <w:t>Breach Type</w:t>
            </w:r>
          </w:p>
        </w:tc>
        <w:tc>
          <w:tcPr>
            <w:tcW w:type="dxa" w:w="2880"/>
          </w:tcPr>
          <w:p>
            <w:r>
              <w:t>Description</w:t>
            </w:r>
          </w:p>
        </w:tc>
        <w:tc>
          <w:tcPr>
            <w:tcW w:type="dxa" w:w="2880"/>
          </w:tcPr>
          <w:p>
            <w:r>
              <w:t>Examples</w:t>
            </w:r>
          </w:p>
        </w:tc>
      </w:tr>
      <w:tr>
        <w:tc>
          <w:tcPr>
            <w:tcW w:type="dxa" w:w="2880"/>
          </w:tcPr>
          <w:p>
            <w:r>
              <w:t>Confidentiality breach</w:t>
            </w:r>
          </w:p>
        </w:tc>
        <w:tc>
          <w:tcPr>
            <w:tcW w:type="dxa" w:w="2880"/>
          </w:tcPr>
          <w:p>
            <w:r>
              <w:t>Personal data was accessed, disclosed, viewed, sent, copied, downloaded, or exposed without authorisation.</w:t>
            </w:r>
          </w:p>
        </w:tc>
        <w:tc>
          <w:tcPr>
            <w:tcW w:type="dxa" w:w="2880"/>
          </w:tcPr>
          <w:p>
            <w:r>
              <w:t>Email sent to wrong recipient; public cloud folder; compromised account.</w:t>
            </w:r>
          </w:p>
        </w:tc>
      </w:tr>
      <w:tr>
        <w:tc>
          <w:tcPr>
            <w:tcW w:type="dxa" w:w="2880"/>
          </w:tcPr>
          <w:p>
            <w:r>
              <w:t>Integrity breach</w:t>
            </w:r>
          </w:p>
        </w:tc>
        <w:tc>
          <w:tcPr>
            <w:tcW w:type="dxa" w:w="2880"/>
          </w:tcPr>
          <w:p>
            <w:r>
              <w:t>Personal data was altered, corrupted, manipulated, or inaccurately changed without authorisation.</w:t>
            </w:r>
          </w:p>
        </w:tc>
        <w:tc>
          <w:tcPr>
            <w:tcW w:type="dxa" w:w="2880"/>
          </w:tcPr>
          <w:p>
            <w:r>
              <w:t>Unauthorised change to customer profile; corrupted HR file.</w:t>
            </w:r>
          </w:p>
        </w:tc>
      </w:tr>
      <w:tr>
        <w:tc>
          <w:tcPr>
            <w:tcW w:type="dxa" w:w="2880"/>
          </w:tcPr>
          <w:p>
            <w:r>
              <w:t>Availability breach</w:t>
            </w:r>
          </w:p>
        </w:tc>
        <w:tc>
          <w:tcPr>
            <w:tcW w:type="dxa" w:w="2880"/>
          </w:tcPr>
          <w:p>
            <w:r>
              <w:t>Personal data became unavailable, lost, destroyed, encrypted, or inaccessible in a way that affects rights or services.</w:t>
            </w:r>
          </w:p>
        </w:tc>
        <w:tc>
          <w:tcPr>
            <w:tcW w:type="dxa" w:w="2880"/>
          </w:tcPr>
          <w:p>
            <w:r>
              <w:t>Ransomware; lost records; database deletion.</w:t>
            </w:r>
          </w:p>
        </w:tc>
      </w:tr>
    </w:tbl>
    <w:p>
      <w:pPr>
        <w:pStyle w:val="ListBullet"/>
      </w:pPr>
      <w:r>
        <w:t>Assess breach facts and impact</w:t>
      </w:r>
    </w:p>
    <w:p>
      <w:r>
        <w:t>The response team must perform a fact-based assessment using the best available information. Where facts are incomplete, reasonable assumptions must be documented and updated as evidence develops.</w:t>
      </w:r>
    </w:p>
    <w:p>
      <w:r>
        <w:t>The assessment must consider:</w:t>
      </w:r>
    </w:p>
    <w:tbl>
      <w:tblPr>
        <w:tblStyle w:val="TableGrid"/>
        <w:tblW w:type="auto" w:w="0"/>
        <w:tblLook w:firstColumn="1" w:firstRow="1" w:lastColumn="0" w:lastRow="0" w:noHBand="0" w:noVBand="1" w:val="04A0"/>
      </w:tblPr>
      <w:tblGrid>
        <w:gridCol w:w="4320"/>
        <w:gridCol w:w="4320"/>
      </w:tblGrid>
      <w:tr>
        <w:tc>
          <w:tcPr>
            <w:tcW w:type="dxa" w:w="4320"/>
          </w:tcPr>
          <w:p>
            <w:r>
              <w:t>Assessment Area</w:t>
            </w:r>
          </w:p>
        </w:tc>
        <w:tc>
          <w:tcPr>
            <w:tcW w:type="dxa" w:w="4320"/>
          </w:tcPr>
          <w:p>
            <w:r>
              <w:t>Questions to Answer</w:t>
            </w:r>
          </w:p>
        </w:tc>
      </w:tr>
      <w:tr>
        <w:tc>
          <w:tcPr>
            <w:tcW w:type="dxa" w:w="4320"/>
          </w:tcPr>
          <w:p>
            <w:r>
              <w:t>Nature of breach</w:t>
            </w:r>
          </w:p>
        </w:tc>
        <w:tc>
          <w:tcPr>
            <w:tcW w:type="dxa" w:w="4320"/>
          </w:tcPr>
          <w:p>
            <w:r>
              <w:t>What happened? Was it accidental, malicious, technical, physical, or procedural?</w:t>
            </w:r>
          </w:p>
        </w:tc>
      </w:tr>
      <w:tr>
        <w:tc>
          <w:tcPr>
            <w:tcW w:type="dxa" w:w="4320"/>
          </w:tcPr>
          <w:p>
            <w:r>
              <w:t>Cause</w:t>
            </w:r>
          </w:p>
        </w:tc>
        <w:tc>
          <w:tcPr>
            <w:tcW w:type="dxa" w:w="4320"/>
          </w:tcPr>
          <w:p>
            <w:r>
              <w:t>What caused the breach? Human error, system misconfiguration, cyberattack, vendor failure, process gap, lost device, insider misuse?</w:t>
            </w:r>
          </w:p>
        </w:tc>
      </w:tr>
      <w:tr>
        <w:tc>
          <w:tcPr>
            <w:tcW w:type="dxa" w:w="4320"/>
          </w:tcPr>
          <w:p>
            <w:r>
              <w:t>Personal data categories</w:t>
            </w:r>
          </w:p>
        </w:tc>
        <w:tc>
          <w:tcPr>
            <w:tcW w:type="dxa" w:w="4320"/>
          </w:tcPr>
          <w:p>
            <w:r>
              <w:t>What categories of personal data were involved?</w:t>
            </w:r>
          </w:p>
        </w:tc>
      </w:tr>
      <w:tr>
        <w:tc>
          <w:tcPr>
            <w:tcW w:type="dxa" w:w="4320"/>
          </w:tcPr>
          <w:p>
            <w:r>
              <w:t>Sensitive data</w:t>
            </w:r>
          </w:p>
        </w:tc>
        <w:tc>
          <w:tcPr>
            <w:tcW w:type="dxa" w:w="4320"/>
          </w:tcPr>
          <w:p>
            <w:r>
              <w:t>Did the breach involve sensitive, financial, health, biometric, genetic, criminal, location, identity, family, or other high-risk data?</w:t>
            </w:r>
          </w:p>
        </w:tc>
      </w:tr>
      <w:tr>
        <w:tc>
          <w:tcPr>
            <w:tcW w:type="dxa" w:w="4320"/>
          </w:tcPr>
          <w:p>
            <w:r>
              <w:t>Volume</w:t>
            </w:r>
          </w:p>
        </w:tc>
        <w:tc>
          <w:tcPr>
            <w:tcW w:type="dxa" w:w="4320"/>
          </w:tcPr>
          <w:p>
            <w:r>
              <w:t>How many records and data subjects are affected or likely affected?</w:t>
            </w:r>
          </w:p>
        </w:tc>
      </w:tr>
      <w:tr>
        <w:tc>
          <w:tcPr>
            <w:tcW w:type="dxa" w:w="4320"/>
          </w:tcPr>
          <w:p>
            <w:r>
              <w:t>Identifiability</w:t>
            </w:r>
          </w:p>
        </w:tc>
        <w:tc>
          <w:tcPr>
            <w:tcW w:type="dxa" w:w="4320"/>
          </w:tcPr>
          <w:p>
            <w:r>
              <w:t>Can affected individuals be identified directly or indirectly?</w:t>
            </w:r>
          </w:p>
        </w:tc>
      </w:tr>
      <w:tr>
        <w:tc>
          <w:tcPr>
            <w:tcW w:type="dxa" w:w="4320"/>
          </w:tcPr>
          <w:p>
            <w:r>
              <w:t>Protection measures</w:t>
            </w:r>
          </w:p>
        </w:tc>
        <w:tc>
          <w:tcPr>
            <w:tcW w:type="dxa" w:w="4320"/>
          </w:tcPr>
          <w:p>
            <w:r>
              <w:t>Was data encrypted, hashed, tokenised, masked, access-controlled, or otherwise protected?</w:t>
            </w:r>
          </w:p>
        </w:tc>
      </w:tr>
      <w:tr>
        <w:tc>
          <w:tcPr>
            <w:tcW w:type="dxa" w:w="4320"/>
          </w:tcPr>
          <w:p>
            <w:r>
              <w:t>Unauthorised recipient</w:t>
            </w:r>
          </w:p>
        </w:tc>
        <w:tc>
          <w:tcPr>
            <w:tcW w:type="dxa" w:w="4320"/>
          </w:tcPr>
          <w:p>
            <w:r>
              <w:t>Who accessed or received the data? Are they trusted, unknown, malicious, public, or subject to confidentiality obligations?</w:t>
            </w:r>
          </w:p>
        </w:tc>
      </w:tr>
      <w:tr>
        <w:tc>
          <w:tcPr>
            <w:tcW w:type="dxa" w:w="4320"/>
          </w:tcPr>
          <w:p>
            <w:r>
              <w:t>Exposure duration</w:t>
            </w:r>
          </w:p>
        </w:tc>
        <w:tc>
          <w:tcPr>
            <w:tcW w:type="dxa" w:w="4320"/>
          </w:tcPr>
          <w:p>
            <w:r>
              <w:t>How long was the data exposed, unavailable, or compromised?</w:t>
            </w:r>
          </w:p>
        </w:tc>
      </w:tr>
      <w:tr>
        <w:tc>
          <w:tcPr>
            <w:tcW w:type="dxa" w:w="4320"/>
          </w:tcPr>
          <w:p>
            <w:r>
              <w:t>Evidence of misuse</w:t>
            </w:r>
          </w:p>
        </w:tc>
        <w:tc>
          <w:tcPr>
            <w:tcW w:type="dxa" w:w="4320"/>
          </w:tcPr>
          <w:p>
            <w:r>
              <w:t>Is there evidence of download, exfiltration, publication, fraud, identity misuse, blackmail, harassment, or further disclosure?</w:t>
            </w:r>
          </w:p>
        </w:tc>
      </w:tr>
      <w:tr>
        <w:tc>
          <w:tcPr>
            <w:tcW w:type="dxa" w:w="4320"/>
          </w:tcPr>
          <w:p>
            <w:r>
              <w:t>Data subject impact</w:t>
            </w:r>
          </w:p>
        </w:tc>
        <w:tc>
          <w:tcPr>
            <w:tcW w:type="dxa" w:w="4320"/>
          </w:tcPr>
          <w:p>
            <w:r>
              <w:t>Could individuals suffer financial loss, identity theft, discrimination, reputational harm, distress, safety risk, loss of confidentiality, service denial, or other harm?</w:t>
            </w:r>
          </w:p>
        </w:tc>
      </w:tr>
      <w:tr>
        <w:tc>
          <w:tcPr>
            <w:tcW w:type="dxa" w:w="4320"/>
          </w:tcPr>
          <w:p>
            <w:r>
              <w:t>Kingdom impact</w:t>
            </w:r>
          </w:p>
        </w:tc>
        <w:tc>
          <w:tcPr>
            <w:tcW w:type="dxa" w:w="4320"/>
          </w:tcPr>
          <w:p>
            <w:r>
              <w:t>Are data subjects in Saudi Arabia affected? Is the processing subject to Saudi PDPL obligations?</w:t>
            </w:r>
          </w:p>
        </w:tc>
      </w:tr>
      <w:tr>
        <w:tc>
          <w:tcPr>
            <w:tcW w:type="dxa" w:w="4320"/>
          </w:tcPr>
          <w:p>
            <w:r>
              <w:t>Cross-border issues</w:t>
            </w:r>
          </w:p>
        </w:tc>
        <w:tc>
          <w:tcPr>
            <w:tcW w:type="dxa" w:w="4320"/>
          </w:tcPr>
          <w:p>
            <w:r>
              <w:t>Did the breach involve data transferred outside Saudi Arabia or accessed from outside Saudi Arabia?</w:t>
            </w:r>
          </w:p>
        </w:tc>
      </w:tr>
      <w:tr>
        <w:tc>
          <w:tcPr>
            <w:tcW w:type="dxa" w:w="4320"/>
          </w:tcPr>
          <w:p>
            <w:r>
              <w:t>Processor involvement</w:t>
            </w:r>
          </w:p>
        </w:tc>
        <w:tc>
          <w:tcPr>
            <w:tcW w:type="dxa" w:w="4320"/>
          </w:tcPr>
          <w:p>
            <w:r>
              <w:t>Did a processor cause, discover, or contribute to the breach?</w:t>
            </w:r>
          </w:p>
        </w:tc>
      </w:tr>
      <w:tr>
        <w:tc>
          <w:tcPr>
            <w:tcW w:type="dxa" w:w="4320"/>
          </w:tcPr>
          <w:p>
            <w:r>
              <w:t>Public interest</w:t>
            </w:r>
          </w:p>
        </w:tc>
        <w:tc>
          <w:tcPr>
            <w:tcW w:type="dxa" w:w="4320"/>
          </w:tcPr>
          <w:p>
            <w:r>
              <w:t>Is the breach likely to attract media, regulator, law enforcement, or public attention?</w:t>
            </w:r>
          </w:p>
        </w:tc>
      </w:tr>
      <w:tr>
        <w:tc>
          <w:tcPr>
            <w:tcW w:type="dxa" w:w="4320"/>
          </w:tcPr>
          <w:p>
            <w:r>
              <w:t>Remediation status</w:t>
            </w:r>
          </w:p>
        </w:tc>
        <w:tc>
          <w:tcPr>
            <w:tcW w:type="dxa" w:w="4320"/>
          </w:tcPr>
          <w:p>
            <w:r>
              <w:t>Has the breach been contained? Are residual risks remaining?</w:t>
            </w:r>
          </w:p>
        </w:tc>
      </w:tr>
    </w:tbl>
    <w:p>
      <w:pPr>
        <w:pStyle w:val="ListBullet"/>
      </w:pPr>
      <w:r>
        <w:t>Determine severity</w:t>
      </w:r>
    </w:p>
    <w:p>
      <w:r>
        <w:t>The Privacy Office and Information Security must assign a severity rating and update it as facts develop.</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Criteria</w:t>
            </w:r>
          </w:p>
        </w:tc>
        <w:tc>
          <w:tcPr>
            <w:tcW w:type="dxa" w:w="2880"/>
          </w:tcPr>
          <w:p>
            <w:r>
              <w:t>Examples</w:t>
            </w:r>
          </w:p>
        </w:tc>
      </w:tr>
      <w:tr>
        <w:tc>
          <w:tcPr>
            <w:tcW w:type="dxa" w:w="2880"/>
          </w:tcPr>
          <w:p>
            <w:r>
              <w:t>Low</w:t>
            </w:r>
          </w:p>
        </w:tc>
        <w:tc>
          <w:tcPr>
            <w:tcW w:type="dxa" w:w="2880"/>
          </w:tcPr>
          <w:p>
            <w:r>
              <w:t>Limited personal data, low identifiability, no sensitive data, contained quickly, no likely harm.</w:t>
            </w:r>
          </w:p>
        </w:tc>
        <w:tc>
          <w:tcPr>
            <w:tcW w:type="dxa" w:w="2880"/>
          </w:tcPr>
          <w:p>
            <w:r>
              <w:t>Internal email with low-risk data sent to one authorised employee in error and deleted.</w:t>
            </w:r>
          </w:p>
        </w:tc>
      </w:tr>
      <w:tr>
        <w:tc>
          <w:tcPr>
            <w:tcW w:type="dxa" w:w="2880"/>
          </w:tcPr>
          <w:p>
            <w:r>
              <w:t>Medium</w:t>
            </w:r>
          </w:p>
        </w:tc>
        <w:tc>
          <w:tcPr>
            <w:tcW w:type="dxa" w:w="2880"/>
          </w:tcPr>
          <w:p>
            <w:r>
              <w:t>Moderate volume or sensitivity, limited unauthorised exposure, harm possible but not likely to be substantial.</w:t>
            </w:r>
          </w:p>
        </w:tc>
        <w:tc>
          <w:tcPr>
            <w:tcW w:type="dxa" w:w="2880"/>
          </w:tcPr>
          <w:p>
            <w:r>
              <w:t>Customer contact list sent to an unintended external recipient who confirms deletion.</w:t>
            </w:r>
          </w:p>
        </w:tc>
      </w:tr>
      <w:tr>
        <w:tc>
          <w:tcPr>
            <w:tcW w:type="dxa" w:w="2880"/>
          </w:tcPr>
          <w:p>
            <w:r>
              <w:t>High</w:t>
            </w:r>
          </w:p>
        </w:tc>
        <w:tc>
          <w:tcPr>
            <w:tcW w:type="dxa" w:w="2880"/>
          </w:tcPr>
          <w:p>
            <w:r>
              <w:t>Sensitive data, large volume, unknown or untrusted recipient, evidence of unauthorised access, or meaningful risk of harm.</w:t>
            </w:r>
          </w:p>
        </w:tc>
        <w:tc>
          <w:tcPr>
            <w:tcW w:type="dxa" w:w="2880"/>
          </w:tcPr>
          <w:p>
            <w:r>
              <w:t>Exposed customer identity documents; compromised HR records; public file repository.</w:t>
            </w:r>
          </w:p>
        </w:tc>
      </w:tr>
      <w:tr>
        <w:tc>
          <w:tcPr>
            <w:tcW w:type="dxa" w:w="2880"/>
          </w:tcPr>
          <w:p>
            <w:r>
              <w:t>Critical</w:t>
            </w:r>
          </w:p>
        </w:tc>
        <w:tc>
          <w:tcPr>
            <w:tcW w:type="dxa" w:w="2880"/>
          </w:tcPr>
          <w:p>
            <w:r>
              <w:t>Substantial harm likely or occurring, malicious activity, major public exposure, vulnerable individuals, financial fraud risk, ransomware, or large-scale breach.</w:t>
            </w:r>
          </w:p>
        </w:tc>
        <w:tc>
          <w:tcPr>
            <w:tcW w:type="dxa" w:w="2880"/>
          </w:tcPr>
          <w:p>
            <w:r>
              <w:t>Exfiltration of national IDs and financial data; ransomware affecting patient records; public leak of sensitive data.</w:t>
            </w:r>
          </w:p>
        </w:tc>
      </w:tr>
    </w:tbl>
    <w:p>
      <w:pPr>
        <w:pStyle w:val="ListBullet"/>
      </w:pPr>
      <w:r>
        <w:t>Determine whether SDAIA notification is required</w:t>
      </w:r>
    </w:p>
    <w:p>
      <w:r>
        <w:t>The Privacy Office, with Legal Counsel, must determine whether the breach must be reported to SDAIA.</w:t>
      </w:r>
    </w:p>
    <w:p>
      <w:r>
        <w:t>Notification to SDAIA is required where the breach affects personal data in a manner that meets the applicable reporting threshold under Saudi PDPL, including circumstances where the breach may cause harm to data subjects or affect their rights or interests.</w:t>
      </w:r>
    </w:p>
    <w:p>
      <w:r>
        <w:t>The assessment must consider whether the breach involves:</w:t>
      </w:r>
    </w:p>
    <w:p>
      <w:pPr>
        <w:pStyle w:val="ListBullet"/>
      </w:pPr>
      <w:r>
        <w:t>Unauthorised access, disclosure, alteration, loss, destruction, or unavailability of personal data.</w:t>
      </w:r>
    </w:p>
    <w:p>
      <w:pPr>
        <w:pStyle w:val="ListBullet"/>
      </w:pPr>
      <w:r>
        <w:t>Sensitive personal data.</w:t>
      </w:r>
    </w:p>
    <w:p>
      <w:pPr>
        <w:pStyle w:val="ListBullet"/>
      </w:pPr>
      <w:r>
        <w:t>National identity, residency, passport, financial, health, biometric, genetic, location, family, or similar high-risk information.</w:t>
      </w:r>
    </w:p>
    <w:p>
      <w:pPr>
        <w:pStyle w:val="ListBullet"/>
      </w:pPr>
      <w:r>
        <w:t>A significant number of data subjects.</w:t>
      </w:r>
    </w:p>
    <w:p>
      <w:pPr>
        <w:pStyle w:val="ListBullet"/>
      </w:pPr>
      <w:r>
        <w:t>Data subjects in Saudi Arabia.</w:t>
      </w:r>
    </w:p>
    <w:p>
      <w:pPr>
        <w:pStyle w:val="ListBullet"/>
      </w:pPr>
      <w:r>
        <w:t>Children, vulnerable individuals, employees, patients, or other higher-risk groups.</w:t>
      </w:r>
    </w:p>
    <w:p>
      <w:pPr>
        <w:pStyle w:val="ListBullet"/>
      </w:pPr>
      <w:r>
        <w:t>Unknown, malicious, or untrusted recipients.</w:t>
      </w:r>
    </w:p>
    <w:p>
      <w:pPr>
        <w:pStyle w:val="ListBullet"/>
      </w:pPr>
      <w:r>
        <w:t>Evidence or likelihood of data exfiltration, copying, publication, fraud, blackmail, discrimination, reputational damage, distress, or safety risk.</w:t>
      </w:r>
    </w:p>
    <w:p>
      <w:pPr>
        <w:pStyle w:val="ListBullet"/>
      </w:pPr>
      <w:r>
        <w:t>Failure of security controls or processor controls.</w:t>
      </w:r>
    </w:p>
    <w:p>
      <w:pPr>
        <w:pStyle w:val="ListBullet"/>
      </w:pPr>
      <w:r>
        <w:t>Cross-border access or transfer implications.</w:t>
      </w:r>
    </w:p>
    <w:p>
      <w:pPr>
        <w:pStyle w:val="ListBullet"/>
      </w:pPr>
      <w:r>
        <w:t>Ongoing risk not yet fully contained.</w:t>
      </w:r>
    </w:p>
    <w:p>
      <w:r>
        <w:t>The decision must be documented in the breach record as one of the following:</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Meaning</w:t>
            </w:r>
          </w:p>
        </w:tc>
        <w:tc>
          <w:tcPr>
            <w:tcW w:type="dxa" w:w="2880"/>
          </w:tcPr>
          <w:p>
            <w:r>
              <w:t>Required Action</w:t>
            </w:r>
          </w:p>
        </w:tc>
      </w:tr>
      <w:tr>
        <w:tc>
          <w:tcPr>
            <w:tcW w:type="dxa" w:w="2880"/>
          </w:tcPr>
          <w:p>
            <w:r>
              <w:t>Not reportable</w:t>
            </w:r>
          </w:p>
        </w:tc>
        <w:tc>
          <w:tcPr>
            <w:tcW w:type="dxa" w:w="2880"/>
          </w:tcPr>
          <w:p>
            <w:r>
              <w:t>Available facts indicate the breach does not meet the reporting threshold.</w:t>
            </w:r>
          </w:p>
        </w:tc>
        <w:tc>
          <w:tcPr>
            <w:tcW w:type="dxa" w:w="2880"/>
          </w:tcPr>
          <w:p>
            <w:r>
              <w:t>Document rationale and continue remediation.</w:t>
            </w:r>
          </w:p>
        </w:tc>
      </w:tr>
      <w:tr>
        <w:tc>
          <w:tcPr>
            <w:tcW w:type="dxa" w:w="2880"/>
          </w:tcPr>
          <w:p>
            <w:r>
              <w:t>Reportable</w:t>
            </w:r>
          </w:p>
        </w:tc>
        <w:tc>
          <w:tcPr>
            <w:tcW w:type="dxa" w:w="2880"/>
          </w:tcPr>
          <w:p>
            <w:r>
              <w:t>The breach meets the reporting threshold.</w:t>
            </w:r>
          </w:p>
        </w:tc>
        <w:tc>
          <w:tcPr>
            <w:tcW w:type="dxa" w:w="2880"/>
          </w:tcPr>
          <w:p>
            <w:r>
              <w:t>Prepare and submit SDAIA notification within the required timeframe.</w:t>
            </w:r>
          </w:p>
        </w:tc>
      </w:tr>
      <w:tr>
        <w:tc>
          <w:tcPr>
            <w:tcW w:type="dxa" w:w="2880"/>
          </w:tcPr>
          <w:p>
            <w:r>
              <w:t>Presumed reportable pending confirmation</w:t>
            </w:r>
          </w:p>
        </w:tc>
        <w:tc>
          <w:tcPr>
            <w:tcW w:type="dxa" w:w="2880"/>
          </w:tcPr>
          <w:p>
            <w:r>
              <w:t>Facts are incomplete but indicate potential harm or risk.</w:t>
            </w:r>
          </w:p>
        </w:tc>
        <w:tc>
          <w:tcPr>
            <w:tcW w:type="dxa" w:w="2880"/>
          </w:tcPr>
          <w:p>
            <w:r>
              <w:t>Notify SDAIA using available information and provide updates as facts develop.</w:t>
            </w:r>
          </w:p>
        </w:tc>
      </w:tr>
    </w:tbl>
    <w:p>
      <w:r>
        <w:t>If there is uncertainty and the notification deadline is approaching, the Privacy Office must escalate to Legal Counsel and Executive Management. The organisation should not delay notification solely because all facts are not yet confirmed.</w:t>
      </w:r>
    </w:p>
    <w:p>
      <w:pPr>
        <w:pStyle w:val="ListBullet"/>
      </w:pPr>
      <w:r>
        <w:t>Prepare the SDAIA notification</w:t>
      </w:r>
    </w:p>
    <w:p>
      <w:r>
        <w:t>Where notification to SDAIA is required, the Privacy Office must prepare the notification using the approved template.</w:t>
      </w:r>
    </w:p>
    <w:p>
      <w:r>
        <w:t>The notification should include, to the extent known:</w:t>
      </w:r>
    </w:p>
    <w:tbl>
      <w:tblPr>
        <w:tblStyle w:val="TableGrid"/>
        <w:tblW w:type="auto" w:w="0"/>
        <w:tblLook w:firstColumn="1" w:firstRow="1" w:lastColumn="0" w:lastRow="0" w:noHBand="0" w:noVBand="1" w:val="04A0"/>
      </w:tblPr>
      <w:tblGrid>
        <w:gridCol w:w="4320"/>
        <w:gridCol w:w="4320"/>
      </w:tblGrid>
      <w:tr>
        <w:tc>
          <w:tcPr>
            <w:tcW w:type="dxa" w:w="4320"/>
          </w:tcPr>
          <w:p>
            <w:r>
              <w:t>Notification Content</w:t>
            </w:r>
          </w:p>
        </w:tc>
        <w:tc>
          <w:tcPr>
            <w:tcW w:type="dxa" w:w="4320"/>
          </w:tcPr>
          <w:p>
            <w:r>
              <w:t>Description</w:t>
            </w:r>
          </w:p>
        </w:tc>
      </w:tr>
      <w:tr>
        <w:tc>
          <w:tcPr>
            <w:tcW w:type="dxa" w:w="4320"/>
          </w:tcPr>
          <w:p>
            <w:r>
              <w:t>Organisation details</w:t>
            </w:r>
          </w:p>
        </w:tc>
        <w:tc>
          <w:tcPr>
            <w:tcW w:type="dxa" w:w="4320"/>
          </w:tcPr>
          <w:p>
            <w:r>
              <w:t>Legal name, commercial registration or entity identifier, address, contact details, and responsible contact person.</w:t>
            </w:r>
          </w:p>
        </w:tc>
      </w:tr>
      <w:tr>
        <w:tc>
          <w:tcPr>
            <w:tcW w:type="dxa" w:w="4320"/>
          </w:tcPr>
          <w:p>
            <w:r>
              <w:t>Breach summary</w:t>
            </w:r>
          </w:p>
        </w:tc>
        <w:tc>
          <w:tcPr>
            <w:tcW w:type="dxa" w:w="4320"/>
          </w:tcPr>
          <w:p>
            <w:r>
              <w:t>Clear description of what happened.</w:t>
            </w:r>
          </w:p>
        </w:tc>
      </w:tr>
      <w:tr>
        <w:tc>
          <w:tcPr>
            <w:tcW w:type="dxa" w:w="4320"/>
          </w:tcPr>
          <w:p>
            <w:r>
              <w:t>Date and time</w:t>
            </w:r>
          </w:p>
        </w:tc>
        <w:tc>
          <w:tcPr>
            <w:tcW w:type="dxa" w:w="4320"/>
          </w:tcPr>
          <w:p>
            <w:r>
              <w:t>When the breach occurred, when it was discovered, and when the organisation became aware.</w:t>
            </w:r>
          </w:p>
        </w:tc>
      </w:tr>
      <w:tr>
        <w:tc>
          <w:tcPr>
            <w:tcW w:type="dxa" w:w="4320"/>
          </w:tcPr>
          <w:p>
            <w:r>
              <w:t>Breach type</w:t>
            </w:r>
          </w:p>
        </w:tc>
        <w:tc>
          <w:tcPr>
            <w:tcW w:type="dxa" w:w="4320"/>
          </w:tcPr>
          <w:p>
            <w:r>
              <w:t>Confidentiality, integrity, availability, or combination.</w:t>
            </w:r>
          </w:p>
        </w:tc>
      </w:tr>
      <w:tr>
        <w:tc>
          <w:tcPr>
            <w:tcW w:type="dxa" w:w="4320"/>
          </w:tcPr>
          <w:p>
            <w:r>
              <w:t>Cause</w:t>
            </w:r>
          </w:p>
        </w:tc>
        <w:tc>
          <w:tcPr>
            <w:tcW w:type="dxa" w:w="4320"/>
          </w:tcPr>
          <w:p>
            <w:r>
              <w:t>Known or suspected cause.</w:t>
            </w:r>
          </w:p>
        </w:tc>
      </w:tr>
      <w:tr>
        <w:tc>
          <w:tcPr>
            <w:tcW w:type="dxa" w:w="4320"/>
          </w:tcPr>
          <w:p>
            <w:r>
              <w:t>Personal data affected</w:t>
            </w:r>
          </w:p>
        </w:tc>
        <w:tc>
          <w:tcPr>
            <w:tcW w:type="dxa" w:w="4320"/>
          </w:tcPr>
          <w:p>
            <w:r>
              <w:t>Categories of personal data involved.</w:t>
            </w:r>
          </w:p>
        </w:tc>
      </w:tr>
      <w:tr>
        <w:tc>
          <w:tcPr>
            <w:tcW w:type="dxa" w:w="4320"/>
          </w:tcPr>
          <w:p>
            <w:r>
              <w:t>Sensitive data</w:t>
            </w:r>
          </w:p>
        </w:tc>
        <w:tc>
          <w:tcPr>
            <w:tcW w:type="dxa" w:w="4320"/>
          </w:tcPr>
          <w:p>
            <w:r>
              <w:t>Whether sensitive or high-risk data is involved.</w:t>
            </w:r>
          </w:p>
        </w:tc>
      </w:tr>
      <w:tr>
        <w:tc>
          <w:tcPr>
            <w:tcW w:type="dxa" w:w="4320"/>
          </w:tcPr>
          <w:p>
            <w:r>
              <w:t>Data subjects affected</w:t>
            </w:r>
          </w:p>
        </w:tc>
        <w:tc>
          <w:tcPr>
            <w:tcW w:type="dxa" w:w="4320"/>
          </w:tcPr>
          <w:p>
            <w:r>
              <w:t>Categories and approximate number of affected individuals.</w:t>
            </w:r>
          </w:p>
        </w:tc>
      </w:tr>
      <w:tr>
        <w:tc>
          <w:tcPr>
            <w:tcW w:type="dxa" w:w="4320"/>
          </w:tcPr>
          <w:p>
            <w:r>
              <w:t>Records affected</w:t>
            </w:r>
          </w:p>
        </w:tc>
        <w:tc>
          <w:tcPr>
            <w:tcW w:type="dxa" w:w="4320"/>
          </w:tcPr>
          <w:p>
            <w:r>
              <w:t>Approximate number of affected records.</w:t>
            </w:r>
          </w:p>
        </w:tc>
      </w:tr>
      <w:tr>
        <w:tc>
          <w:tcPr>
            <w:tcW w:type="dxa" w:w="4320"/>
          </w:tcPr>
          <w:p>
            <w:r>
              <w:t>Impact assessment</w:t>
            </w:r>
          </w:p>
        </w:tc>
        <w:tc>
          <w:tcPr>
            <w:tcW w:type="dxa" w:w="4320"/>
          </w:tcPr>
          <w:p>
            <w:r>
              <w:t>Likely consequences for data subjects and the organisation.</w:t>
            </w:r>
          </w:p>
        </w:tc>
      </w:tr>
      <w:tr>
        <w:tc>
          <w:tcPr>
            <w:tcW w:type="dxa" w:w="4320"/>
          </w:tcPr>
          <w:p>
            <w:r>
              <w:t>Containment actions</w:t>
            </w:r>
          </w:p>
        </w:tc>
        <w:tc>
          <w:tcPr>
            <w:tcW w:type="dxa" w:w="4320"/>
          </w:tcPr>
          <w:p>
            <w:r>
              <w:t>Measures already taken to contain or reduce impact.</w:t>
            </w:r>
          </w:p>
        </w:tc>
      </w:tr>
      <w:tr>
        <w:tc>
          <w:tcPr>
            <w:tcW w:type="dxa" w:w="4320"/>
          </w:tcPr>
          <w:p>
            <w:r>
              <w:t>Remediation actions</w:t>
            </w:r>
          </w:p>
        </w:tc>
        <w:tc>
          <w:tcPr>
            <w:tcW w:type="dxa" w:w="4320"/>
          </w:tcPr>
          <w:p>
            <w:r>
              <w:t>Planned corrective and preventive measures.</w:t>
            </w:r>
          </w:p>
        </w:tc>
      </w:tr>
      <w:tr>
        <w:tc>
          <w:tcPr>
            <w:tcW w:type="dxa" w:w="4320"/>
          </w:tcPr>
          <w:p>
            <w:r>
              <w:t>Data subject notification</w:t>
            </w:r>
          </w:p>
        </w:tc>
        <w:tc>
          <w:tcPr>
            <w:tcW w:type="dxa" w:w="4320"/>
          </w:tcPr>
          <w:p>
            <w:r>
              <w:t>Whether affected individuals have been or will be notified, including timing and method.</w:t>
            </w:r>
          </w:p>
        </w:tc>
      </w:tr>
      <w:tr>
        <w:tc>
          <w:tcPr>
            <w:tcW w:type="dxa" w:w="4320"/>
          </w:tcPr>
          <w:p>
            <w:r>
              <w:t>Processor involvement</w:t>
            </w:r>
          </w:p>
        </w:tc>
        <w:tc>
          <w:tcPr>
            <w:tcW w:type="dxa" w:w="4320"/>
          </w:tcPr>
          <w:p>
            <w:r>
              <w:t>Whether a processor or third party is involved.</w:t>
            </w:r>
          </w:p>
        </w:tc>
      </w:tr>
      <w:tr>
        <w:tc>
          <w:tcPr>
            <w:tcW w:type="dxa" w:w="4320"/>
          </w:tcPr>
          <w:p>
            <w:r>
              <w:t>Cross-border aspects</w:t>
            </w:r>
          </w:p>
        </w:tc>
        <w:tc>
          <w:tcPr>
            <w:tcW w:type="dxa" w:w="4320"/>
          </w:tcPr>
          <w:p>
            <w:r>
              <w:t>Whether the breach involved access, storage, or transfer outside Saudi Arabia.</w:t>
            </w:r>
          </w:p>
        </w:tc>
      </w:tr>
      <w:tr>
        <w:tc>
          <w:tcPr>
            <w:tcW w:type="dxa" w:w="4320"/>
          </w:tcPr>
          <w:p>
            <w:r>
              <w:t>Contact point</w:t>
            </w:r>
          </w:p>
        </w:tc>
        <w:tc>
          <w:tcPr>
            <w:tcW w:type="dxa" w:w="4320"/>
          </w:tcPr>
          <w:p>
            <w:r>
              <w:t>Name, title, email, and phone number for follow-up.</w:t>
            </w:r>
          </w:p>
        </w:tc>
      </w:tr>
      <w:tr>
        <w:tc>
          <w:tcPr>
            <w:tcW w:type="dxa" w:w="4320"/>
          </w:tcPr>
          <w:p>
            <w:r>
              <w:t>Information gaps</w:t>
            </w:r>
          </w:p>
        </w:tc>
        <w:tc>
          <w:tcPr>
            <w:tcW w:type="dxa" w:w="4320"/>
          </w:tcPr>
          <w:p>
            <w:r>
              <w:t>Any facts not yet confirmed and expected timing for updates.</w:t>
            </w:r>
          </w:p>
        </w:tc>
      </w:tr>
    </w:tbl>
    <w:p>
      <w:r>
        <w:t>Legal Counsel must review the notification before submission unless the notification deadline would be missed. If Legal review cannot be obtained in time, the Privacy Office may submit a factually accurate initial notification and record the reason.</w:t>
      </w:r>
    </w:p>
    <w:p>
      <w:pPr>
        <w:pStyle w:val="ListBullet"/>
      </w:pPr>
      <w:r>
        <w:t>Submit the SDAIA notification</w:t>
      </w:r>
    </w:p>
    <w:p>
      <w:r>
        <w:t>The Privacy Office must submit the notification to SDAIA using the prescribed channel, portal, email, or other accepted method in effect at the time of submission.</w:t>
      </w:r>
    </w:p>
    <w:p>
      <w:r>
        <w:t>The submitter must:</w:t>
      </w:r>
    </w:p>
    <w:p>
      <w:pPr>
        <w:pStyle w:val="ListBullet"/>
      </w:pPr>
      <w:r>
        <w:t>Verify that the notification is complete and accurate based on known facts.</w:t>
      </w:r>
    </w:p>
    <w:p>
      <w:pPr>
        <w:pStyle w:val="ListBullet"/>
      </w:pPr>
      <w:r>
        <w:t>Ensure the notification is submitted within the required timeframe.</w:t>
      </w:r>
    </w:p>
    <w:p>
      <w:pPr>
        <w:pStyle w:val="ListBullet"/>
      </w:pPr>
      <w:r>
        <w:t>Retain submission confirmation, reference number, timestamp, and copy of submitted content.</w:t>
      </w:r>
    </w:p>
    <w:p>
      <w:pPr>
        <w:pStyle w:val="ListBullet"/>
      </w:pPr>
      <w:r>
        <w:t>Record any follow-up instructions, questions, or requests received from SDAIA.</w:t>
      </w:r>
    </w:p>
    <w:p>
      <w:pPr>
        <w:pStyle w:val="ListBullet"/>
      </w:pPr>
      <w:r>
        <w:t>Coordinate all responses to SDAIA through the Privacy Office and Legal Counsel.</w:t>
      </w:r>
    </w:p>
    <w:p>
      <w:r>
        <w:t>If complete information is not available by the deadline, the Privacy Office must submit an initial notification with available information and state that further updates will follow.</w:t>
      </w:r>
    </w:p>
    <w:p>
      <w:pPr>
        <w:pStyle w:val="ListBullet"/>
      </w:pPr>
      <w:r>
        <w:t>Determine whether data subject notification is required</w:t>
      </w:r>
    </w:p>
    <w:p>
      <w:r>
        <w:t>The Privacy Office, with Legal Counsel and the Data Owner, must determine whether affected data subjects must be notified.</w:t>
      </w:r>
    </w:p>
    <w:p>
      <w:r>
        <w:t>Data subjects must be notified where the breach may cause substantial harm to their data or rights. The assessment must consider:</w:t>
      </w:r>
    </w:p>
    <w:p>
      <w:pPr>
        <w:pStyle w:val="ListBullet"/>
      </w:pPr>
      <w:r>
        <w:t>Nature and sensitivity of the personal data.</w:t>
      </w:r>
    </w:p>
    <w:p>
      <w:pPr>
        <w:pStyle w:val="ListBullet"/>
      </w:pPr>
      <w:r>
        <w:t>Likelihood of identity theft, fraud, financial loss, discrimination, reputational harm, physical harm, psychological distress, harassment, blackmail, loss of confidentiality, or loss of services.</w:t>
      </w:r>
    </w:p>
    <w:p>
      <w:pPr>
        <w:pStyle w:val="ListBullet"/>
      </w:pPr>
      <w:r>
        <w:t>Whether the data was protected by strong encryption or other effective safeguards.</w:t>
      </w:r>
    </w:p>
    <w:p>
      <w:pPr>
        <w:pStyle w:val="ListBullet"/>
      </w:pPr>
      <w:r>
        <w:t>Whether an unauthorised recipient is trusted, contractually bound, and has confirmed deletion.</w:t>
      </w:r>
    </w:p>
    <w:p>
      <w:pPr>
        <w:pStyle w:val="ListBullet"/>
      </w:pPr>
      <w:r>
        <w:t>Whether the data has been publicly disclosed or accessed by malicious actors.</w:t>
      </w:r>
    </w:p>
    <w:p>
      <w:pPr>
        <w:pStyle w:val="ListBullet"/>
      </w:pPr>
      <w:r>
        <w:t>Whether data subjects can take steps to protect themselves.</w:t>
      </w:r>
    </w:p>
    <w:p>
      <w:pPr>
        <w:pStyle w:val="ListBullet"/>
      </w:pPr>
      <w:r>
        <w:t>Whether delayed notification would increase harm.</w:t>
      </w:r>
    </w:p>
    <w:p>
      <w:pPr>
        <w:pStyle w:val="ListBullet"/>
      </w:pPr>
      <w:r>
        <w:t>Whether law enforcement, SDAIA, or Legal Counsel has advised delaying or coordinating communications.</w:t>
      </w:r>
    </w:p>
    <w:p>
      <w:r>
        <w:t>The decision must be documented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Meaning</w:t>
            </w:r>
          </w:p>
        </w:tc>
        <w:tc>
          <w:tcPr>
            <w:tcW w:type="dxa" w:w="2880"/>
          </w:tcPr>
          <w:p>
            <w:r>
              <w:t>Required Action</w:t>
            </w:r>
          </w:p>
        </w:tc>
      </w:tr>
      <w:tr>
        <w:tc>
          <w:tcPr>
            <w:tcW w:type="dxa" w:w="2880"/>
          </w:tcPr>
          <w:p>
            <w:r>
              <w:t>Data subject notification required</w:t>
            </w:r>
          </w:p>
        </w:tc>
        <w:tc>
          <w:tcPr>
            <w:tcW w:type="dxa" w:w="2880"/>
          </w:tcPr>
          <w:p>
            <w:r>
              <w:t>Substantial harm may occur or has occurred.</w:t>
            </w:r>
          </w:p>
        </w:tc>
        <w:tc>
          <w:tcPr>
            <w:tcW w:type="dxa" w:w="2880"/>
          </w:tcPr>
          <w:p>
            <w:r>
              <w:t>Notify affected individuals without undue delay.</w:t>
            </w:r>
          </w:p>
        </w:tc>
      </w:tr>
      <w:tr>
        <w:tc>
          <w:tcPr>
            <w:tcW w:type="dxa" w:w="2880"/>
          </w:tcPr>
          <w:p>
            <w:r>
              <w:t>Data subject notification not required</w:t>
            </w:r>
          </w:p>
        </w:tc>
        <w:tc>
          <w:tcPr>
            <w:tcW w:type="dxa" w:w="2880"/>
          </w:tcPr>
          <w:p>
            <w:r>
              <w:t>Substantial harm is not reasonably likely based on documented facts and safeguards.</w:t>
            </w:r>
          </w:p>
        </w:tc>
        <w:tc>
          <w:tcPr>
            <w:tcW w:type="dxa" w:w="2880"/>
          </w:tcPr>
          <w:p>
            <w:r>
              <w:t>Document rationale and retain evidence.</w:t>
            </w:r>
          </w:p>
        </w:tc>
      </w:tr>
      <w:tr>
        <w:tc>
          <w:tcPr>
            <w:tcW w:type="dxa" w:w="2880"/>
          </w:tcPr>
          <w:p>
            <w:r>
              <w:t>Deferred notification</w:t>
            </w:r>
          </w:p>
        </w:tc>
        <w:tc>
          <w:tcPr>
            <w:tcW w:type="dxa" w:w="2880"/>
          </w:tcPr>
          <w:p>
            <w:r>
              <w:t>Notification is required but temporarily delayed for lawful, security, or investigative reasons.</w:t>
            </w:r>
          </w:p>
        </w:tc>
        <w:tc>
          <w:tcPr>
            <w:tcW w:type="dxa" w:w="2880"/>
          </w:tcPr>
          <w:p>
            <w:r>
              <w:t>Document reason, approval, and planned notification date.</w:t>
            </w:r>
          </w:p>
        </w:tc>
      </w:tr>
    </w:tbl>
    <w:p>
      <w:pPr>
        <w:pStyle w:val="ListBullet"/>
      </w:pPr>
      <w:r>
        <w:t>Prepare the data subject notification</w:t>
      </w:r>
    </w:p>
    <w:p>
      <w:r>
        <w:t>Where data subject notification is required, the Privacy Office must prepare a clear, concise, and practical notification.</w:t>
      </w:r>
    </w:p>
    <w:p>
      <w:r>
        <w:t>The notification must be written in plain language and provided in Arabic. Additional languages may be used where appropriate for the affected population.</w:t>
      </w:r>
    </w:p>
    <w:p>
      <w:r>
        <w:t>The notification should include:</w:t>
      </w:r>
    </w:p>
    <w:tbl>
      <w:tblPr>
        <w:tblStyle w:val="TableGrid"/>
        <w:tblW w:type="auto" w:w="0"/>
        <w:tblLook w:firstColumn="1" w:firstRow="1" w:lastColumn="0" w:lastRow="0" w:noHBand="0" w:noVBand="1" w:val="04A0"/>
      </w:tblPr>
      <w:tblGrid>
        <w:gridCol w:w="4320"/>
        <w:gridCol w:w="4320"/>
      </w:tblGrid>
      <w:tr>
        <w:tc>
          <w:tcPr>
            <w:tcW w:type="dxa" w:w="4320"/>
          </w:tcPr>
          <w:p>
            <w:r>
              <w:t>Notification Content</w:t>
            </w:r>
          </w:p>
        </w:tc>
        <w:tc>
          <w:tcPr>
            <w:tcW w:type="dxa" w:w="4320"/>
          </w:tcPr>
          <w:p>
            <w:r>
              <w:t>Description</w:t>
            </w:r>
          </w:p>
        </w:tc>
      </w:tr>
      <w:tr>
        <w:tc>
          <w:tcPr>
            <w:tcW w:type="dxa" w:w="4320"/>
          </w:tcPr>
          <w:p>
            <w:r>
              <w:t>What happened</w:t>
            </w:r>
          </w:p>
        </w:tc>
        <w:tc>
          <w:tcPr>
            <w:tcW w:type="dxa" w:w="4320"/>
          </w:tcPr>
          <w:p>
            <w:r>
              <w:t>A clear summary of the breach.</w:t>
            </w:r>
          </w:p>
        </w:tc>
      </w:tr>
      <w:tr>
        <w:tc>
          <w:tcPr>
            <w:tcW w:type="dxa" w:w="4320"/>
          </w:tcPr>
          <w:p>
            <w:r>
              <w:t>When it happened</w:t>
            </w:r>
          </w:p>
        </w:tc>
        <w:tc>
          <w:tcPr>
            <w:tcW w:type="dxa" w:w="4320"/>
          </w:tcPr>
          <w:p>
            <w:r>
              <w:t>Date or estimated period of the breach, if known.</w:t>
            </w:r>
          </w:p>
        </w:tc>
      </w:tr>
      <w:tr>
        <w:tc>
          <w:tcPr>
            <w:tcW w:type="dxa" w:w="4320"/>
          </w:tcPr>
          <w:p>
            <w:r>
              <w:t>When discovered</w:t>
            </w:r>
          </w:p>
        </w:tc>
        <w:tc>
          <w:tcPr>
            <w:tcW w:type="dxa" w:w="4320"/>
          </w:tcPr>
          <w:p>
            <w:r>
              <w:t>When [Organisation Name] became aware, where appropriate.</w:t>
            </w:r>
          </w:p>
        </w:tc>
      </w:tr>
      <w:tr>
        <w:tc>
          <w:tcPr>
            <w:tcW w:type="dxa" w:w="4320"/>
          </w:tcPr>
          <w:p>
            <w:r>
              <w:t>Personal data involved</w:t>
            </w:r>
          </w:p>
        </w:tc>
        <w:tc>
          <w:tcPr>
            <w:tcW w:type="dxa" w:w="4320"/>
          </w:tcPr>
          <w:p>
            <w:r>
              <w:t>Categories of personal data affected.</w:t>
            </w:r>
          </w:p>
        </w:tc>
      </w:tr>
      <w:tr>
        <w:tc>
          <w:tcPr>
            <w:tcW w:type="dxa" w:w="4320"/>
          </w:tcPr>
          <w:p>
            <w:r>
              <w:t>Potential consequences</w:t>
            </w:r>
          </w:p>
        </w:tc>
        <w:tc>
          <w:tcPr>
            <w:tcW w:type="dxa" w:w="4320"/>
          </w:tcPr>
          <w:p>
            <w:r>
              <w:t>Practical explanation of possible harm.</w:t>
            </w:r>
          </w:p>
        </w:tc>
      </w:tr>
      <w:tr>
        <w:tc>
          <w:tcPr>
            <w:tcW w:type="dxa" w:w="4320"/>
          </w:tcPr>
          <w:p>
            <w:r>
              <w:t>Actions taken</w:t>
            </w:r>
          </w:p>
        </w:tc>
        <w:tc>
          <w:tcPr>
            <w:tcW w:type="dxa" w:w="4320"/>
          </w:tcPr>
          <w:p>
            <w:r>
              <w:t>Steps taken by [Organisation Name] to contain and remediate the breach.</w:t>
            </w:r>
          </w:p>
        </w:tc>
      </w:tr>
      <w:tr>
        <w:tc>
          <w:tcPr>
            <w:tcW w:type="dxa" w:w="4320"/>
          </w:tcPr>
          <w:p>
            <w:r>
              <w:t>Recommended actions</w:t>
            </w:r>
          </w:p>
        </w:tc>
        <w:tc>
          <w:tcPr>
            <w:tcW w:type="dxa" w:w="4320"/>
          </w:tcPr>
          <w:p>
            <w:r>
              <w:t>Steps individuals should take to protect themselves.</w:t>
            </w:r>
          </w:p>
        </w:tc>
      </w:tr>
      <w:tr>
        <w:tc>
          <w:tcPr>
            <w:tcW w:type="dxa" w:w="4320"/>
          </w:tcPr>
          <w:p>
            <w:r>
              <w:t>Support offered</w:t>
            </w:r>
          </w:p>
        </w:tc>
        <w:tc>
          <w:tcPr>
            <w:tcW w:type="dxa" w:w="4320"/>
          </w:tcPr>
          <w:p>
            <w:r>
              <w:t>Credit monitoring, account reset, hotline, dedicated support, complaint channel, or other assistance where appropriate.</w:t>
            </w:r>
          </w:p>
        </w:tc>
      </w:tr>
      <w:tr>
        <w:tc>
          <w:tcPr>
            <w:tcW w:type="dxa" w:w="4320"/>
          </w:tcPr>
          <w:p>
            <w:r>
              <w:t>Contact details</w:t>
            </w:r>
          </w:p>
        </w:tc>
        <w:tc>
          <w:tcPr>
            <w:tcW w:type="dxa" w:w="4320"/>
          </w:tcPr>
          <w:p>
            <w:r>
              <w:t>Privacy Office or dedicated breach support contact.</w:t>
            </w:r>
          </w:p>
        </w:tc>
      </w:tr>
      <w:tr>
        <w:tc>
          <w:tcPr>
            <w:tcW w:type="dxa" w:w="4320"/>
          </w:tcPr>
          <w:p>
            <w:r>
              <w:t>Regulatory information</w:t>
            </w:r>
          </w:p>
        </w:tc>
        <w:tc>
          <w:tcPr>
            <w:tcW w:type="dxa" w:w="4320"/>
          </w:tcPr>
          <w:p>
            <w:r>
              <w:t>Information about the competent authority where appropriate.</w:t>
            </w:r>
          </w:p>
        </w:tc>
      </w:tr>
      <w:tr>
        <w:tc>
          <w:tcPr>
            <w:tcW w:type="dxa" w:w="4320"/>
          </w:tcPr>
          <w:p>
            <w:r>
              <w:t>Reassurance and caution</w:t>
            </w:r>
          </w:p>
        </w:tc>
        <w:tc>
          <w:tcPr>
            <w:tcW w:type="dxa" w:w="4320"/>
          </w:tcPr>
          <w:p>
            <w:r>
              <w:t>Guidance to beware of phishing, fraud, or suspicious communications.</w:t>
            </w:r>
          </w:p>
        </w:tc>
      </w:tr>
    </w:tbl>
    <w:p>
      <w:r>
        <w:t>The notification must not include unnecessary technical detail, speculation, personal data of other individuals, security-sensitive information, or statements assigning blame before facts are confirmed.</w:t>
      </w:r>
    </w:p>
    <w:p>
      <w:pPr>
        <w:pStyle w:val="ListBullet"/>
      </w:pPr>
      <w:r>
        <w:t>Approve the data subject notification</w:t>
      </w:r>
    </w:p>
    <w:p>
      <w:r>
        <w:t>Before sending, the data subject notification must be reviewed and approved by:</w:t>
      </w:r>
    </w:p>
    <w:p>
      <w:pPr>
        <w:pStyle w:val="ListBullet"/>
      </w:pPr>
      <w:r>
        <w:t>Privacy Office.</w:t>
      </w:r>
    </w:p>
    <w:p>
      <w:pPr>
        <w:pStyle w:val="ListBullet"/>
      </w:pPr>
      <w:r>
        <w:t>Legal Counsel.</w:t>
      </w:r>
    </w:p>
    <w:p>
      <w:pPr>
        <w:pStyle w:val="ListBullet"/>
      </w:pPr>
      <w:r>
        <w:t>Communications / Public Relations.</w:t>
      </w:r>
    </w:p>
    <w:p>
      <w:pPr>
        <w:pStyle w:val="ListBullet"/>
      </w:pPr>
      <w:r>
        <w:t>Data Owner or Business Owner.</w:t>
      </w:r>
    </w:p>
    <w:p>
      <w:pPr>
        <w:pStyle w:val="ListBullet"/>
      </w:pPr>
      <w:r>
        <w:t>Executive Management for high or critical breaches.</w:t>
      </w:r>
    </w:p>
    <w:p>
      <w:pPr>
        <w:pStyle w:val="ListBullet"/>
      </w:pPr>
      <w:r>
        <w:t>Customer Support or HR where they will handle responses.</w:t>
      </w:r>
    </w:p>
    <w:p>
      <w:r>
        <w:t>Approval must be documented in the breach record.</w:t>
      </w:r>
    </w:p>
    <w:p>
      <w:pPr>
        <w:pStyle w:val="ListBullet"/>
      </w:pPr>
      <w:r>
        <w:t>Notify affected data subjects</w:t>
      </w:r>
    </w:p>
    <w:p>
      <w:r>
        <w:t>The Privacy Office, Communications, HR, Customer Support, or another authorised function must send the notification using appropriate channels.</w:t>
      </w:r>
    </w:p>
    <w:p>
      <w:r>
        <w:t>Acceptable channels may include:</w:t>
      </w:r>
    </w:p>
    <w:p>
      <w:pPr>
        <w:pStyle w:val="ListBullet"/>
      </w:pPr>
      <w:r>
        <w:t>Email.</w:t>
      </w:r>
    </w:p>
    <w:p>
      <w:pPr>
        <w:pStyle w:val="ListBullet"/>
      </w:pPr>
      <w:r>
        <w:t>SMS.</w:t>
      </w:r>
    </w:p>
    <w:p>
      <w:pPr>
        <w:pStyle w:val="ListBullet"/>
      </w:pPr>
      <w:r>
        <w:t>Postal letter.</w:t>
      </w:r>
    </w:p>
    <w:p>
      <w:pPr>
        <w:pStyle w:val="ListBullet"/>
      </w:pPr>
      <w:r>
        <w:t>Secure account message.</w:t>
      </w:r>
    </w:p>
    <w:p>
      <w:pPr>
        <w:pStyle w:val="ListBullet"/>
      </w:pPr>
      <w:r>
        <w:t>In-app notification.</w:t>
      </w:r>
    </w:p>
    <w:p>
      <w:pPr>
        <w:pStyle w:val="ListBullet"/>
      </w:pPr>
      <w:r>
        <w:t>Telephone call for urgent or high-risk matters.</w:t>
      </w:r>
    </w:p>
    <w:p>
      <w:pPr>
        <w:pStyle w:val="ListBullet"/>
      </w:pPr>
      <w:r>
        <w:t>Public notice where direct contact is not possible or where the affected population cannot be reliably identified.</w:t>
      </w:r>
    </w:p>
    <w:p>
      <w:r>
        <w:t>The chosen method must be suitable for the sensitivity, urgency, and reliability of contact details.</w:t>
      </w:r>
    </w:p>
    <w:p>
      <w:r>
        <w:t>The response team must ensure:</w:t>
      </w:r>
    </w:p>
    <w:p>
      <w:pPr>
        <w:pStyle w:val="ListBullet"/>
      </w:pPr>
      <w:r>
        <w:t>Notifications are sent only to affected individuals or their lawful representatives.</w:t>
      </w:r>
    </w:p>
    <w:p>
      <w:pPr>
        <w:pStyle w:val="ListBullet"/>
      </w:pPr>
      <w:r>
        <w:t>Distribution lists are controlled and verified.</w:t>
      </w:r>
    </w:p>
    <w:p>
      <w:pPr>
        <w:pStyle w:val="ListBullet"/>
      </w:pPr>
      <w:r>
        <w:t>Email recipients are not exposed to each other.</w:t>
      </w:r>
    </w:p>
    <w:p>
      <w:pPr>
        <w:pStyle w:val="ListBullet"/>
      </w:pPr>
      <w:r>
        <w:t>Message content is consistent with approved wording.</w:t>
      </w:r>
    </w:p>
    <w:p>
      <w:pPr>
        <w:pStyle w:val="ListBullet"/>
      </w:pPr>
      <w:r>
        <w:t>Customer-facing teams are prepared with scripts and FAQs.</w:t>
      </w:r>
    </w:p>
    <w:p>
      <w:pPr>
        <w:pStyle w:val="ListBullet"/>
      </w:pPr>
      <w:r>
        <w:t>A record is retained of who was notified, when, by what method, and with what content.</w:t>
      </w:r>
    </w:p>
    <w:p>
      <w:pPr>
        <w:pStyle w:val="ListBullet"/>
      </w:pPr>
      <w:r>
        <w:t>Undelivered notifications are tracked and reattempted where appropriate.</w:t>
      </w:r>
    </w:p>
    <w:p>
      <w:pPr>
        <w:pStyle w:val="ListBullet"/>
      </w:pPr>
      <w:r>
        <w:t>Coordinate communications and stakeholder management</w:t>
      </w:r>
    </w:p>
    <w:p>
      <w:r>
        <w:t>All internal and external communications relating to the breach must be coordinated through the Privacy Office, Legal Counsel, and Communications.</w:t>
      </w:r>
    </w:p>
    <w:p>
      <w:r>
        <w:t>No employee may make unauthorised statements to:</w:t>
      </w:r>
    </w:p>
    <w:p>
      <w:pPr>
        <w:pStyle w:val="ListBullet"/>
      </w:pPr>
      <w:r>
        <w:t>SDAIA.</w:t>
      </w:r>
    </w:p>
    <w:p>
      <w:pPr>
        <w:pStyle w:val="ListBullet"/>
      </w:pPr>
      <w:r>
        <w:t>Affected data subjects.</w:t>
      </w:r>
    </w:p>
    <w:p>
      <w:pPr>
        <w:pStyle w:val="ListBullet"/>
      </w:pPr>
      <w:r>
        <w:t>Media.</w:t>
      </w:r>
    </w:p>
    <w:p>
      <w:pPr>
        <w:pStyle w:val="ListBullet"/>
      </w:pPr>
      <w:r>
        <w:t>Customers or partners, unless approved.</w:t>
      </w:r>
    </w:p>
    <w:p>
      <w:pPr>
        <w:pStyle w:val="ListBullet"/>
      </w:pPr>
      <w:r>
        <w:t>Law enforcement.</w:t>
      </w:r>
    </w:p>
    <w:p>
      <w:pPr>
        <w:pStyle w:val="ListBullet"/>
      </w:pPr>
      <w:r>
        <w:t>Other regulators.</w:t>
      </w:r>
    </w:p>
    <w:p>
      <w:pPr>
        <w:pStyle w:val="ListBullet"/>
      </w:pPr>
      <w:r>
        <w:t>Social media platforms.</w:t>
      </w:r>
    </w:p>
    <w:p>
      <w:pPr>
        <w:pStyle w:val="ListBullet"/>
      </w:pPr>
      <w:r>
        <w:t>Vendors or third parties not involved in response.</w:t>
      </w:r>
    </w:p>
    <w:p>
      <w:r>
        <w:t>The Communications team must prepare approved messages, FAQs, call centre scripts, executive briefings, and media statements where needed.</w:t>
      </w:r>
    </w:p>
    <w:p>
      <w:r>
        <w:t>Customer Support, HR, and other frontline teams must be briefed before notifications are sent where they may receive enquiries.</w:t>
      </w:r>
    </w:p>
    <w:p>
      <w:pPr>
        <w:pStyle w:val="ListBullet"/>
      </w:pPr>
      <w:r>
        <w:t>Manage processor and third-party involvement</w:t>
      </w:r>
    </w:p>
    <w:p>
      <w:r>
        <w:t>Where a processor or service provider is involved, the Vendor Manager and Privacy Office must:</w:t>
      </w:r>
    </w:p>
    <w:p>
      <w:pPr>
        <w:pStyle w:val="ListBullet"/>
      </w:pPr>
      <w:r>
        <w:t>Require the processor to provide immediate details of the breach.</w:t>
      </w:r>
    </w:p>
    <w:p>
      <w:pPr>
        <w:pStyle w:val="ListBullet"/>
      </w:pPr>
      <w:r>
        <w:t>Confirm when the processor became aware of the breach.</w:t>
      </w:r>
    </w:p>
    <w:p>
      <w:pPr>
        <w:pStyle w:val="ListBullet"/>
      </w:pPr>
      <w:r>
        <w:t>Obtain evidence of containment and investigation.</w:t>
      </w:r>
    </w:p>
    <w:p>
      <w:pPr>
        <w:pStyle w:val="ListBullet"/>
      </w:pPr>
      <w:r>
        <w:t>Require a list of affected systems, data categories, and data subjects.</w:t>
      </w:r>
    </w:p>
    <w:p>
      <w:pPr>
        <w:pStyle w:val="ListBullet"/>
      </w:pPr>
      <w:r>
        <w:t>Confirm whether data was accessed, copied, transferred, or disclosed.</w:t>
      </w:r>
    </w:p>
    <w:p>
      <w:pPr>
        <w:pStyle w:val="ListBullet"/>
      </w:pPr>
      <w:r>
        <w:t>Confirm whether sub-processors were involved.</w:t>
      </w:r>
    </w:p>
    <w:p>
      <w:pPr>
        <w:pStyle w:val="ListBullet"/>
      </w:pPr>
      <w:r>
        <w:t>Require the processor not to notify SDAIA, affected data subjects, or other parties on behalf of [Organisation Name] unless authorised.</w:t>
      </w:r>
    </w:p>
    <w:p>
      <w:pPr>
        <w:pStyle w:val="ListBullet"/>
      </w:pPr>
      <w:r>
        <w:t>Review contractual breach notification and cooperation obligations.</w:t>
      </w:r>
    </w:p>
    <w:p>
      <w:pPr>
        <w:pStyle w:val="ListBullet"/>
      </w:pPr>
      <w:r>
        <w:t>Preserve all communications and reports from the processor.</w:t>
      </w:r>
    </w:p>
    <w:p>
      <w:pPr>
        <w:pStyle w:val="ListBullet"/>
      </w:pPr>
      <w:r>
        <w:t>Assess whether contractual remedies, enhanced monitoring, audit, suspension, or termination are required.</w:t>
      </w:r>
    </w:p>
    <w:p>
      <w:r>
        <w:t>If [Organisation Name] acts as a processor for another controller, [Organisation Name] must notify the controller without undue delay according to contractual obligations and provide reasonable assistance for the controller’s assessment and notifications.</w:t>
      </w:r>
    </w:p>
    <w:p>
      <w:pPr>
        <w:pStyle w:val="ListBullet"/>
      </w:pPr>
      <w:r>
        <w:t>Implement remediation and risk reduction</w:t>
      </w:r>
    </w:p>
    <w:p>
      <w:r>
        <w:t>The Incident Response Lead, Data Owner, and relevant control owners must implement corrective and preventive actions.</w:t>
      </w:r>
    </w:p>
    <w:p>
      <w:r>
        <w:t>Remediation may include:</w:t>
      </w:r>
    </w:p>
    <w:p>
      <w:pPr>
        <w:pStyle w:val="ListBullet"/>
      </w:pPr>
      <w:r>
        <w:t>Resetting passwords and access credentials.</w:t>
      </w:r>
    </w:p>
    <w:p>
      <w:pPr>
        <w:pStyle w:val="ListBullet"/>
      </w:pPr>
      <w:r>
        <w:t>Strengthening authentication.</w:t>
      </w:r>
    </w:p>
    <w:p>
      <w:pPr>
        <w:pStyle w:val="ListBullet"/>
      </w:pPr>
      <w:r>
        <w:t>Removing excessive access privileges.</w:t>
      </w:r>
    </w:p>
    <w:p>
      <w:pPr>
        <w:pStyle w:val="ListBullet"/>
      </w:pPr>
      <w:r>
        <w:t>Fixing misconfigurations.</w:t>
      </w:r>
    </w:p>
    <w:p>
      <w:pPr>
        <w:pStyle w:val="ListBullet"/>
      </w:pPr>
      <w:r>
        <w:t>Applying patches or secure configuration baselines.</w:t>
      </w:r>
    </w:p>
    <w:p>
      <w:pPr>
        <w:pStyle w:val="ListBullet"/>
      </w:pPr>
      <w:r>
        <w:t>Improving encryption, masking, tokenisation, or access logging.</w:t>
      </w:r>
    </w:p>
    <w:p>
      <w:pPr>
        <w:pStyle w:val="ListBullet"/>
      </w:pPr>
      <w:r>
        <w:t>Updating DLP and monitoring rules.</w:t>
      </w:r>
    </w:p>
    <w:p>
      <w:pPr>
        <w:pStyle w:val="ListBullet"/>
      </w:pPr>
      <w:r>
        <w:t>Enhancing email controls and approval workflows.</w:t>
      </w:r>
    </w:p>
    <w:p>
      <w:pPr>
        <w:pStyle w:val="ListBullet"/>
      </w:pPr>
      <w:r>
        <w:t>Revising procedures and training.</w:t>
      </w:r>
    </w:p>
    <w:p>
      <w:pPr>
        <w:pStyle w:val="ListBullet"/>
      </w:pPr>
      <w:r>
        <w:t>Improving processor oversight.</w:t>
      </w:r>
    </w:p>
    <w:p>
      <w:pPr>
        <w:pStyle w:val="ListBullet"/>
      </w:pPr>
      <w:r>
        <w:t>Updating data retention and minimisation controls.</w:t>
      </w:r>
    </w:p>
    <w:p>
      <w:pPr>
        <w:pStyle w:val="ListBullet"/>
      </w:pPr>
      <w:r>
        <w:t>Improving backup, restoration, and ransomware resilience.</w:t>
      </w:r>
    </w:p>
    <w:p>
      <w:pPr>
        <w:pStyle w:val="ListBullet"/>
      </w:pPr>
      <w:r>
        <w:t>Disciplinary action where appropriate.</w:t>
      </w:r>
    </w:p>
    <w:p>
      <w:pPr>
        <w:pStyle w:val="ListBullet"/>
      </w:pPr>
      <w:r>
        <w:t>Additional awareness training for relevant teams.</w:t>
      </w:r>
    </w:p>
    <w:p>
      <w:r>
        <w:t>Each action must have an owner, due date, status, and evidence of completion.</w:t>
      </w:r>
    </w:p>
    <w:p>
      <w:pPr>
        <w:pStyle w:val="ListBullet"/>
      </w:pPr>
      <w:r>
        <w:t>Provide follow-up updates to SDAIA and data subjects where needed</w:t>
      </w:r>
    </w:p>
    <w:p>
      <w:r>
        <w:t>If material facts change after the initial SDAIA notification, the Privacy Office must provide updates as appropriate or as requested.</w:t>
      </w:r>
    </w:p>
    <w:p>
      <w:r>
        <w:t>Material changes may include:</w:t>
      </w:r>
    </w:p>
    <w:p>
      <w:pPr>
        <w:pStyle w:val="ListBullet"/>
      </w:pPr>
      <w:r>
        <w:t>Increased number of affected individuals or records.</w:t>
      </w:r>
    </w:p>
    <w:p>
      <w:pPr>
        <w:pStyle w:val="ListBullet"/>
      </w:pPr>
      <w:r>
        <w:t>New categories of personal data identified.</w:t>
      </w:r>
    </w:p>
    <w:p>
      <w:pPr>
        <w:pStyle w:val="ListBullet"/>
      </w:pPr>
      <w:r>
        <w:t>Confirmation of sensitive data exposure.</w:t>
      </w:r>
    </w:p>
    <w:p>
      <w:pPr>
        <w:pStyle w:val="ListBullet"/>
      </w:pPr>
      <w:r>
        <w:t>Evidence of exfiltration, publication, or misuse.</w:t>
      </w:r>
    </w:p>
    <w:p>
      <w:pPr>
        <w:pStyle w:val="ListBullet"/>
      </w:pPr>
      <w:r>
        <w:t>Change in harm assessment.</w:t>
      </w:r>
    </w:p>
    <w:p>
      <w:pPr>
        <w:pStyle w:val="ListBullet"/>
      </w:pPr>
      <w:r>
        <w:t>Change in containment status.</w:t>
      </w:r>
    </w:p>
    <w:p>
      <w:pPr>
        <w:pStyle w:val="ListBullet"/>
      </w:pPr>
      <w:r>
        <w:t>Updated remediation actions.</w:t>
      </w:r>
    </w:p>
    <w:p>
      <w:pPr>
        <w:pStyle w:val="ListBullet"/>
      </w:pPr>
      <w:r>
        <w:t>Decision to notify data subjects after initially deferring.</w:t>
      </w:r>
    </w:p>
    <w:p>
      <w:pPr>
        <w:pStyle w:val="ListBullet"/>
      </w:pPr>
      <w:r>
        <w:t>New cross-border or processor involvement.</w:t>
      </w:r>
    </w:p>
    <w:p>
      <w:r>
        <w:t>Where data subjects have already been notified, additional communications may be required if new information materially affects the steps they should take to protect themselves.</w:t>
      </w:r>
    </w:p>
    <w:p>
      <w:pPr>
        <w:pStyle w:val="ListBullet"/>
      </w:pPr>
      <w:r>
        <w:t>Close the breach response</w:t>
      </w:r>
    </w:p>
    <w:p>
      <w:r>
        <w:t>A breach may be closed only when:</w:t>
      </w:r>
    </w:p>
    <w:p>
      <w:pPr>
        <w:pStyle w:val="ListBullet"/>
      </w:pPr>
      <w:r>
        <w:t>The breach is contained.</w:t>
      </w:r>
    </w:p>
    <w:p>
      <w:pPr>
        <w:pStyle w:val="ListBullet"/>
      </w:pPr>
      <w:r>
        <w:t>Required SDAIA notification has been submitted.</w:t>
      </w:r>
    </w:p>
    <w:p>
      <w:pPr>
        <w:pStyle w:val="ListBullet"/>
      </w:pPr>
      <w:r>
        <w:t>Required data subject notifications have been completed or appropriately deferred.</w:t>
      </w:r>
    </w:p>
    <w:p>
      <w:pPr>
        <w:pStyle w:val="ListBullet"/>
      </w:pPr>
      <w:r>
        <w:t>Immediate remediation actions are complete or tracked through an approved action plan.</w:t>
      </w:r>
    </w:p>
    <w:p>
      <w:pPr>
        <w:pStyle w:val="ListBullet"/>
      </w:pPr>
      <w:r>
        <w:t>Evidence is preserved.</w:t>
      </w:r>
    </w:p>
    <w:p>
      <w:pPr>
        <w:pStyle w:val="ListBullet"/>
      </w:pPr>
      <w:r>
        <w:t>Decisions and approvals are documented.</w:t>
      </w:r>
    </w:p>
    <w:p>
      <w:pPr>
        <w:pStyle w:val="ListBullet"/>
      </w:pPr>
      <w:r>
        <w:t>Open regulatory, legal, customer, vendor, or law enforcement matters are assigned to owners.</w:t>
      </w:r>
    </w:p>
    <w:p>
      <w:pPr>
        <w:pStyle w:val="ListBullet"/>
      </w:pPr>
      <w:r>
        <w:t>Executive Management has been briefed for high or critical incidents.</w:t>
      </w:r>
    </w:p>
    <w:p>
      <w:r>
        <w:t>The Privacy Office must formally mark the breach record as closed or transferred to long-term remediation monitoring.</w:t>
      </w:r>
    </w:p>
    <w:p>
      <w:pPr>
        <w:pStyle w:val="ListBullet"/>
      </w:pPr>
      <w:r>
        <w:t>Conduct post-incident review</w:t>
      </w:r>
    </w:p>
    <w:p>
      <w:r>
        <w:t>For medium, high, and critical breaches, the Privacy Office and Information Security must conduct a post-incident review.</w:t>
      </w:r>
    </w:p>
    <w:p>
      <w:r>
        <w:t>The review must assess:</w:t>
      </w:r>
    </w:p>
    <w:p>
      <w:pPr>
        <w:pStyle w:val="ListBullet"/>
      </w:pPr>
      <w:r>
        <w:t>Root cause.</w:t>
      </w:r>
    </w:p>
    <w:p>
      <w:pPr>
        <w:pStyle w:val="ListBullet"/>
      </w:pPr>
      <w:r>
        <w:t>Timeline of events.</w:t>
      </w:r>
    </w:p>
    <w:p>
      <w:pPr>
        <w:pStyle w:val="ListBullet"/>
      </w:pPr>
      <w:r>
        <w:t>Timeliness of detection and reporting.</w:t>
      </w:r>
    </w:p>
    <w:p>
      <w:pPr>
        <w:pStyle w:val="ListBullet"/>
      </w:pPr>
      <w:r>
        <w:t>Effectiveness of containment.</w:t>
      </w:r>
    </w:p>
    <w:p>
      <w:pPr>
        <w:pStyle w:val="ListBullet"/>
      </w:pPr>
      <w:r>
        <w:t>Accuracy and completeness of notification decisions.</w:t>
      </w:r>
    </w:p>
    <w:p>
      <w:pPr>
        <w:pStyle w:val="ListBullet"/>
      </w:pPr>
      <w:r>
        <w:t>Adequacy of processor cooperation.</w:t>
      </w:r>
    </w:p>
    <w:p>
      <w:pPr>
        <w:pStyle w:val="ListBullet"/>
      </w:pPr>
      <w:r>
        <w:t>Effectiveness of communications.</w:t>
      </w:r>
    </w:p>
    <w:p>
      <w:pPr>
        <w:pStyle w:val="ListBullet"/>
      </w:pPr>
      <w:r>
        <w:t>Control failures or process gaps.</w:t>
      </w:r>
    </w:p>
    <w:p>
      <w:pPr>
        <w:pStyle w:val="ListBullet"/>
      </w:pPr>
      <w:r>
        <w:t>Data minimisation or retention issues.</w:t>
      </w:r>
    </w:p>
    <w:p>
      <w:pPr>
        <w:pStyle w:val="ListBullet"/>
      </w:pPr>
      <w:r>
        <w:t>Lessons learned.</w:t>
      </w:r>
    </w:p>
    <w:p>
      <w:pPr>
        <w:pStyle w:val="ListBullet"/>
      </w:pPr>
      <w:r>
        <w:t>Required improvements to policies, procedures, training, contracts, or technical controls.</w:t>
      </w:r>
    </w:p>
    <w:p>
      <w:r>
        <w:t>The output must be a post-incident review record with assigned corrective actions.</w:t>
      </w:r>
    </w:p>
    <w:p>
      <w:pPr>
        <w:pStyle w:val="Heading2"/>
      </w:pPr>
      <w:r>
        <w:t>Roles &amp; RACI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Privacy Office / DPO</w:t>
            </w:r>
          </w:p>
        </w:tc>
        <w:tc>
          <w:tcPr>
            <w:tcW w:type="dxa" w:w="960"/>
          </w:tcPr>
          <w:p>
            <w:r>
              <w:t>Information Security</w:t>
            </w:r>
          </w:p>
        </w:tc>
        <w:tc>
          <w:tcPr>
            <w:tcW w:type="dxa" w:w="960"/>
          </w:tcPr>
          <w:p>
            <w:r>
              <w:t>Legal Counsel</w:t>
            </w:r>
          </w:p>
        </w:tc>
        <w:tc>
          <w:tcPr>
            <w:tcW w:type="dxa" w:w="960"/>
          </w:tcPr>
          <w:p>
            <w:r>
              <w:t>Data Owner</w:t>
            </w:r>
          </w:p>
        </w:tc>
        <w:tc>
          <w:tcPr>
            <w:tcW w:type="dxa" w:w="960"/>
          </w:tcPr>
          <w:p>
            <w:r>
              <w:t>IT / System Owner</w:t>
            </w:r>
          </w:p>
        </w:tc>
        <w:tc>
          <w:tcPr>
            <w:tcW w:type="dxa" w:w="960"/>
          </w:tcPr>
          <w:p>
            <w:r>
              <w:t>Communications</w:t>
            </w:r>
          </w:p>
        </w:tc>
        <w:tc>
          <w:tcPr>
            <w:tcW w:type="dxa" w:w="960"/>
          </w:tcPr>
          <w:p>
            <w:r>
              <w:t>Vendor Management</w:t>
            </w:r>
          </w:p>
        </w:tc>
        <w:tc>
          <w:tcPr>
            <w:tcW w:type="dxa" w:w="960"/>
          </w:tcPr>
          <w:p>
            <w:r>
              <w:t>Executive Management</w:t>
            </w:r>
          </w:p>
        </w:tc>
      </w:tr>
      <w:tr>
        <w:tc>
          <w:tcPr>
            <w:tcW w:type="dxa" w:w="960"/>
          </w:tcPr>
          <w:p>
            <w:r>
              <w:t>Receive breach report</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Log breach record</w:t>
            </w:r>
          </w:p>
        </w:tc>
        <w:tc>
          <w:tcPr>
            <w:tcW w:type="dxa" w:w="960"/>
          </w:tcPr>
          <w:p>
            <w:r>
              <w:t>A/R</w:t>
            </w:r>
          </w:p>
        </w:tc>
        <w:tc>
          <w:tcPr>
            <w:tcW w:type="dxa" w:w="960"/>
          </w:tcPr>
          <w:p>
            <w:r>
              <w:t>R</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Preserve evidence</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R</w:t>
            </w:r>
          </w:p>
        </w:tc>
        <w:tc>
          <w:tcPr>
            <w:tcW w:type="dxa" w:w="960"/>
          </w:tcPr>
          <w:p>
            <w:r>
              <w:t>I</w:t>
            </w:r>
          </w:p>
        </w:tc>
        <w:tc>
          <w:tcPr>
            <w:tcW w:type="dxa" w:w="960"/>
          </w:tcPr>
          <w:p>
            <w:r>
              <w:t>C</w:t>
            </w:r>
          </w:p>
        </w:tc>
        <w:tc>
          <w:tcPr>
            <w:tcW w:type="dxa" w:w="960"/>
          </w:tcPr>
          <w:p>
            <w:r>
              <w:t>I</w:t>
            </w:r>
          </w:p>
        </w:tc>
      </w:tr>
      <w:tr>
        <w:tc>
          <w:tcPr>
            <w:tcW w:type="dxa" w:w="960"/>
          </w:tcPr>
          <w:p>
            <w:r>
              <w:t>Contain breach</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R</w:t>
            </w:r>
          </w:p>
        </w:tc>
        <w:tc>
          <w:tcPr>
            <w:tcW w:type="dxa" w:w="960"/>
          </w:tcPr>
          <w:p>
            <w:r>
              <w:t>I</w:t>
            </w:r>
          </w:p>
        </w:tc>
        <w:tc>
          <w:tcPr>
            <w:tcW w:type="dxa" w:w="960"/>
          </w:tcPr>
          <w:p>
            <w:r>
              <w:t>C</w:t>
            </w:r>
          </w:p>
        </w:tc>
        <w:tc>
          <w:tcPr>
            <w:tcW w:type="dxa" w:w="960"/>
          </w:tcPr>
          <w:p>
            <w:r>
              <w:t>I</w:t>
            </w:r>
          </w:p>
        </w:tc>
      </w:tr>
      <w:tr>
        <w:tc>
          <w:tcPr>
            <w:tcW w:type="dxa" w:w="960"/>
          </w:tcPr>
          <w:p>
            <w:r>
              <w:t>Confirm personal data involvement</w:t>
            </w:r>
          </w:p>
        </w:tc>
        <w:tc>
          <w:tcPr>
            <w:tcW w:type="dxa" w:w="960"/>
          </w:tcPr>
          <w:p>
            <w:r>
              <w:t>A/R</w:t>
            </w:r>
          </w:p>
        </w:tc>
        <w:tc>
          <w:tcPr>
            <w:tcW w:type="dxa" w:w="960"/>
          </w:tcPr>
          <w:p>
            <w:r>
              <w:t>C</w:t>
            </w:r>
          </w:p>
        </w:tc>
        <w:tc>
          <w:tcPr>
            <w:tcW w:type="dxa" w:w="960"/>
          </w:tcPr>
          <w:p>
            <w:r>
              <w:t>C</w:t>
            </w:r>
          </w:p>
        </w:tc>
        <w:tc>
          <w:tcPr>
            <w:tcW w:type="dxa" w:w="960"/>
          </w:tcPr>
          <w:p>
            <w:r>
              <w:t>R</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Assess severity and harm</w:t>
            </w:r>
          </w:p>
        </w:tc>
        <w:tc>
          <w:tcPr>
            <w:tcW w:type="dxa" w:w="960"/>
          </w:tcPr>
          <w:p>
            <w:r>
              <w:t>A/R</w:t>
            </w:r>
          </w:p>
        </w:tc>
        <w:tc>
          <w:tcPr>
            <w:tcW w:type="dxa" w:w="960"/>
          </w:tcPr>
          <w:p>
            <w:r>
              <w:t>R</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Determine SDAIA notification requirement</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Prepare SDAIA notification</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C</w:t>
            </w:r>
          </w:p>
        </w:tc>
        <w:tc>
          <w:tcPr>
            <w:tcW w:type="dxa" w:w="960"/>
          </w:tcPr>
          <w:p>
            <w:r>
              <w:t>I</w:t>
            </w:r>
          </w:p>
        </w:tc>
      </w:tr>
      <w:tr>
        <w:tc>
          <w:tcPr>
            <w:tcW w:type="dxa" w:w="960"/>
          </w:tcPr>
          <w:p>
            <w:r>
              <w:t>Submit SDAIA notification</w:t>
            </w:r>
          </w:p>
        </w:tc>
        <w:tc>
          <w:tcPr>
            <w:tcW w:type="dxa" w:w="960"/>
          </w:tcPr>
          <w:p>
            <w:r>
              <w:t>A/R</w:t>
            </w:r>
          </w:p>
        </w:tc>
        <w:tc>
          <w:tcPr>
            <w:tcW w:type="dxa" w:w="960"/>
          </w:tcPr>
          <w:p>
            <w:r>
              <w:t>I</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I</w:t>
            </w:r>
          </w:p>
        </w:tc>
        <w:tc>
          <w:tcPr>
            <w:tcW w:type="dxa" w:w="960"/>
          </w:tcPr>
          <w:p>
            <w:r>
              <w:t>I</w:t>
            </w:r>
          </w:p>
        </w:tc>
      </w:tr>
      <w:tr>
        <w:tc>
          <w:tcPr>
            <w:tcW w:type="dxa" w:w="960"/>
          </w:tcPr>
          <w:p>
            <w:r>
              <w:t>Determine data subject notification requirement</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C</w:t>
            </w:r>
          </w:p>
        </w:tc>
        <w:tc>
          <w:tcPr>
            <w:tcW w:type="dxa" w:w="960"/>
          </w:tcPr>
          <w:p>
            <w:r>
              <w:t>I</w:t>
            </w:r>
          </w:p>
        </w:tc>
      </w:tr>
      <w:tr>
        <w:tc>
          <w:tcPr>
            <w:tcW w:type="dxa" w:w="960"/>
          </w:tcPr>
          <w:p>
            <w:r>
              <w:t>Prepare data subject notification</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R</w:t>
            </w:r>
          </w:p>
        </w:tc>
        <w:tc>
          <w:tcPr>
            <w:tcW w:type="dxa" w:w="960"/>
          </w:tcPr>
          <w:p>
            <w:r>
              <w:t>C</w:t>
            </w:r>
          </w:p>
        </w:tc>
        <w:tc>
          <w:tcPr>
            <w:tcW w:type="dxa" w:w="960"/>
          </w:tcPr>
          <w:p>
            <w:r>
              <w:t>I</w:t>
            </w:r>
          </w:p>
        </w:tc>
      </w:tr>
      <w:tr>
        <w:tc>
          <w:tcPr>
            <w:tcW w:type="dxa" w:w="960"/>
          </w:tcPr>
          <w:p>
            <w:r>
              <w:t>Approve high-risk communications</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R</w:t>
            </w:r>
          </w:p>
        </w:tc>
        <w:tc>
          <w:tcPr>
            <w:tcW w:type="dxa" w:w="960"/>
          </w:tcPr>
          <w:p>
            <w:r>
              <w:t>I</w:t>
            </w:r>
          </w:p>
        </w:tc>
        <w:tc>
          <w:tcPr>
            <w:tcW w:type="dxa" w:w="960"/>
          </w:tcPr>
          <w:p>
            <w:r>
              <w:t>A</w:t>
            </w:r>
          </w:p>
        </w:tc>
      </w:tr>
      <w:tr>
        <w:tc>
          <w:tcPr>
            <w:tcW w:type="dxa" w:w="960"/>
          </w:tcPr>
          <w:p>
            <w:r>
              <w:t>Notify affected data subjects</w:t>
            </w:r>
          </w:p>
        </w:tc>
        <w:tc>
          <w:tcPr>
            <w:tcW w:type="dxa" w:w="960"/>
          </w:tcPr>
          <w:p>
            <w:r>
              <w:t>A</w:t>
            </w:r>
          </w:p>
        </w:tc>
        <w:tc>
          <w:tcPr>
            <w:tcW w:type="dxa" w:w="960"/>
          </w:tcPr>
          <w:p>
            <w:r>
              <w:t>I</w:t>
            </w:r>
          </w:p>
        </w:tc>
        <w:tc>
          <w:tcPr>
            <w:tcW w:type="dxa" w:w="960"/>
          </w:tcPr>
          <w:p>
            <w:r>
              <w:t>C</w:t>
            </w:r>
          </w:p>
        </w:tc>
        <w:tc>
          <w:tcPr>
            <w:tcW w:type="dxa" w:w="960"/>
          </w:tcPr>
          <w:p>
            <w:r>
              <w:t>C</w:t>
            </w:r>
          </w:p>
        </w:tc>
        <w:tc>
          <w:tcPr>
            <w:tcW w:type="dxa" w:w="960"/>
          </w:tcPr>
          <w:p>
            <w:r>
              <w:t>I</w:t>
            </w:r>
          </w:p>
        </w:tc>
        <w:tc>
          <w:tcPr>
            <w:tcW w:type="dxa" w:w="960"/>
          </w:tcPr>
          <w:p>
            <w:r>
              <w:t>R</w:t>
            </w:r>
          </w:p>
        </w:tc>
        <w:tc>
          <w:tcPr>
            <w:tcW w:type="dxa" w:w="960"/>
          </w:tcPr>
          <w:p>
            <w:r>
              <w:t>I</w:t>
            </w:r>
          </w:p>
        </w:tc>
        <w:tc>
          <w:tcPr>
            <w:tcW w:type="dxa" w:w="960"/>
          </w:tcPr>
          <w:p>
            <w:r>
              <w:t>I</w:t>
            </w:r>
          </w:p>
        </w:tc>
      </w:tr>
      <w:tr>
        <w:tc>
          <w:tcPr>
            <w:tcW w:type="dxa" w:w="960"/>
          </w:tcPr>
          <w:p>
            <w:r>
              <w:t>Manage processor breach information</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I</w:t>
            </w:r>
          </w:p>
        </w:tc>
        <w:tc>
          <w:tcPr>
            <w:tcW w:type="dxa" w:w="960"/>
          </w:tcPr>
          <w:p>
            <w:r>
              <w:t>A/R</w:t>
            </w:r>
          </w:p>
        </w:tc>
        <w:tc>
          <w:tcPr>
            <w:tcW w:type="dxa" w:w="960"/>
          </w:tcPr>
          <w:p>
            <w:r>
              <w:t>I</w:t>
            </w:r>
          </w:p>
        </w:tc>
      </w:tr>
      <w:tr>
        <w:tc>
          <w:tcPr>
            <w:tcW w:type="dxa" w:w="960"/>
          </w:tcPr>
          <w:p>
            <w:r>
              <w:t>Implement technical remediation</w:t>
            </w:r>
          </w:p>
        </w:tc>
        <w:tc>
          <w:tcPr>
            <w:tcW w:type="dxa" w:w="960"/>
          </w:tcPr>
          <w:p>
            <w:r>
              <w:t>C</w:t>
            </w:r>
          </w:p>
        </w:tc>
        <w:tc>
          <w:tcPr>
            <w:tcW w:type="dxa" w:w="960"/>
          </w:tcPr>
          <w:p>
            <w:r>
              <w:t>A</w:t>
            </w:r>
          </w:p>
        </w:tc>
        <w:tc>
          <w:tcPr>
            <w:tcW w:type="dxa" w:w="960"/>
          </w:tcPr>
          <w:p>
            <w:r>
              <w:t>I</w:t>
            </w:r>
          </w:p>
        </w:tc>
        <w:tc>
          <w:tcPr>
            <w:tcW w:type="dxa" w:w="960"/>
          </w:tcPr>
          <w:p>
            <w:r>
              <w:t>C</w:t>
            </w:r>
          </w:p>
        </w:tc>
        <w:tc>
          <w:tcPr>
            <w:tcW w:type="dxa" w:w="960"/>
          </w:tcPr>
          <w:p>
            <w:r>
              <w:t>R</w:t>
            </w:r>
          </w:p>
        </w:tc>
        <w:tc>
          <w:tcPr>
            <w:tcW w:type="dxa" w:w="960"/>
          </w:tcPr>
          <w:p>
            <w:r>
              <w:t>I</w:t>
            </w:r>
          </w:p>
        </w:tc>
        <w:tc>
          <w:tcPr>
            <w:tcW w:type="dxa" w:w="960"/>
          </w:tcPr>
          <w:p>
            <w:r>
              <w:t>C</w:t>
            </w:r>
          </w:p>
        </w:tc>
        <w:tc>
          <w:tcPr>
            <w:tcW w:type="dxa" w:w="960"/>
          </w:tcPr>
          <w:p>
            <w:r>
              <w:t>I</w:t>
            </w:r>
          </w:p>
        </w:tc>
      </w:tr>
      <w:tr>
        <w:tc>
          <w:tcPr>
            <w:tcW w:type="dxa" w:w="960"/>
          </w:tcPr>
          <w:p>
            <w:r>
              <w:t>Implement business process remediation</w:t>
            </w:r>
          </w:p>
        </w:tc>
        <w:tc>
          <w:tcPr>
            <w:tcW w:type="dxa" w:w="960"/>
          </w:tcPr>
          <w:p>
            <w:r>
              <w:t>C</w:t>
            </w:r>
          </w:p>
        </w:tc>
        <w:tc>
          <w:tcPr>
            <w:tcW w:type="dxa" w:w="960"/>
          </w:tcPr>
          <w:p>
            <w:r>
              <w:t>C</w:t>
            </w:r>
          </w:p>
        </w:tc>
        <w:tc>
          <w:tcPr>
            <w:tcW w:type="dxa" w:w="960"/>
          </w:tcPr>
          <w:p>
            <w:r>
              <w:t>I</w:t>
            </w:r>
          </w:p>
        </w:tc>
        <w:tc>
          <w:tcPr>
            <w:tcW w:type="dxa" w:w="960"/>
          </w:tcPr>
          <w:p>
            <w:r>
              <w:t>A/R</w:t>
            </w:r>
          </w:p>
        </w:tc>
        <w:tc>
          <w:tcPr>
            <w:tcW w:type="dxa" w:w="960"/>
          </w:tcPr>
          <w:p>
            <w:r>
              <w:t>C</w:t>
            </w:r>
          </w:p>
        </w:tc>
        <w:tc>
          <w:tcPr>
            <w:tcW w:type="dxa" w:w="960"/>
          </w:tcPr>
          <w:p>
            <w:r>
              <w:t>I</w:t>
            </w:r>
          </w:p>
        </w:tc>
        <w:tc>
          <w:tcPr>
            <w:tcW w:type="dxa" w:w="960"/>
          </w:tcPr>
          <w:p>
            <w:r>
              <w:t>C</w:t>
            </w:r>
          </w:p>
        </w:tc>
        <w:tc>
          <w:tcPr>
            <w:tcW w:type="dxa" w:w="960"/>
          </w:tcPr>
          <w:p>
            <w:r>
              <w:t>I</w:t>
            </w:r>
          </w:p>
        </w:tc>
      </w:tr>
      <w:tr>
        <w:tc>
          <w:tcPr>
            <w:tcW w:type="dxa" w:w="960"/>
          </w:tcPr>
          <w:p>
            <w:r>
              <w:t>Conduct post-incident review</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Approve closure of high or critical breach</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C</w:t>
            </w:r>
          </w:p>
        </w:tc>
        <w:tc>
          <w:tcPr>
            <w:tcW w:type="dxa" w:w="960"/>
          </w:tcPr>
          <w:p>
            <w:r>
              <w:t>A</w:t>
            </w:r>
          </w:p>
        </w:tc>
      </w:tr>
    </w:tbl>
    <w:p>
      <w:r>
        <w:t>RACI legend:</w:t>
      </w:r>
    </w:p>
    <w:tbl>
      <w:tblPr>
        <w:tblStyle w:val="TableGrid"/>
        <w:tblW w:type="auto" w:w="0"/>
        <w:tblLook w:firstColumn="1" w:firstRow="1" w:lastColumn="0" w:lastRow="0" w:noHBand="0" w:noVBand="1" w:val="04A0"/>
      </w:tblPr>
      <w:tblGrid>
        <w:gridCol w:w="4320"/>
        <w:gridCol w:w="4320"/>
      </w:tblGrid>
      <w:tr>
        <w:tc>
          <w:tcPr>
            <w:tcW w:type="dxa" w:w="4320"/>
          </w:tcPr>
          <w:p>
            <w:r>
              <w:t>Letter</w:t>
            </w:r>
          </w:p>
        </w:tc>
        <w:tc>
          <w:tcPr>
            <w:tcW w:type="dxa" w:w="4320"/>
          </w:tcPr>
          <w:p>
            <w:r>
              <w:t>Meaning</w:t>
            </w:r>
          </w:p>
        </w:tc>
      </w:tr>
      <w:tr>
        <w:tc>
          <w:tcPr>
            <w:tcW w:type="dxa" w:w="4320"/>
          </w:tcPr>
          <w:p>
            <w:r>
              <w:t>R</w:t>
            </w:r>
          </w:p>
        </w:tc>
        <w:tc>
          <w:tcPr>
            <w:tcW w:type="dxa" w:w="4320"/>
          </w:tcPr>
          <w:p>
            <w:r>
              <w:t>Responsible for performing the activity.</w:t>
            </w:r>
          </w:p>
        </w:tc>
      </w:tr>
      <w:tr>
        <w:tc>
          <w:tcPr>
            <w:tcW w:type="dxa" w:w="4320"/>
          </w:tcPr>
          <w:p>
            <w:r>
              <w:t>A</w:t>
            </w:r>
          </w:p>
        </w:tc>
        <w:tc>
          <w:tcPr>
            <w:tcW w:type="dxa" w:w="4320"/>
          </w:tcPr>
          <w:p>
            <w:r>
              <w:t>Accountable for the outcome and approval.</w:t>
            </w:r>
          </w:p>
        </w:tc>
      </w:tr>
      <w:tr>
        <w:tc>
          <w:tcPr>
            <w:tcW w:type="dxa" w:w="4320"/>
          </w:tcPr>
          <w:p>
            <w:r>
              <w:t>C</w:t>
            </w:r>
          </w:p>
        </w:tc>
        <w:tc>
          <w:tcPr>
            <w:tcW w:type="dxa" w:w="4320"/>
          </w:tcPr>
          <w:p>
            <w:r>
              <w:t>Consulted before or during the activity.</w:t>
            </w:r>
          </w:p>
        </w:tc>
      </w:tr>
      <w:tr>
        <w:tc>
          <w:tcPr>
            <w:tcW w:type="dxa" w:w="4320"/>
          </w:tcPr>
          <w:p>
            <w:r>
              <w:t>I</w:t>
            </w:r>
          </w:p>
        </w:tc>
        <w:tc>
          <w:tcPr>
            <w:tcW w:type="dxa" w:w="4320"/>
          </w:tcPr>
          <w:p>
            <w:r>
              <w:t>Informed of status or outcome.</w:t>
            </w:r>
          </w:p>
        </w:tc>
      </w:tr>
    </w:tbl>
    <w:p>
      <w:r>
        <w:t>Additional role expectations: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Key Responsibilities</w:t>
            </w:r>
          </w:p>
        </w:tc>
      </w:tr>
      <w:tr>
        <w:tc>
          <w:tcPr>
            <w:tcW w:type="dxa" w:w="4320"/>
          </w:tcPr>
          <w:p>
            <w:r>
              <w:t>All employees and contractors</w:t>
            </w:r>
          </w:p>
        </w:tc>
        <w:tc>
          <w:tcPr>
            <w:tcW w:type="dxa" w:w="4320"/>
          </w:tcPr>
          <w:p>
            <w:r>
              <w:t>Immediately report suspected personal data breaches and preserve evidence.</w:t>
            </w:r>
          </w:p>
        </w:tc>
      </w:tr>
      <w:tr>
        <w:tc>
          <w:tcPr>
            <w:tcW w:type="dxa" w:w="4320"/>
          </w:tcPr>
          <w:p>
            <w:r>
              <w:t>Privacy Office / DPO</w:t>
            </w:r>
          </w:p>
        </w:tc>
        <w:tc>
          <w:tcPr>
            <w:tcW w:type="dxa" w:w="4320"/>
          </w:tcPr>
          <w:p>
            <w:r>
              <w:t>Own this procedure, lead privacy assessment, decide notification approach with Legal, maintain breach records, and coordinate SDAIA interactions.</w:t>
            </w:r>
          </w:p>
        </w:tc>
      </w:tr>
      <w:tr>
        <w:tc>
          <w:tcPr>
            <w:tcW w:type="dxa" w:w="4320"/>
          </w:tcPr>
          <w:p>
            <w:r>
              <w:t>Information Security</w:t>
            </w:r>
          </w:p>
        </w:tc>
        <w:tc>
          <w:tcPr>
            <w:tcW w:type="dxa" w:w="4320"/>
          </w:tcPr>
          <w:p>
            <w:r>
              <w:t>Lead technical investigation, containment, evidence preservation, forensic analysis, and technical remediation.</w:t>
            </w:r>
          </w:p>
        </w:tc>
      </w:tr>
      <w:tr>
        <w:tc>
          <w:tcPr>
            <w:tcW w:type="dxa" w:w="4320"/>
          </w:tcPr>
          <w:p>
            <w:r>
              <w:t>Legal Counsel</w:t>
            </w:r>
          </w:p>
        </w:tc>
        <w:tc>
          <w:tcPr>
            <w:tcW w:type="dxa" w:w="4320"/>
          </w:tcPr>
          <w:p>
            <w:r>
              <w:t>Advise on notification obligations, privilege, liability, regulatory communications, law enforcement involvement, contracts, and legal holds.</w:t>
            </w:r>
          </w:p>
        </w:tc>
      </w:tr>
      <w:tr>
        <w:tc>
          <w:tcPr>
            <w:tcW w:type="dxa" w:w="4320"/>
          </w:tcPr>
          <w:p>
            <w:r>
              <w:t>Data Owner</w:t>
            </w:r>
          </w:p>
        </w:tc>
        <w:tc>
          <w:tcPr>
            <w:tcW w:type="dxa" w:w="4320"/>
          </w:tcPr>
          <w:p>
            <w:r>
              <w:t>Confirm data context, affected populations, business impact, and appropriate remediation.</w:t>
            </w:r>
          </w:p>
        </w:tc>
      </w:tr>
      <w:tr>
        <w:tc>
          <w:tcPr>
            <w:tcW w:type="dxa" w:w="4320"/>
          </w:tcPr>
          <w:p>
            <w:r>
              <w:t>IT / System Owner</w:t>
            </w:r>
          </w:p>
        </w:tc>
        <w:tc>
          <w:tcPr>
            <w:tcW w:type="dxa" w:w="4320"/>
          </w:tcPr>
          <w:p>
            <w:r>
              <w:t>Provide logs, system details, access records, containment support, and technical fixes.</w:t>
            </w:r>
          </w:p>
        </w:tc>
      </w:tr>
      <w:tr>
        <w:tc>
          <w:tcPr>
            <w:tcW w:type="dxa" w:w="4320"/>
          </w:tcPr>
          <w:p>
            <w:r>
              <w:t>Communications</w:t>
            </w:r>
          </w:p>
        </w:tc>
        <w:tc>
          <w:tcPr>
            <w:tcW w:type="dxa" w:w="4320"/>
          </w:tcPr>
          <w:p>
            <w:r>
              <w:t>Prepare and manage approved communications to affected individuals, media, staff, and external stakeholders.</w:t>
            </w:r>
          </w:p>
        </w:tc>
      </w:tr>
      <w:tr>
        <w:tc>
          <w:tcPr>
            <w:tcW w:type="dxa" w:w="4320"/>
          </w:tcPr>
          <w:p>
            <w:r>
              <w:t>Vendor Management</w:t>
            </w:r>
          </w:p>
        </w:tc>
        <w:tc>
          <w:tcPr>
            <w:tcW w:type="dxa" w:w="4320"/>
          </w:tcPr>
          <w:p>
            <w:r>
              <w:t>Coordinate processor and supplier breach cooperation, contractual enforcement, and third-party remediation.</w:t>
            </w:r>
          </w:p>
        </w:tc>
      </w:tr>
      <w:tr>
        <w:tc>
          <w:tcPr>
            <w:tcW w:type="dxa" w:w="4320"/>
          </w:tcPr>
          <w:p>
            <w:r>
              <w:t>Executive Management</w:t>
            </w:r>
          </w:p>
        </w:tc>
        <w:tc>
          <w:tcPr>
            <w:tcW w:type="dxa" w:w="4320"/>
          </w:tcPr>
          <w:p>
            <w:r>
              <w:t>Provide direction and approval for high-risk decisions, public communications, significant expenditure, and crisis response.</w:t>
            </w:r>
          </w:p>
        </w:tc>
      </w:tr>
    </w:tbl>
    <w:p>
      <w:pPr>
        <w:pStyle w:val="Heading2"/>
      </w:pPr>
      <w:r>
        <w:t>Records &amp; Outputs</w:t>
      </w:r>
    </w:p>
    <w:p>
      <w:r>
        <w:t>The following records must be created and retained in [secure records repository] according to [Records Retention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Minimum Retention</w:t>
            </w:r>
          </w:p>
        </w:tc>
      </w:tr>
      <w:tr>
        <w:tc>
          <w:tcPr>
            <w:tcW w:type="dxa" w:w="2160"/>
          </w:tcPr>
          <w:p>
            <w:r>
              <w:t>Breach register entry</w:t>
            </w:r>
          </w:p>
        </w:tc>
        <w:tc>
          <w:tcPr>
            <w:tcW w:type="dxa" w:w="2160"/>
          </w:tcPr>
          <w:p>
            <w:r>
              <w:t>Summary of all suspected and confirmed personal data breaches.</w:t>
            </w:r>
          </w:p>
        </w:tc>
        <w:tc>
          <w:tcPr>
            <w:tcW w:type="dxa" w:w="2160"/>
          </w:tcPr>
          <w:p>
            <w:r>
              <w:t>Privacy Office</w:t>
            </w:r>
          </w:p>
        </w:tc>
        <w:tc>
          <w:tcPr>
            <w:tcW w:type="dxa" w:w="2160"/>
          </w:tcPr>
          <w:p>
            <w:r>
              <w:t>[Retention period]</w:t>
            </w:r>
          </w:p>
        </w:tc>
      </w:tr>
      <w:tr>
        <w:tc>
          <w:tcPr>
            <w:tcW w:type="dxa" w:w="2160"/>
          </w:tcPr>
          <w:p>
            <w:r>
              <w:t>Breach incident record</w:t>
            </w:r>
          </w:p>
        </w:tc>
        <w:tc>
          <w:tcPr>
            <w:tcW w:type="dxa" w:w="2160"/>
          </w:tcPr>
          <w:p>
            <w:r>
              <w:t>Full case file, including facts, timeline, assessment, actions, decisions, approvals, and closure notes.</w:t>
            </w:r>
          </w:p>
        </w:tc>
        <w:tc>
          <w:tcPr>
            <w:tcW w:type="dxa" w:w="2160"/>
          </w:tcPr>
          <w:p>
            <w:r>
              <w:t>Privacy Office</w:t>
            </w:r>
          </w:p>
        </w:tc>
        <w:tc>
          <w:tcPr>
            <w:tcW w:type="dxa" w:w="2160"/>
          </w:tcPr>
          <w:p>
            <w:r>
              <w:t>[Retention period]</w:t>
            </w:r>
          </w:p>
        </w:tc>
      </w:tr>
      <w:tr>
        <w:tc>
          <w:tcPr>
            <w:tcW w:type="dxa" w:w="2160"/>
          </w:tcPr>
          <w:p>
            <w:r>
              <w:t>Evidence log</w:t>
            </w:r>
          </w:p>
        </w:tc>
        <w:tc>
          <w:tcPr>
            <w:tcW w:type="dxa" w:w="2160"/>
          </w:tcPr>
          <w:p>
            <w:r>
              <w:t>Inventory of preserved technical, physical, and communication evidence.</w:t>
            </w:r>
          </w:p>
        </w:tc>
        <w:tc>
          <w:tcPr>
            <w:tcW w:type="dxa" w:w="2160"/>
          </w:tcPr>
          <w:p>
            <w:r>
              <w:t>Information Security</w:t>
            </w:r>
          </w:p>
        </w:tc>
        <w:tc>
          <w:tcPr>
            <w:tcW w:type="dxa" w:w="2160"/>
          </w:tcPr>
          <w:p>
            <w:r>
              <w:t>[Retention period]</w:t>
            </w:r>
          </w:p>
        </w:tc>
      </w:tr>
      <w:tr>
        <w:tc>
          <w:tcPr>
            <w:tcW w:type="dxa" w:w="2160"/>
          </w:tcPr>
          <w:p>
            <w:r>
              <w:t>Timeline of events</w:t>
            </w:r>
          </w:p>
        </w:tc>
        <w:tc>
          <w:tcPr>
            <w:tcW w:type="dxa" w:w="2160"/>
          </w:tcPr>
          <w:p>
            <w:r>
              <w:t>Chronology from occurrence, detection, awareness, containment, assessment, notification, and closure.</w:t>
            </w:r>
          </w:p>
        </w:tc>
        <w:tc>
          <w:tcPr>
            <w:tcW w:type="dxa" w:w="2160"/>
          </w:tcPr>
          <w:p>
            <w:r>
              <w:t>Incident Response Lead</w:t>
            </w:r>
          </w:p>
        </w:tc>
        <w:tc>
          <w:tcPr>
            <w:tcW w:type="dxa" w:w="2160"/>
          </w:tcPr>
          <w:p>
            <w:r>
              <w:t>[Retention period]</w:t>
            </w:r>
          </w:p>
        </w:tc>
      </w:tr>
      <w:tr>
        <w:tc>
          <w:tcPr>
            <w:tcW w:type="dxa" w:w="2160"/>
          </w:tcPr>
          <w:p>
            <w:r>
              <w:t>Harm and reportability assessment</w:t>
            </w:r>
          </w:p>
        </w:tc>
        <w:tc>
          <w:tcPr>
            <w:tcW w:type="dxa" w:w="2160"/>
          </w:tcPr>
          <w:p>
            <w:r>
              <w:t>Documented analysis of risk to data subjects and notification requirement.</w:t>
            </w:r>
          </w:p>
        </w:tc>
        <w:tc>
          <w:tcPr>
            <w:tcW w:type="dxa" w:w="2160"/>
          </w:tcPr>
          <w:p>
            <w:r>
              <w:t>Privacy Office / Legal</w:t>
            </w:r>
          </w:p>
        </w:tc>
        <w:tc>
          <w:tcPr>
            <w:tcW w:type="dxa" w:w="2160"/>
          </w:tcPr>
          <w:p>
            <w:r>
              <w:t>[Retention period]</w:t>
            </w:r>
          </w:p>
        </w:tc>
      </w:tr>
      <w:tr>
        <w:tc>
          <w:tcPr>
            <w:tcW w:type="dxa" w:w="2160"/>
          </w:tcPr>
          <w:p>
            <w:r>
              <w:t>SDAIA notification copy</w:t>
            </w:r>
          </w:p>
        </w:tc>
        <w:tc>
          <w:tcPr>
            <w:tcW w:type="dxa" w:w="2160"/>
          </w:tcPr>
          <w:p>
            <w:r>
              <w:t>Copy of submitted notification and all follow-up submissions.</w:t>
            </w:r>
          </w:p>
        </w:tc>
        <w:tc>
          <w:tcPr>
            <w:tcW w:type="dxa" w:w="2160"/>
          </w:tcPr>
          <w:p>
            <w:r>
              <w:t>Privacy Office</w:t>
            </w:r>
          </w:p>
        </w:tc>
        <w:tc>
          <w:tcPr>
            <w:tcW w:type="dxa" w:w="2160"/>
          </w:tcPr>
          <w:p>
            <w:r>
              <w:t>[Retention period]</w:t>
            </w:r>
          </w:p>
        </w:tc>
      </w:tr>
      <w:tr>
        <w:tc>
          <w:tcPr>
            <w:tcW w:type="dxa" w:w="2160"/>
          </w:tcPr>
          <w:p>
            <w:r>
              <w:t>SDAIA submission confirmation</w:t>
            </w:r>
          </w:p>
        </w:tc>
        <w:tc>
          <w:tcPr>
            <w:tcW w:type="dxa" w:w="2160"/>
          </w:tcPr>
          <w:p>
            <w:r>
              <w:t>Portal receipt, email confirmation, reference number, timestamp, or proof of submission.</w:t>
            </w:r>
          </w:p>
        </w:tc>
        <w:tc>
          <w:tcPr>
            <w:tcW w:type="dxa" w:w="2160"/>
          </w:tcPr>
          <w:p>
            <w:r>
              <w:t>Privacy Office</w:t>
            </w:r>
          </w:p>
        </w:tc>
        <w:tc>
          <w:tcPr>
            <w:tcW w:type="dxa" w:w="2160"/>
          </w:tcPr>
          <w:p>
            <w:r>
              <w:t>[Retention period]</w:t>
            </w:r>
          </w:p>
        </w:tc>
      </w:tr>
      <w:tr>
        <w:tc>
          <w:tcPr>
            <w:tcW w:type="dxa" w:w="2160"/>
          </w:tcPr>
          <w:p>
            <w:r>
              <w:t>Data subject notification decision</w:t>
            </w:r>
          </w:p>
        </w:tc>
        <w:tc>
          <w:tcPr>
            <w:tcW w:type="dxa" w:w="2160"/>
          </w:tcPr>
          <w:p>
            <w:r>
              <w:t>Rationale for notifying or not notifying affected individuals.</w:t>
            </w:r>
          </w:p>
        </w:tc>
        <w:tc>
          <w:tcPr>
            <w:tcW w:type="dxa" w:w="2160"/>
          </w:tcPr>
          <w:p>
            <w:r>
              <w:t>Privacy Office / Legal</w:t>
            </w:r>
          </w:p>
        </w:tc>
        <w:tc>
          <w:tcPr>
            <w:tcW w:type="dxa" w:w="2160"/>
          </w:tcPr>
          <w:p>
            <w:r>
              <w:t>[Retention period]</w:t>
            </w:r>
          </w:p>
        </w:tc>
      </w:tr>
      <w:tr>
        <w:tc>
          <w:tcPr>
            <w:tcW w:type="dxa" w:w="2160"/>
          </w:tcPr>
          <w:p>
            <w:r>
              <w:t>Data subject notification content</w:t>
            </w:r>
          </w:p>
        </w:tc>
        <w:tc>
          <w:tcPr>
            <w:tcW w:type="dxa" w:w="2160"/>
          </w:tcPr>
          <w:p>
            <w:r>
              <w:t>Final approved communication sent to affected individuals.</w:t>
            </w:r>
          </w:p>
        </w:tc>
        <w:tc>
          <w:tcPr>
            <w:tcW w:type="dxa" w:w="2160"/>
          </w:tcPr>
          <w:p>
            <w:r>
              <w:t>Privacy Office / Communications</w:t>
            </w:r>
          </w:p>
        </w:tc>
        <w:tc>
          <w:tcPr>
            <w:tcW w:type="dxa" w:w="2160"/>
          </w:tcPr>
          <w:p>
            <w:r>
              <w:t>[Retention period]</w:t>
            </w:r>
          </w:p>
        </w:tc>
      </w:tr>
      <w:tr>
        <w:tc>
          <w:tcPr>
            <w:tcW w:type="dxa" w:w="2160"/>
          </w:tcPr>
          <w:p>
            <w:r>
              <w:t>Notification distribution record</w:t>
            </w:r>
          </w:p>
        </w:tc>
        <w:tc>
          <w:tcPr>
            <w:tcW w:type="dxa" w:w="2160"/>
          </w:tcPr>
          <w:p>
            <w:r>
              <w:t>List or controlled evidence of affected individuals notified, method, date, and delivery status.</w:t>
            </w:r>
          </w:p>
        </w:tc>
        <w:tc>
          <w:tcPr>
            <w:tcW w:type="dxa" w:w="2160"/>
          </w:tcPr>
          <w:p>
            <w:r>
              <w:t>Privacy Office / Communications</w:t>
            </w:r>
          </w:p>
        </w:tc>
        <w:tc>
          <w:tcPr>
            <w:tcW w:type="dxa" w:w="2160"/>
          </w:tcPr>
          <w:p>
            <w:r>
              <w:t>[Retention period]</w:t>
            </w:r>
          </w:p>
        </w:tc>
      </w:tr>
      <w:tr>
        <w:tc>
          <w:tcPr>
            <w:tcW w:type="dxa" w:w="2160"/>
          </w:tcPr>
          <w:p>
            <w:r>
              <w:t>Processor communications</w:t>
            </w:r>
          </w:p>
        </w:tc>
        <w:tc>
          <w:tcPr>
            <w:tcW w:type="dxa" w:w="2160"/>
          </w:tcPr>
          <w:p>
            <w:r>
              <w:t>Notices, reports, evidence, commitments, and remediation updates from processors.</w:t>
            </w:r>
          </w:p>
        </w:tc>
        <w:tc>
          <w:tcPr>
            <w:tcW w:type="dxa" w:w="2160"/>
          </w:tcPr>
          <w:p>
            <w:r>
              <w:t>Vendor Management</w:t>
            </w:r>
          </w:p>
        </w:tc>
        <w:tc>
          <w:tcPr>
            <w:tcW w:type="dxa" w:w="2160"/>
          </w:tcPr>
          <w:p>
            <w:r>
              <w:t>[Retention period]</w:t>
            </w:r>
          </w:p>
        </w:tc>
      </w:tr>
      <w:tr>
        <w:tc>
          <w:tcPr>
            <w:tcW w:type="dxa" w:w="2160"/>
          </w:tcPr>
          <w:p>
            <w:r>
              <w:t>Corrective action plan</w:t>
            </w:r>
          </w:p>
        </w:tc>
        <w:tc>
          <w:tcPr>
            <w:tcW w:type="dxa" w:w="2160"/>
          </w:tcPr>
          <w:p>
            <w:r>
              <w:t>Remediation actions, owners, due dates, status, and evidence of completion.</w:t>
            </w:r>
          </w:p>
        </w:tc>
        <w:tc>
          <w:tcPr>
            <w:tcW w:type="dxa" w:w="2160"/>
          </w:tcPr>
          <w:p>
            <w:r>
              <w:t>Privacy Office / Information Security</w:t>
            </w:r>
          </w:p>
        </w:tc>
        <w:tc>
          <w:tcPr>
            <w:tcW w:type="dxa" w:w="2160"/>
          </w:tcPr>
          <w:p>
            <w:r>
              <w:t>[Retention period]</w:t>
            </w:r>
          </w:p>
        </w:tc>
      </w:tr>
      <w:tr>
        <w:tc>
          <w:tcPr>
            <w:tcW w:type="dxa" w:w="2160"/>
          </w:tcPr>
          <w:p>
            <w:r>
              <w:t>Post-incident review</w:t>
            </w:r>
          </w:p>
        </w:tc>
        <w:tc>
          <w:tcPr>
            <w:tcW w:type="dxa" w:w="2160"/>
          </w:tcPr>
          <w:p>
            <w:r>
              <w:t>Lessons learned, root cause, control gaps, and improvement actions.</w:t>
            </w:r>
          </w:p>
        </w:tc>
        <w:tc>
          <w:tcPr>
            <w:tcW w:type="dxa" w:w="2160"/>
          </w:tcPr>
          <w:p>
            <w:r>
              <w:t>Privacy Office / Information Security</w:t>
            </w:r>
          </w:p>
        </w:tc>
        <w:tc>
          <w:tcPr>
            <w:tcW w:type="dxa" w:w="2160"/>
          </w:tcPr>
          <w:p>
            <w:r>
              <w:t>[Retention period]</w:t>
            </w:r>
          </w:p>
        </w:tc>
      </w:tr>
      <w:tr>
        <w:tc>
          <w:tcPr>
            <w:tcW w:type="dxa" w:w="2160"/>
          </w:tcPr>
          <w:p>
            <w:r>
              <w:t>Executive briefings</w:t>
            </w:r>
          </w:p>
        </w:tc>
        <w:tc>
          <w:tcPr>
            <w:tcW w:type="dxa" w:w="2160"/>
          </w:tcPr>
          <w:p>
            <w:r>
              <w:t>Materials and decisions provided to senior management.</w:t>
            </w:r>
          </w:p>
        </w:tc>
        <w:tc>
          <w:tcPr>
            <w:tcW w:type="dxa" w:w="2160"/>
          </w:tcPr>
          <w:p>
            <w:r>
              <w:t>Privacy Office</w:t>
            </w:r>
          </w:p>
        </w:tc>
        <w:tc>
          <w:tcPr>
            <w:tcW w:type="dxa" w:w="2160"/>
          </w:tcPr>
          <w:p>
            <w:r>
              <w:t>[Retention period]</w:t>
            </w:r>
          </w:p>
        </w:tc>
      </w:tr>
      <w:tr>
        <w:tc>
          <w:tcPr>
            <w:tcW w:type="dxa" w:w="2160"/>
          </w:tcPr>
          <w:p>
            <w:r>
              <w:t>Legal advice and privileged materials</w:t>
            </w:r>
          </w:p>
        </w:tc>
        <w:tc>
          <w:tcPr>
            <w:tcW w:type="dxa" w:w="2160"/>
          </w:tcPr>
          <w:p>
            <w:r>
              <w:t>Legal analysis and privileged communications, stored separately with restricted access.</w:t>
            </w:r>
          </w:p>
        </w:tc>
        <w:tc>
          <w:tcPr>
            <w:tcW w:type="dxa" w:w="2160"/>
          </w:tcPr>
          <w:p>
            <w:r>
              <w:t>Legal Counsel</w:t>
            </w:r>
          </w:p>
        </w:tc>
        <w:tc>
          <w:tcPr>
            <w:tcW w:type="dxa" w:w="2160"/>
          </w:tcPr>
          <w:p>
            <w:r>
              <w:t>[Retention period]</w:t>
            </w:r>
          </w:p>
        </w:tc>
      </w:tr>
    </w:tbl>
    <w:p>
      <w:r>
        <w:t>The breach register must include, at minimum: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Breach ID</w:t>
            </w:r>
          </w:p>
        </w:tc>
        <w:tc>
          <w:tcPr>
            <w:tcW w:type="dxa" w:w="4320"/>
          </w:tcPr>
          <w:p>
            <w:r>
              <w:t>Unique reference number.</w:t>
            </w:r>
          </w:p>
        </w:tc>
      </w:tr>
      <w:tr>
        <w:tc>
          <w:tcPr>
            <w:tcW w:type="dxa" w:w="4320"/>
          </w:tcPr>
          <w:p>
            <w:r>
              <w:t>Status</w:t>
            </w:r>
          </w:p>
        </w:tc>
        <w:tc>
          <w:tcPr>
            <w:tcW w:type="dxa" w:w="4320"/>
          </w:tcPr>
          <w:p>
            <w:r>
              <w:t>Open, contained, notified, closed, or monitoring.</w:t>
            </w:r>
          </w:p>
        </w:tc>
      </w:tr>
      <w:tr>
        <w:tc>
          <w:tcPr>
            <w:tcW w:type="dxa" w:w="4320"/>
          </w:tcPr>
          <w:p>
            <w:r>
              <w:t>Date reported</w:t>
            </w:r>
          </w:p>
        </w:tc>
        <w:tc>
          <w:tcPr>
            <w:tcW w:type="dxa" w:w="4320"/>
          </w:tcPr>
          <w:p>
            <w:r>
              <w:t>Date and time reported internally.</w:t>
            </w:r>
          </w:p>
        </w:tc>
      </w:tr>
      <w:tr>
        <w:tc>
          <w:tcPr>
            <w:tcW w:type="dxa" w:w="4320"/>
          </w:tcPr>
          <w:p>
            <w:r>
              <w:t>Date of awareness</w:t>
            </w:r>
          </w:p>
        </w:tc>
        <w:tc>
          <w:tcPr>
            <w:tcW w:type="dxa" w:w="4320"/>
          </w:tcPr>
          <w:p>
            <w:r>
              <w:t>Date and time notification timeline began.</w:t>
            </w:r>
          </w:p>
        </w:tc>
      </w:tr>
      <w:tr>
        <w:tc>
          <w:tcPr>
            <w:tcW w:type="dxa" w:w="4320"/>
          </w:tcPr>
          <w:p>
            <w:r>
              <w:t>Date contained</w:t>
            </w:r>
          </w:p>
        </w:tc>
        <w:tc>
          <w:tcPr>
            <w:tcW w:type="dxa" w:w="4320"/>
          </w:tcPr>
          <w:p>
            <w:r>
              <w:t>Date and time breach was contained.</w:t>
            </w:r>
          </w:p>
        </w:tc>
      </w:tr>
      <w:tr>
        <w:tc>
          <w:tcPr>
            <w:tcW w:type="dxa" w:w="4320"/>
          </w:tcPr>
          <w:p>
            <w:r>
              <w:t>Business area</w:t>
            </w:r>
          </w:p>
        </w:tc>
        <w:tc>
          <w:tcPr>
            <w:tcW w:type="dxa" w:w="4320"/>
          </w:tcPr>
          <w:p>
            <w:r>
              <w:t>Department or process affected.</w:t>
            </w:r>
          </w:p>
        </w:tc>
      </w:tr>
      <w:tr>
        <w:tc>
          <w:tcPr>
            <w:tcW w:type="dxa" w:w="4320"/>
          </w:tcPr>
          <w:p>
            <w:r>
              <w:t>System or asset</w:t>
            </w:r>
          </w:p>
        </w:tc>
        <w:tc>
          <w:tcPr>
            <w:tcW w:type="dxa" w:w="4320"/>
          </w:tcPr>
          <w:p>
            <w:r>
              <w:t>Application, database, file store, device, paper archive, or vendor platform.</w:t>
            </w:r>
          </w:p>
        </w:tc>
      </w:tr>
      <w:tr>
        <w:tc>
          <w:tcPr>
            <w:tcW w:type="dxa" w:w="4320"/>
          </w:tcPr>
          <w:p>
            <w:r>
              <w:t>Data categories</w:t>
            </w:r>
          </w:p>
        </w:tc>
        <w:tc>
          <w:tcPr>
            <w:tcW w:type="dxa" w:w="4320"/>
          </w:tcPr>
          <w:p>
            <w:r>
              <w:t>Types of personal data affected.</w:t>
            </w:r>
          </w:p>
        </w:tc>
      </w:tr>
      <w:tr>
        <w:tc>
          <w:tcPr>
            <w:tcW w:type="dxa" w:w="4320"/>
          </w:tcPr>
          <w:p>
            <w:r>
              <w:t>Sensitive data involved</w:t>
            </w:r>
          </w:p>
        </w:tc>
        <w:tc>
          <w:tcPr>
            <w:tcW w:type="dxa" w:w="4320"/>
          </w:tcPr>
          <w:p>
            <w:r>
              <w:t>Yes, no, or under assessment.</w:t>
            </w:r>
          </w:p>
        </w:tc>
      </w:tr>
      <w:tr>
        <w:tc>
          <w:tcPr>
            <w:tcW w:type="dxa" w:w="4320"/>
          </w:tcPr>
          <w:p>
            <w:r>
              <w:t>Data subjects affected</w:t>
            </w:r>
          </w:p>
        </w:tc>
        <w:tc>
          <w:tcPr>
            <w:tcW w:type="dxa" w:w="4320"/>
          </w:tcPr>
          <w:p>
            <w:r>
              <w:t>Categories and estimated number.</w:t>
            </w:r>
          </w:p>
        </w:tc>
      </w:tr>
      <w:tr>
        <w:tc>
          <w:tcPr>
            <w:tcW w:type="dxa" w:w="4320"/>
          </w:tcPr>
          <w:p>
            <w:r>
              <w:t>Severity</w:t>
            </w:r>
          </w:p>
        </w:tc>
        <w:tc>
          <w:tcPr>
            <w:tcW w:type="dxa" w:w="4320"/>
          </w:tcPr>
          <w:p>
            <w:r>
              <w:t>Low, medium, high, or critical.</w:t>
            </w:r>
          </w:p>
        </w:tc>
      </w:tr>
      <w:tr>
        <w:tc>
          <w:tcPr>
            <w:tcW w:type="dxa" w:w="4320"/>
          </w:tcPr>
          <w:p>
            <w:r>
              <w:t>SDAIA notification required</w:t>
            </w:r>
          </w:p>
        </w:tc>
        <w:tc>
          <w:tcPr>
            <w:tcW w:type="dxa" w:w="4320"/>
          </w:tcPr>
          <w:p>
            <w:r>
              <w:t>Yes, no, or under assessment.</w:t>
            </w:r>
          </w:p>
        </w:tc>
      </w:tr>
      <w:tr>
        <w:tc>
          <w:tcPr>
            <w:tcW w:type="dxa" w:w="4320"/>
          </w:tcPr>
          <w:p>
            <w:r>
              <w:t>SDAIA notification date</w:t>
            </w:r>
          </w:p>
        </w:tc>
        <w:tc>
          <w:tcPr>
            <w:tcW w:type="dxa" w:w="4320"/>
          </w:tcPr>
          <w:p>
            <w:r>
              <w:t>Date submitted, if applicable.</w:t>
            </w:r>
          </w:p>
        </w:tc>
      </w:tr>
      <w:tr>
        <w:tc>
          <w:tcPr>
            <w:tcW w:type="dxa" w:w="4320"/>
          </w:tcPr>
          <w:p>
            <w:r>
              <w:t>Data subject notification required</w:t>
            </w:r>
          </w:p>
        </w:tc>
        <w:tc>
          <w:tcPr>
            <w:tcW w:type="dxa" w:w="4320"/>
          </w:tcPr>
          <w:p>
            <w:r>
              <w:t>Yes, no, or deferred.</w:t>
            </w:r>
          </w:p>
        </w:tc>
      </w:tr>
      <w:tr>
        <w:tc>
          <w:tcPr>
            <w:tcW w:type="dxa" w:w="4320"/>
          </w:tcPr>
          <w:p>
            <w:r>
              <w:t>Data subject notification date</w:t>
            </w:r>
          </w:p>
        </w:tc>
        <w:tc>
          <w:tcPr>
            <w:tcW w:type="dxa" w:w="4320"/>
          </w:tcPr>
          <w:p>
            <w:r>
              <w:t>Date sent, if applicable.</w:t>
            </w:r>
          </w:p>
        </w:tc>
      </w:tr>
      <w:tr>
        <w:tc>
          <w:tcPr>
            <w:tcW w:type="dxa" w:w="4320"/>
          </w:tcPr>
          <w:p>
            <w:r>
              <w:t>Root cause</w:t>
            </w:r>
          </w:p>
        </w:tc>
        <w:tc>
          <w:tcPr>
            <w:tcW w:type="dxa" w:w="4320"/>
          </w:tcPr>
          <w:p>
            <w:r>
              <w:t>Confirmed or suspected cause.</w:t>
            </w:r>
          </w:p>
        </w:tc>
      </w:tr>
      <w:tr>
        <w:tc>
          <w:tcPr>
            <w:tcW w:type="dxa" w:w="4320"/>
          </w:tcPr>
          <w:p>
            <w:r>
              <w:t>Corrective actions</w:t>
            </w:r>
          </w:p>
        </w:tc>
        <w:tc>
          <w:tcPr>
            <w:tcW w:type="dxa" w:w="4320"/>
          </w:tcPr>
          <w:p>
            <w:r>
              <w:t>Summary and status.</w:t>
            </w:r>
          </w:p>
        </w:tc>
      </w:tr>
      <w:tr>
        <w:tc>
          <w:tcPr>
            <w:tcW w:type="dxa" w:w="4320"/>
          </w:tcPr>
          <w:p>
            <w:r>
              <w:t>Closure approval</w:t>
            </w:r>
          </w:p>
        </w:tc>
        <w:tc>
          <w:tcPr>
            <w:tcW w:type="dxa" w:w="4320"/>
          </w:tcPr>
          <w:p>
            <w:r>
              <w:t>Name, role, and date.</w:t>
            </w:r>
          </w:p>
        </w:tc>
      </w:tr>
    </w:tbl>
    <w:p>
      <w:pPr>
        <w:pStyle w:val="Heading2"/>
      </w:pPr>
      <w:r>
        <w:t>Exceptions &amp; Escalation</w:t>
      </w:r>
    </w:p>
    <w:p>
      <w:r>
        <w:t>Exceptions to this procedure are permitted only where justified by urgent operational, legal, security, or regulatory considerations. All exceptions must be documented and approved.</w:t>
      </w:r>
    </w:p>
    <w:p>
      <w:r>
        <w:t>Examples of possible exceptions include:</w:t>
      </w:r>
    </w:p>
    <w:p>
      <w:pPr>
        <w:pStyle w:val="ListBullet"/>
      </w:pPr>
      <w:r>
        <w:t>Delaying data subject notification to avoid prejudicing a criminal investigation, where supported by Legal Counsel or law enforcement advice.</w:t>
      </w:r>
    </w:p>
    <w:p>
      <w:pPr>
        <w:pStyle w:val="ListBullet"/>
      </w:pPr>
      <w:r>
        <w:t>Submitting an initial SDAIA notification before Legal Counsel review to avoid missing the required deadline.</w:t>
      </w:r>
    </w:p>
    <w:p>
      <w:pPr>
        <w:pStyle w:val="ListBullet"/>
      </w:pPr>
      <w:r>
        <w:t>Using public notice where direct notification is not possible because contact details are unavailable or unreliable.</w:t>
      </w:r>
    </w:p>
    <w:p>
      <w:pPr>
        <w:pStyle w:val="ListBullet"/>
      </w:pPr>
      <w:r>
        <w:t>Temporarily limiting breach details shared internally to protect evidence or prevent further compromise.</w:t>
      </w:r>
    </w:p>
    <w:p>
      <w:pPr>
        <w:pStyle w:val="ListBullet"/>
      </w:pPr>
      <w:r>
        <w:t>Delaying system restoration to preserve forensic evidence, where approved by Information Security and business leadership.</w:t>
      </w:r>
    </w:p>
    <w:p>
      <w:pPr>
        <w:pStyle w:val="ListBullet"/>
      </w:pPr>
      <w:r>
        <w:t>Deviating from standard communication templates due to urgent risk to data subjects.</w:t>
      </w:r>
    </w:p>
    <w:p>
      <w:r>
        <w:t>Exception records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Exception ID</w:t>
            </w:r>
          </w:p>
        </w:tc>
        <w:tc>
          <w:tcPr>
            <w:tcW w:type="dxa" w:w="4320"/>
          </w:tcPr>
          <w:p>
            <w:r>
              <w:t>Unique reference.</w:t>
            </w:r>
          </w:p>
        </w:tc>
      </w:tr>
      <w:tr>
        <w:tc>
          <w:tcPr>
            <w:tcW w:type="dxa" w:w="4320"/>
          </w:tcPr>
          <w:p>
            <w:r>
              <w:t>Breach ID</w:t>
            </w:r>
          </w:p>
        </w:tc>
        <w:tc>
          <w:tcPr>
            <w:tcW w:type="dxa" w:w="4320"/>
          </w:tcPr>
          <w:p>
            <w:r>
              <w:t>Related breach record.</w:t>
            </w:r>
          </w:p>
        </w:tc>
      </w:tr>
      <w:tr>
        <w:tc>
          <w:tcPr>
            <w:tcW w:type="dxa" w:w="4320"/>
          </w:tcPr>
          <w:p>
            <w:r>
              <w:t>Requested by</w:t>
            </w:r>
          </w:p>
        </w:tc>
        <w:tc>
          <w:tcPr>
            <w:tcW w:type="dxa" w:w="4320"/>
          </w:tcPr>
          <w:p>
            <w:r>
              <w:t>Name and role.</w:t>
            </w:r>
          </w:p>
        </w:tc>
      </w:tr>
      <w:tr>
        <w:tc>
          <w:tcPr>
            <w:tcW w:type="dxa" w:w="4320"/>
          </w:tcPr>
          <w:p>
            <w:r>
              <w:t>Description</w:t>
            </w:r>
          </w:p>
        </w:tc>
        <w:tc>
          <w:tcPr>
            <w:tcW w:type="dxa" w:w="4320"/>
          </w:tcPr>
          <w:p>
            <w:r>
              <w:t>What deviation is requested.</w:t>
            </w:r>
          </w:p>
        </w:tc>
      </w:tr>
      <w:tr>
        <w:tc>
          <w:tcPr>
            <w:tcW w:type="dxa" w:w="4320"/>
          </w:tcPr>
          <w:p>
            <w:r>
              <w:t>Reason</w:t>
            </w:r>
          </w:p>
        </w:tc>
        <w:tc>
          <w:tcPr>
            <w:tcW w:type="dxa" w:w="4320"/>
          </w:tcPr>
          <w:p>
            <w:r>
              <w:t>Legal, security, operational, regulatory, or other justification.</w:t>
            </w:r>
          </w:p>
        </w:tc>
      </w:tr>
      <w:tr>
        <w:tc>
          <w:tcPr>
            <w:tcW w:type="dxa" w:w="4320"/>
          </w:tcPr>
          <w:p>
            <w:r>
              <w:t>Risk assessment</w:t>
            </w:r>
          </w:p>
        </w:tc>
        <w:tc>
          <w:tcPr>
            <w:tcW w:type="dxa" w:w="4320"/>
          </w:tcPr>
          <w:p>
            <w:r>
              <w:t>Impact of approving or rejecting the exception.</w:t>
            </w:r>
          </w:p>
        </w:tc>
      </w:tr>
      <w:tr>
        <w:tc>
          <w:tcPr>
            <w:tcW w:type="dxa" w:w="4320"/>
          </w:tcPr>
          <w:p>
            <w:r>
              <w:t>Approver</w:t>
            </w:r>
          </w:p>
        </w:tc>
        <w:tc>
          <w:tcPr>
            <w:tcW w:type="dxa" w:w="4320"/>
          </w:tcPr>
          <w:p>
            <w:r>
              <w:t>Required approval authority.</w:t>
            </w:r>
          </w:p>
        </w:tc>
      </w:tr>
      <w:tr>
        <w:tc>
          <w:tcPr>
            <w:tcW w:type="dxa" w:w="4320"/>
          </w:tcPr>
          <w:p>
            <w:r>
              <w:t>Approval date</w:t>
            </w:r>
          </w:p>
        </w:tc>
        <w:tc>
          <w:tcPr>
            <w:tcW w:type="dxa" w:w="4320"/>
          </w:tcPr>
          <w:p>
            <w:r>
              <w:t>Date and time of approval.</w:t>
            </w:r>
          </w:p>
        </w:tc>
      </w:tr>
      <w:tr>
        <w:tc>
          <w:tcPr>
            <w:tcW w:type="dxa" w:w="4320"/>
          </w:tcPr>
          <w:p>
            <w:r>
              <w:t>Expiry or review date</w:t>
            </w:r>
          </w:p>
        </w:tc>
        <w:tc>
          <w:tcPr>
            <w:tcW w:type="dxa" w:w="4320"/>
          </w:tcPr>
          <w:p>
            <w:r>
              <w:t>When the exception will be reviewed or closed.</w:t>
            </w:r>
          </w:p>
        </w:tc>
      </w:tr>
      <w:tr>
        <w:tc>
          <w:tcPr>
            <w:tcW w:type="dxa" w:w="4320"/>
          </w:tcPr>
          <w:p>
            <w:r>
              <w:t>Compensating controls</w:t>
            </w:r>
          </w:p>
        </w:tc>
        <w:tc>
          <w:tcPr>
            <w:tcW w:type="dxa" w:w="4320"/>
          </w:tcPr>
          <w:p>
            <w:r>
              <w:t>Measures to reduce risk.</w:t>
            </w:r>
          </w:p>
        </w:tc>
      </w:tr>
    </w:tbl>
    <w:p>
      <w:r>
        <w:t>Escalation is required immediately where any of the following apply:</w:t>
      </w:r>
    </w:p>
    <w:p>
      <w:pPr>
        <w:pStyle w:val="ListBullet"/>
      </w:pPr>
      <w:r>
        <w:t>Sensitive personal data is involved.</w:t>
      </w:r>
    </w:p>
    <w:p>
      <w:pPr>
        <w:pStyle w:val="ListBullet"/>
      </w:pPr>
      <w:r>
        <w:t>A large number of data subjects may be affected.</w:t>
      </w:r>
    </w:p>
    <w:p>
      <w:pPr>
        <w:pStyle w:val="ListBullet"/>
      </w:pPr>
      <w:r>
        <w:t>Data subjects may suffer substantial harm.</w:t>
      </w:r>
    </w:p>
    <w:p>
      <w:pPr>
        <w:pStyle w:val="ListBullet"/>
      </w:pPr>
      <w:r>
        <w:t>The breach involves malicious activity, ransomware, extortion, fraud, insider misuse, or public exposure.</w:t>
      </w:r>
    </w:p>
    <w:p>
      <w:pPr>
        <w:pStyle w:val="ListBullet"/>
      </w:pPr>
      <w:r>
        <w:t>The breach affects children, vulnerable individuals, patients, employees, or other higher-risk groups.</w:t>
      </w:r>
    </w:p>
    <w:p>
      <w:pPr>
        <w:pStyle w:val="ListBullet"/>
      </w:pPr>
      <w:r>
        <w:t>The breach involves national identity, financial, health, biometric, genetic, or location data.</w:t>
      </w:r>
    </w:p>
    <w:p>
      <w:pPr>
        <w:pStyle w:val="ListBullet"/>
      </w:pPr>
      <w:r>
        <w:t>The breach may require SDAIA notification.</w:t>
      </w:r>
    </w:p>
    <w:p>
      <w:pPr>
        <w:pStyle w:val="ListBullet"/>
      </w:pPr>
      <w:r>
        <w:t>The breach may require data subject notification.</w:t>
      </w:r>
    </w:p>
    <w:p>
      <w:pPr>
        <w:pStyle w:val="ListBullet"/>
      </w:pPr>
      <w:r>
        <w:t>A processor fails to cooperate or delays providing required information.</w:t>
      </w:r>
    </w:p>
    <w:p>
      <w:pPr>
        <w:pStyle w:val="ListBullet"/>
      </w:pPr>
      <w:r>
        <w:t>The notification deadline may be missed.</w:t>
      </w:r>
    </w:p>
    <w:p>
      <w:pPr>
        <w:pStyle w:val="ListBullet"/>
      </w:pPr>
      <w:r>
        <w:t>Media, social media, customers, or regulators are already aware of the breach.</w:t>
      </w:r>
    </w:p>
    <w:p>
      <w:pPr>
        <w:pStyle w:val="ListBullet"/>
      </w:pPr>
      <w:r>
        <w:t>Law enforcement involvement may be required.</w:t>
      </w:r>
    </w:p>
    <w:p>
      <w:pPr>
        <w:pStyle w:val="ListBullet"/>
      </w:pPr>
      <w:r>
        <w:t>Cross-border access, transfer, or foreign authority involvement is identified.</w:t>
      </w:r>
    </w:p>
    <w:p>
      <w:pPr>
        <w:pStyle w:val="ListBullet"/>
      </w:pPr>
      <w:r>
        <w:t>The breach may materially affect business continuity, public trust, contractual obligations, or executive risk appetite.</w:t>
      </w:r>
    </w:p>
    <w:p>
      <w:r>
        <w:t>Escalation path:</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 / Trigger</w:t>
            </w:r>
          </w:p>
        </w:tc>
        <w:tc>
          <w:tcPr>
            <w:tcW w:type="dxa" w:w="2880"/>
          </w:tcPr>
          <w:p>
            <w:r>
              <w:t>Escalate To</w:t>
            </w:r>
          </w:p>
        </w:tc>
        <w:tc>
          <w:tcPr>
            <w:tcW w:type="dxa" w:w="2880"/>
          </w:tcPr>
          <w:p>
            <w:r>
              <w:t>Target Timing</w:t>
            </w:r>
          </w:p>
        </w:tc>
      </w:tr>
      <w:tr>
        <w:tc>
          <w:tcPr>
            <w:tcW w:type="dxa" w:w="2880"/>
          </w:tcPr>
          <w:p>
            <w:r>
              <w:t>Any suspected personal data breach</w:t>
            </w:r>
          </w:p>
        </w:tc>
        <w:tc>
          <w:tcPr>
            <w:tcW w:type="dxa" w:w="2880"/>
          </w:tcPr>
          <w:p>
            <w:r>
              <w:t>Privacy Office and Information Security</w:t>
            </w:r>
          </w:p>
        </w:tc>
        <w:tc>
          <w:tcPr>
            <w:tcW w:type="dxa" w:w="2880"/>
          </w:tcPr>
          <w:p>
            <w:r>
              <w:t>Immediately</w:t>
            </w:r>
          </w:p>
        </w:tc>
      </w:tr>
      <w:tr>
        <w:tc>
          <w:tcPr>
            <w:tcW w:type="dxa" w:w="2880"/>
          </w:tcPr>
          <w:p>
            <w:r>
              <w:t>Medium severity</w:t>
            </w:r>
          </w:p>
        </w:tc>
        <w:tc>
          <w:tcPr>
            <w:tcW w:type="dxa" w:w="2880"/>
          </w:tcPr>
          <w:p>
            <w:r>
              <w:t>Data Owner, Legal Counsel, Information Security Manager</w:t>
            </w:r>
          </w:p>
        </w:tc>
        <w:tc>
          <w:tcPr>
            <w:tcW w:type="dxa" w:w="2880"/>
          </w:tcPr>
          <w:p>
            <w:r>
              <w:t>Same business day</w:t>
            </w:r>
          </w:p>
        </w:tc>
      </w:tr>
      <w:tr>
        <w:tc>
          <w:tcPr>
            <w:tcW w:type="dxa" w:w="2880"/>
          </w:tcPr>
          <w:p>
            <w:r>
              <w:t>High severity</w:t>
            </w:r>
          </w:p>
        </w:tc>
        <w:tc>
          <w:tcPr>
            <w:tcW w:type="dxa" w:w="2880"/>
          </w:tcPr>
          <w:p>
            <w:r>
              <w:t>DPO / Privacy Lead, CISO, General Counsel, Business Executive</w:t>
            </w:r>
          </w:p>
        </w:tc>
        <w:tc>
          <w:tcPr>
            <w:tcW w:type="dxa" w:w="2880"/>
          </w:tcPr>
          <w:p>
            <w:r>
              <w:t>Immediately, target within 2 hours</w:t>
            </w:r>
          </w:p>
        </w:tc>
      </w:tr>
      <w:tr>
        <w:tc>
          <w:tcPr>
            <w:tcW w:type="dxa" w:w="2880"/>
          </w:tcPr>
          <w:p>
            <w:r>
              <w:t>Critical severity</w:t>
            </w:r>
          </w:p>
        </w:tc>
        <w:tc>
          <w:tcPr>
            <w:tcW w:type="dxa" w:w="2880"/>
          </w:tcPr>
          <w:p>
            <w:r>
              <w:t>Executive Management, Crisis Management Team, Communications Lead</w:t>
            </w:r>
          </w:p>
        </w:tc>
        <w:tc>
          <w:tcPr>
            <w:tcW w:type="dxa" w:w="2880"/>
          </w:tcPr>
          <w:p>
            <w:r>
              <w:t>Immediately, target within 1 hour</w:t>
            </w:r>
          </w:p>
        </w:tc>
      </w:tr>
      <w:tr>
        <w:tc>
          <w:tcPr>
            <w:tcW w:type="dxa" w:w="2880"/>
          </w:tcPr>
          <w:p>
            <w:r>
              <w:t>Potential SDAIA notification</w:t>
            </w:r>
          </w:p>
        </w:tc>
        <w:tc>
          <w:tcPr>
            <w:tcW w:type="dxa" w:w="2880"/>
          </w:tcPr>
          <w:p>
            <w:r>
              <w:t>Privacy Office, Legal Counsel, DPO, CISO</w:t>
            </w:r>
          </w:p>
        </w:tc>
        <w:tc>
          <w:tcPr>
            <w:tcW w:type="dxa" w:w="2880"/>
          </w:tcPr>
          <w:p>
            <w:r>
              <w:t>Immediately upon identification</w:t>
            </w:r>
          </w:p>
        </w:tc>
      </w:tr>
      <w:tr>
        <w:tc>
          <w:tcPr>
            <w:tcW w:type="dxa" w:w="2880"/>
          </w:tcPr>
          <w:p>
            <w:r>
              <w:t>Potential substantial harm to data subjects</w:t>
            </w:r>
          </w:p>
        </w:tc>
        <w:tc>
          <w:tcPr>
            <w:tcW w:type="dxa" w:w="2880"/>
          </w:tcPr>
          <w:p>
            <w:r>
              <w:t>Privacy Office, Legal Counsel, Communications, Executive Management</w:t>
            </w:r>
          </w:p>
        </w:tc>
        <w:tc>
          <w:tcPr>
            <w:tcW w:type="dxa" w:w="2880"/>
          </w:tcPr>
          <w:p>
            <w:r>
              <w:t>Immediately upon identification</w:t>
            </w:r>
          </w:p>
        </w:tc>
      </w:tr>
      <w:tr>
        <w:tc>
          <w:tcPr>
            <w:tcW w:type="dxa" w:w="2880"/>
          </w:tcPr>
          <w:p>
            <w:r>
              <w:t>Processor non-cooperation</w:t>
            </w:r>
          </w:p>
        </w:tc>
        <w:tc>
          <w:tcPr>
            <w:tcW w:type="dxa" w:w="2880"/>
          </w:tcPr>
          <w:p>
            <w:r>
              <w:t>Vendor Management, Legal Counsel, Privacy Office</w:t>
            </w:r>
          </w:p>
        </w:tc>
        <w:tc>
          <w:tcPr>
            <w:tcW w:type="dxa" w:w="2880"/>
          </w:tcPr>
          <w:p>
            <w:r>
              <w:t>Immediately</w:t>
            </w:r>
          </w:p>
        </w:tc>
      </w:tr>
      <w:tr>
        <w:tc>
          <w:tcPr>
            <w:tcW w:type="dxa" w:w="2880"/>
          </w:tcPr>
          <w:p>
            <w:r>
              <w:t>Risk of missed notification deadline</w:t>
            </w:r>
          </w:p>
        </w:tc>
        <w:tc>
          <w:tcPr>
            <w:tcW w:type="dxa" w:w="2880"/>
          </w:tcPr>
          <w:p>
            <w:r>
              <w:t>DPO / Privacy Lead, General Counsel, Executive Management</w:t>
            </w:r>
          </w:p>
        </w:tc>
        <w:tc>
          <w:tcPr>
            <w:tcW w:type="dxa" w:w="2880"/>
          </w:tcPr>
          <w:p>
            <w:r>
              <w:t>Immediately</w:t>
            </w:r>
          </w:p>
        </w:tc>
      </w:tr>
    </w:tbl>
    <w:p>
      <w:r>
        <w:t>If a required approver is unavailable and delay may cause regulatory non-compliance or increased harm, the Privacy Office may proceed with necessary notification or containment actions and document the reason for proceeding without prior approval.</w:t>
      </w:r>
    </w:p>
    <w:p>
      <w:pPr>
        <w:pStyle w:val="Heading2"/>
      </w:pPr>
      <w:r>
        <w:t>Review</w:t>
      </w:r>
    </w:p>
    <w:p>
      <w:r>
        <w:t>This procedure must be reviewed at least annually and whenever any of the following occur:</w:t>
      </w:r>
    </w:p>
    <w:p>
      <w:pPr>
        <w:pStyle w:val="ListBullet"/>
      </w:pPr>
      <w:r>
        <w:t>Changes to Saudi PDPL requirements or related regulatory guidance.</w:t>
      </w:r>
    </w:p>
    <w:p>
      <w:pPr>
        <w:pStyle w:val="ListBullet"/>
      </w:pPr>
      <w:r>
        <w:t>Changes to SDAIA notification channels, forms, or expectations.</w:t>
      </w:r>
    </w:p>
    <w:p>
      <w:pPr>
        <w:pStyle w:val="ListBullet"/>
      </w:pPr>
      <w:r>
        <w:t>Significant organisational changes, mergers, acquisitions, restructuring, or new business lines.</w:t>
      </w:r>
    </w:p>
    <w:p>
      <w:pPr>
        <w:pStyle w:val="ListBullet"/>
      </w:pPr>
      <w:r>
        <w:t>Introduction of new high-risk processing activities.</w:t>
      </w:r>
    </w:p>
    <w:p>
      <w:pPr>
        <w:pStyle w:val="ListBullet"/>
      </w:pPr>
      <w:r>
        <w:t>Significant changes to systems, cloud platforms, outsourcing arrangements, or cross-border processing.</w:t>
      </w:r>
    </w:p>
    <w:p>
      <w:pPr>
        <w:pStyle w:val="ListBullet"/>
      </w:pPr>
      <w:r>
        <w:t>A medium, high, or critical personal data breach.</w:t>
      </w:r>
    </w:p>
    <w:p>
      <w:pPr>
        <w:pStyle w:val="ListBullet"/>
      </w:pPr>
      <w:r>
        <w:t>Audit findings, regulator feedback, legal advice, or lessons learned indicate the procedure is ineffective.</w:t>
      </w:r>
    </w:p>
    <w:p>
      <w:pPr>
        <w:pStyle w:val="ListBullet"/>
      </w:pPr>
      <w:r>
        <w:t>Changes to the incident response, crisis management, communications, or vendor management processes.</w:t>
      </w:r>
    </w:p>
    <w:p>
      <w:r>
        <w:t>The review must verify that:</w:t>
      </w:r>
    </w:p>
    <w:p>
      <w:pPr>
        <w:pStyle w:val="ListBullet"/>
      </w:pPr>
      <w:r>
        <w:t>Roles and escalation contacts are current.</w:t>
      </w:r>
    </w:p>
    <w:p>
      <w:pPr>
        <w:pStyle w:val="ListBullet"/>
      </w:pPr>
      <w:r>
        <w:t>Notification templates remain accurate and practical.</w:t>
      </w:r>
    </w:p>
    <w:p>
      <w:pPr>
        <w:pStyle w:val="ListBullet"/>
      </w:pPr>
      <w:r>
        <w:t>Timing requirements are understood and achievable.</w:t>
      </w:r>
    </w:p>
    <w:p>
      <w:pPr>
        <w:pStyle w:val="ListBullet"/>
      </w:pPr>
      <w:r>
        <w:t>Breach register fields support audit and regulatory evidence needs.</w:t>
      </w:r>
    </w:p>
    <w:p>
      <w:pPr>
        <w:pStyle w:val="ListBullet"/>
      </w:pPr>
      <w:r>
        <w:t>Processor contracts and contact lists support timely breach cooperation.</w:t>
      </w:r>
    </w:p>
    <w:p>
      <w:pPr>
        <w:pStyle w:val="ListBullet"/>
      </w:pPr>
      <w:r>
        <w:t>Staff reporting channels are active and monitored.</w:t>
      </w:r>
    </w:p>
    <w:p>
      <w:pPr>
        <w:pStyle w:val="ListBullet"/>
      </w:pPr>
      <w:r>
        <w:t>Lessons learned from incidents and exercises have been incorporated.</w:t>
      </w:r>
    </w:p>
    <w:p>
      <w:pPr>
        <w:pStyle w:val="ListBullet"/>
      </w:pPr>
      <w:r>
        <w:t>Procedure dependencies remain aligned with security incident response, business continuity, legal, HR, communications, and vendor management processes.</w:t>
      </w:r>
    </w:p>
    <w:p>
      <w:r>
        <w:t>The Privacy Office is accountable for coordinating the review. Updates must be approved by [Approving Authority] and communicated to relevant stakeholders. Training or awareness updates must be provided where material changes are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