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Swift Secure Zone Scope Document</w:t>
      </w:r>
    </w:p>
    <w:p>
      <w:pPr>
        <w:pStyle w:val="Heading1"/>
      </w:pPr>
      <w:r>
        <w:t>Swift Secure Zone Scope Document</w:t>
      </w:r>
    </w:p>
    <w:tbl>
      <w:tblPr>
        <w:tblStyle w:val="TableGrid"/>
        <w:tblW w:type="auto" w:w="0"/>
        <w:tblLook w:firstColumn="1" w:firstRow="1" w:lastColumn="0" w:lastRow="0" w:noHBand="0" w:noVBand="1" w:val="04A0"/>
      </w:tblPr>
      <w:tblGrid>
        <w:gridCol w:w="4320"/>
        <w:gridCol w:w="4320"/>
      </w:tblGrid>
      <w:tr>
        <w:tc>
          <w:tcPr>
            <w:tcW w:type="dxa" w:w="4320"/>
          </w:tcPr>
          <w:p>
            <w:r>
              <w:t>Metadata</w:t>
            </w:r>
          </w:p>
        </w:tc>
        <w:tc>
          <w:tcPr>
            <w:tcW w:type="dxa" w:w="4320"/>
          </w:tcPr>
          <w:p>
            <w:r>
              <w:t>Value</w:t>
            </w:r>
          </w:p>
        </w:tc>
      </w:tr>
      <w:tr>
        <w:tc>
          <w:tcPr>
            <w:tcW w:type="dxa" w:w="4320"/>
          </w:tcPr>
          <w:p>
            <w:r>
              <w:t>Document ID</w:t>
            </w:r>
          </w:p>
        </w:tc>
        <w:tc>
          <w:tcPr>
            <w:tcW w:type="dxa" w:w="4320"/>
          </w:tcPr>
          <w:p>
            <w:r>
              <w:t>[POL-SWIFT-SSZ-001]</w:t>
            </w:r>
          </w:p>
        </w:tc>
      </w:tr>
      <w:tr>
        <w:tc>
          <w:tcPr>
            <w:tcW w:type="dxa" w:w="4320"/>
          </w:tcPr>
          <w:p>
            <w:r>
              <w:t>Version</w:t>
            </w:r>
          </w:p>
        </w:tc>
        <w:tc>
          <w:tcPr>
            <w:tcW w:type="dxa" w:w="4320"/>
          </w:tcPr>
          <w:p>
            <w:r>
              <w:t>1.0</w:t>
            </w:r>
          </w:p>
        </w:tc>
      </w:tr>
      <w:tr>
        <w:tc>
          <w:tcPr>
            <w:tcW w:type="dxa" w:w="4320"/>
          </w:tcPr>
          <w:p>
            <w:r>
              <w:t>Owner</w:t>
            </w:r>
          </w:p>
        </w:tc>
        <w:tc>
          <w:tcPr>
            <w:tcW w:type="dxa" w:w="4320"/>
          </w:tcPr>
          <w:p>
            <w:r>
              <w:t>[Head of Information Security]</w:t>
            </w:r>
          </w:p>
        </w:tc>
      </w:tr>
      <w:tr>
        <w:tc>
          <w:tcPr>
            <w:tcW w:type="dxa" w:w="4320"/>
          </w:tcPr>
          <w:p>
            <w:r>
              <w:t>Effective Date</w:t>
            </w:r>
          </w:p>
        </w:tc>
        <w:tc>
          <w:tcPr>
            <w:tcW w:type="dxa" w:w="4320"/>
          </w:tcPr>
          <w:p>
            <w:r>
              <w:t>[YYYY-MM-DD]</w:t>
            </w:r>
          </w:p>
        </w:tc>
      </w:tr>
      <w:tr>
        <w:tc>
          <w:tcPr>
            <w:tcW w:type="dxa" w:w="4320"/>
          </w:tcPr>
          <w:p>
            <w:r>
              <w:t>Framework</w:t>
            </w:r>
          </w:p>
        </w:tc>
        <w:tc>
          <w:tcPr>
            <w:tcW w:type="dxa" w:w="4320"/>
          </w:tcPr>
          <w:p>
            <w:r>
              <w:t>SWIFT Customer Security Controls Framework</w:t>
            </w:r>
          </w:p>
        </w:tc>
      </w:tr>
      <w:tr>
        <w:tc>
          <w:tcPr>
            <w:tcW w:type="dxa" w:w="4320"/>
          </w:tcPr>
          <w:p>
            <w:r>
              <w:t>Classification</w:t>
            </w:r>
          </w:p>
        </w:tc>
        <w:tc>
          <w:tcPr>
            <w:tcW w:type="dxa" w:w="4320"/>
          </w:tcPr>
          <w:p>
            <w:r>
              <w:t>Internal Confidential</w:t>
            </w:r>
          </w:p>
        </w:tc>
      </w:tr>
    </w:tbl>
    <w:p>
      <w:pPr>
        <w:pStyle w:val="Heading2"/>
      </w:pPr>
      <w:r>
        <w:t>Purpose</w:t>
      </w:r>
    </w:p>
    <w:p>
      <w:r>
        <w:t>This Policy defines the mandatory scope of the Swift Secure Zone within [Organisation Name]. It establishes which systems, infrastructure, operators, service accounts, administrative functions, connectivity paths, and supporting processes are included in the protected environment used to access, operate, administer, monitor, or support SWIFT services.</w:t>
      </w:r>
    </w:p>
    <w:p>
      <w:r>
        <w:t>The purpose of this Policy is to ensure that all components and personnel capable of influencing the confidentiality, integrity, availability, authentication, message processing, or operational security of SWIFT-related activities are correctly identified, documented, controlled, monitored, and maintained within an approved security boundary.</w:t>
      </w:r>
    </w:p>
    <w:p>
      <w:r>
        <w:t>This Policy supports consistent implementation of secure architecture, access control, change management, vulnerability management, logging, incident response, supplier oversight, and compliance activities for the organisation’s SWIFT environment.</w:t>
      </w:r>
    </w:p>
    <w:p>
      <w:pPr>
        <w:pStyle w:val="Heading2"/>
      </w:pPr>
      <w:r>
        <w:t>Scope</w:t>
      </w:r>
    </w:p>
    <w:p>
      <w:r>
        <w:t>This Policy applies to all business units, employees, contractors, third parties, systems, networks, applications, devices, accounts, facilities, processes, and services that are part of, connected to, support, administer, monitor, or otherwise affect the Swift Secure Zone.</w:t>
      </w:r>
    </w:p>
    <w:p>
      <w:r>
        <w:t>The Swift Secure Zone includes, but is not limited to, the following:</w:t>
      </w:r>
    </w:p>
    <w:tbl>
      <w:tblPr>
        <w:tblStyle w:val="TableGrid"/>
        <w:tblW w:type="auto" w:w="0"/>
        <w:tblLook w:firstColumn="1" w:firstRow="1" w:lastColumn="0" w:lastRow="0" w:noHBand="0" w:noVBand="1" w:val="04A0"/>
      </w:tblPr>
      <w:tblGrid>
        <w:gridCol w:w="4320"/>
        <w:gridCol w:w="4320"/>
      </w:tblGrid>
      <w:tr>
        <w:tc>
          <w:tcPr>
            <w:tcW w:type="dxa" w:w="4320"/>
          </w:tcPr>
          <w:p>
            <w:r>
              <w:t>Scope Area</w:t>
            </w:r>
          </w:p>
        </w:tc>
        <w:tc>
          <w:tcPr>
            <w:tcW w:type="dxa" w:w="4320"/>
          </w:tcPr>
          <w:p>
            <w:r>
              <w:t>Included Examples</w:t>
            </w:r>
          </w:p>
        </w:tc>
      </w:tr>
      <w:tr>
        <w:tc>
          <w:tcPr>
            <w:tcW w:type="dxa" w:w="4320"/>
          </w:tcPr>
          <w:p>
            <w:r>
              <w:t>SWIFT messaging components</w:t>
            </w:r>
          </w:p>
        </w:tc>
        <w:tc>
          <w:tcPr>
            <w:tcW w:type="dxa" w:w="4320"/>
          </w:tcPr>
          <w:p>
            <w:r>
              <w:t>SWIFT interfaces, messaging applications, communication software, middleware, message queues, transaction processing platforms, and associated databases</w:t>
            </w:r>
          </w:p>
        </w:tc>
      </w:tr>
      <w:tr>
        <w:tc>
          <w:tcPr>
            <w:tcW w:type="dxa" w:w="4320"/>
          </w:tcPr>
          <w:p>
            <w:r>
              <w:t>SWIFT connectivity components</w:t>
            </w:r>
          </w:p>
        </w:tc>
        <w:tc>
          <w:tcPr>
            <w:tcW w:type="dxa" w:w="4320"/>
          </w:tcPr>
          <w:p>
            <w:r>
              <w:t>Network devices, firewalls, routers, switches, secure gateways, leased lines, VPNs, service bureau links, jump hosts, and remote access services used for SWIFT connectivity</w:t>
            </w:r>
          </w:p>
        </w:tc>
      </w:tr>
      <w:tr>
        <w:tc>
          <w:tcPr>
            <w:tcW w:type="dxa" w:w="4320"/>
          </w:tcPr>
          <w:p>
            <w:r>
              <w:t>Security infrastructure</w:t>
            </w:r>
          </w:p>
        </w:tc>
        <w:tc>
          <w:tcPr>
            <w:tcW w:type="dxa" w:w="4320"/>
          </w:tcPr>
          <w:p>
            <w:r>
              <w:t>Identity platforms, privileged access tools, multi-factor authentication services, endpoint protection, malware protection, encryption services, key management systems, certificate stores, security monitoring tools, and log management platforms supporting the SWIFT environment</w:t>
            </w:r>
          </w:p>
        </w:tc>
      </w:tr>
      <w:tr>
        <w:tc>
          <w:tcPr>
            <w:tcW w:type="dxa" w:w="4320"/>
          </w:tcPr>
          <w:p>
            <w:r>
              <w:t>Administrative systems</w:t>
            </w:r>
          </w:p>
        </w:tc>
        <w:tc>
          <w:tcPr>
            <w:tcW w:type="dxa" w:w="4320"/>
          </w:tcPr>
          <w:p>
            <w:r>
              <w:t>Bastion hosts, management workstations, secure administrator workstations, configuration management systems, deployment tools, backup administration systems, and patch management tools used to manage SWIFT components</w:t>
            </w:r>
          </w:p>
        </w:tc>
      </w:tr>
      <w:tr>
        <w:tc>
          <w:tcPr>
            <w:tcW w:type="dxa" w:w="4320"/>
          </w:tcPr>
          <w:p>
            <w:r>
              <w:t>Supporting infrastructure</w:t>
            </w:r>
          </w:p>
        </w:tc>
        <w:tc>
          <w:tcPr>
            <w:tcW w:type="dxa" w:w="4320"/>
          </w:tcPr>
          <w:p>
            <w:r>
              <w:t>Virtualisation hosts, storage platforms, backup platforms, directory services, DNS, time synchronisation, database servers, and operating system platforms that support SWIFT services</w:t>
            </w:r>
          </w:p>
        </w:tc>
      </w:tr>
      <w:tr>
        <w:tc>
          <w:tcPr>
            <w:tcW w:type="dxa" w:w="4320"/>
          </w:tcPr>
          <w:p>
            <w:r>
              <w:t>Physical locations</w:t>
            </w:r>
          </w:p>
        </w:tc>
        <w:tc>
          <w:tcPr>
            <w:tcW w:type="dxa" w:w="4320"/>
          </w:tcPr>
          <w:p>
            <w:r>
              <w:t>Data centres, operations rooms, secure equipment rooms, network rooms, backup media storage locations, and disaster recovery facilities where SWIFT systems or supporting components are hosted or administered</w:t>
            </w:r>
          </w:p>
        </w:tc>
      </w:tr>
      <w:tr>
        <w:tc>
          <w:tcPr>
            <w:tcW w:type="dxa" w:w="4320"/>
          </w:tcPr>
          <w:p>
            <w:r>
              <w:t>Personnel and accounts</w:t>
            </w:r>
          </w:p>
        </w:tc>
        <w:tc>
          <w:tcPr>
            <w:tcW w:type="dxa" w:w="4320"/>
          </w:tcPr>
          <w:p>
            <w:r>
              <w:t>Operators, approvers, administrators, developers, support personnel, security analysts, service desk staff, third-party support users, privileged accounts, service accounts, application accounts, and emergency access accounts with access to or influence over the SWIFT environment</w:t>
            </w:r>
          </w:p>
        </w:tc>
      </w:tr>
      <w:tr>
        <w:tc>
          <w:tcPr>
            <w:tcW w:type="dxa" w:w="4320"/>
          </w:tcPr>
          <w:p>
            <w:r>
              <w:t>Operational processes</w:t>
            </w:r>
          </w:p>
        </w:tc>
        <w:tc>
          <w:tcPr>
            <w:tcW w:type="dxa" w:w="4320"/>
          </w:tcPr>
          <w:p>
            <w:r>
              <w:t>User access management, message approval, transaction monitoring, system administration, change management, backup and restoration, vulnerability management, incident response, log review, configuration management, and disaster recovery activities for SWIFT services</w:t>
            </w:r>
          </w:p>
        </w:tc>
      </w:tr>
      <w:tr>
        <w:tc>
          <w:tcPr>
            <w:tcW w:type="dxa" w:w="4320"/>
          </w:tcPr>
          <w:p>
            <w:r>
              <w:t>External parties</w:t>
            </w:r>
          </w:p>
        </w:tc>
        <w:tc>
          <w:tcPr>
            <w:tcW w:type="dxa" w:w="4320"/>
          </w:tcPr>
          <w:p>
            <w:r>
              <w:t>Service bureaus, managed service providers, cloud providers, network providers, vendors, consultants, outsourcing partners, and support organisations that access, operate, host, monitor, or maintain any component of the Swift Secure Zone</w:t>
            </w:r>
          </w:p>
        </w:tc>
      </w:tr>
    </w:tbl>
    <w:p>
      <w:r>
        <w:t>The following are outside the Swift Secure Zone unless they connect to, administer, authenticate users for, monitor, store data from, or otherwise influence SWIFT systems:</w:t>
      </w:r>
    </w:p>
    <w:p>
      <w:pPr>
        <w:pStyle w:val="ListBullet"/>
      </w:pPr>
      <w:r>
        <w:t>General corporate end-user devices.</w:t>
      </w:r>
    </w:p>
    <w:p>
      <w:pPr>
        <w:pStyle w:val="ListBullet"/>
      </w:pPr>
      <w:r>
        <w:t>Standard office productivity systems.</w:t>
      </w:r>
    </w:p>
    <w:p>
      <w:pPr>
        <w:pStyle w:val="ListBullet"/>
      </w:pPr>
      <w:r>
        <w:t>Public websites and unrelated business applications.</w:t>
      </w:r>
    </w:p>
    <w:p>
      <w:pPr>
        <w:pStyle w:val="ListBullet"/>
      </w:pPr>
      <w:r>
        <w:t>Corporate networks with no permitted communication path to SWIFT systems.</w:t>
      </w:r>
    </w:p>
    <w:p>
      <w:pPr>
        <w:pStyle w:val="ListBullet"/>
      </w:pPr>
      <w:r>
        <w:t>Non-SWIFT payment platforms with no shared infrastructure, identity dependency, data flow, administrative access, or operational dependency.</w:t>
      </w:r>
    </w:p>
    <w:p>
      <w:r>
        <w:t>Where a system, user, service, network, supplier, or process has an unclear relationship to SWIFT services, it shall be treated as in-scope until a formal assessment confirms otherwise.</w:t>
      </w:r>
    </w:p>
    <w:p>
      <w:pPr>
        <w:pStyle w:val="Heading2"/>
      </w:pPr>
      <w:r>
        <w:t>Policy Statements</w:t>
      </w:r>
    </w:p>
    <w:p>
      <w:pPr>
        <w:pStyle w:val="ListBullet"/>
      </w:pPr>
      <w:r>
        <w:t>The organisation shall maintain a formally approved Swift Secure Zone boundary that identifies all systems, networks, personnel, accounts, services, suppliers, data flows, administration paths, and physical locations included in scope.</w:t>
      </w:r>
    </w:p>
    <w:p>
      <w:pPr>
        <w:pStyle w:val="ListBullet"/>
      </w:pPr>
      <w:r>
        <w:t>The Swift Secure Zone shall include all components that create, process, transmit, store, approve, monitor, administer, secure, back up, or recover SWIFT messages, credentials, security logs, configuration data, cryptographic material, or related operational data.</w:t>
      </w:r>
    </w:p>
    <w:p>
      <w:pPr>
        <w:pStyle w:val="ListBullet"/>
      </w:pPr>
      <w:r>
        <w:t>The Swift Secure Zone shall include any component that provides authentication, authorisation, privileged access, security monitoring, malware protection, vulnerability management, backup, restoration, time synchronisation, name resolution, network routing, or administrative control for SWIFT systems.</w:t>
      </w:r>
    </w:p>
    <w:p>
      <w:pPr>
        <w:pStyle w:val="ListBullet"/>
      </w:pPr>
      <w:r>
        <w:t>The Swift Secure Zone shall include all operator workstations, administrator workstations, jump hosts, privileged access platforms, and remote access solutions used to access or manage SWIFT systems.</w:t>
      </w:r>
    </w:p>
    <w:p>
      <w:pPr>
        <w:pStyle w:val="ListBullet"/>
      </w:pPr>
      <w:r>
        <w:t>The Swift Secure Zone shall include all personnel who can operate, approve, release, support, configure, monitor, troubleshoot, or administer SWIFT services, whether they are employees, contractors, temporary staff, consultants, vendor support personnel, or managed service provider personnel.</w:t>
      </w:r>
    </w:p>
    <w:p>
      <w:pPr>
        <w:pStyle w:val="ListBullet"/>
      </w:pPr>
      <w:r>
        <w:t>The Swift Secure Zone shall include all privileged accounts, named user accounts, shared accounts where formally approved, service accounts, application accounts, break-glass accounts, and supplier accounts that provide access to SWIFT systems or supporting infrastructure.</w:t>
      </w:r>
    </w:p>
    <w:p>
      <w:pPr>
        <w:pStyle w:val="ListBullet"/>
      </w:pPr>
      <w:r>
        <w:t>The organisation shall maintain an approved Swift Secure Zone inventory containing, at minimum, the following information:</w:t>
      </w:r>
    </w:p>
    <w:tbl>
      <w:tblPr>
        <w:tblStyle w:val="TableGrid"/>
        <w:tblW w:type="auto" w:w="0"/>
        <w:tblLook w:firstColumn="1" w:firstRow="1" w:lastColumn="0" w:lastRow="0" w:noHBand="0" w:noVBand="1" w:val="04A0"/>
      </w:tblPr>
      <w:tblGrid>
        <w:gridCol w:w="4320"/>
        <w:gridCol w:w="4320"/>
      </w:tblGrid>
      <w:tr>
        <w:tc>
          <w:tcPr>
            <w:tcW w:type="dxa" w:w="4320"/>
          </w:tcPr>
          <w:p>
            <w:r>
              <w:t>Inventory Field</w:t>
            </w:r>
          </w:p>
        </w:tc>
        <w:tc>
          <w:tcPr>
            <w:tcW w:type="dxa" w:w="4320"/>
          </w:tcPr>
          <w:p>
            <w:r>
              <w:t>Mandatory Content</w:t>
            </w:r>
          </w:p>
        </w:tc>
      </w:tr>
      <w:tr>
        <w:tc>
          <w:tcPr>
            <w:tcW w:type="dxa" w:w="4320"/>
          </w:tcPr>
          <w:p>
            <w:r>
              <w:t>Asset or component name</w:t>
            </w:r>
          </w:p>
        </w:tc>
        <w:tc>
          <w:tcPr>
            <w:tcW w:type="dxa" w:w="4320"/>
          </w:tcPr>
          <w:p>
            <w:r>
              <w:t>Authorised hostname, application name, service name, device name, or account name</w:t>
            </w:r>
          </w:p>
        </w:tc>
      </w:tr>
      <w:tr>
        <w:tc>
          <w:tcPr>
            <w:tcW w:type="dxa" w:w="4320"/>
          </w:tcPr>
          <w:p>
            <w:r>
              <w:t>Asset type</w:t>
            </w:r>
          </w:p>
        </w:tc>
        <w:tc>
          <w:tcPr>
            <w:tcW w:type="dxa" w:w="4320"/>
          </w:tcPr>
          <w:p>
            <w:r>
              <w:t>Application, server, database, network device, security tool, endpoint, account, facility, supplier service, or process</w:t>
            </w:r>
          </w:p>
        </w:tc>
      </w:tr>
      <w:tr>
        <w:tc>
          <w:tcPr>
            <w:tcW w:type="dxa" w:w="4320"/>
          </w:tcPr>
          <w:p>
            <w:r>
              <w:t>Business owner</w:t>
            </w:r>
          </w:p>
        </w:tc>
        <w:tc>
          <w:tcPr>
            <w:tcW w:type="dxa" w:w="4320"/>
          </w:tcPr>
          <w:p>
            <w:r>
              <w:t>Accountable business role or function</w:t>
            </w:r>
          </w:p>
        </w:tc>
      </w:tr>
      <w:tr>
        <w:tc>
          <w:tcPr>
            <w:tcW w:type="dxa" w:w="4320"/>
          </w:tcPr>
          <w:p>
            <w:r>
              <w:t>Technical owner</w:t>
            </w:r>
          </w:p>
        </w:tc>
        <w:tc>
          <w:tcPr>
            <w:tcW w:type="dxa" w:w="4320"/>
          </w:tcPr>
          <w:p>
            <w:r>
              <w:t>Accountable technical support team or named role</w:t>
            </w:r>
          </w:p>
        </w:tc>
      </w:tr>
      <w:tr>
        <w:tc>
          <w:tcPr>
            <w:tcW w:type="dxa" w:w="4320"/>
          </w:tcPr>
          <w:p>
            <w:r>
              <w:t>Location</w:t>
            </w:r>
          </w:p>
        </w:tc>
        <w:tc>
          <w:tcPr>
            <w:tcW w:type="dxa" w:w="4320"/>
          </w:tcPr>
          <w:p>
            <w:r>
              <w:t>Data centre, site, cloud region, third-party location, or logical hosting location</w:t>
            </w:r>
          </w:p>
        </w:tc>
      </w:tr>
      <w:tr>
        <w:tc>
          <w:tcPr>
            <w:tcW w:type="dxa" w:w="4320"/>
          </w:tcPr>
          <w:p>
            <w:r>
              <w:t>Environment</w:t>
            </w:r>
          </w:p>
        </w:tc>
        <w:tc>
          <w:tcPr>
            <w:tcW w:type="dxa" w:w="4320"/>
          </w:tcPr>
          <w:p>
            <w:r>
              <w:t>Production, disaster recovery, test, development, management, monitoring, or support</w:t>
            </w:r>
          </w:p>
        </w:tc>
      </w:tr>
      <w:tr>
        <w:tc>
          <w:tcPr>
            <w:tcW w:type="dxa" w:w="4320"/>
          </w:tcPr>
          <w:p>
            <w:r>
              <w:t>Connectivity</w:t>
            </w:r>
          </w:p>
        </w:tc>
        <w:tc>
          <w:tcPr>
            <w:tcW w:type="dxa" w:w="4320"/>
          </w:tcPr>
          <w:p>
            <w:r>
              <w:t>Approved inbound and outbound connections relevant to SWIFT operations</w:t>
            </w:r>
          </w:p>
        </w:tc>
      </w:tr>
      <w:tr>
        <w:tc>
          <w:tcPr>
            <w:tcW w:type="dxa" w:w="4320"/>
          </w:tcPr>
          <w:p>
            <w:r>
              <w:t>Access groups</w:t>
            </w:r>
          </w:p>
        </w:tc>
        <w:tc>
          <w:tcPr>
            <w:tcW w:type="dxa" w:w="4320"/>
          </w:tcPr>
          <w:p>
            <w:r>
              <w:t>Authorised user groups, administrative groups, service accounts, or supplier access groups</w:t>
            </w:r>
          </w:p>
        </w:tc>
      </w:tr>
      <w:tr>
        <w:tc>
          <w:tcPr>
            <w:tcW w:type="dxa" w:w="4320"/>
          </w:tcPr>
          <w:p>
            <w:r>
              <w:t>Criticality</w:t>
            </w:r>
          </w:p>
        </w:tc>
        <w:tc>
          <w:tcPr>
            <w:tcW w:type="dxa" w:w="4320"/>
          </w:tcPr>
          <w:p>
            <w:r>
              <w:t>Business and security impact rating</w:t>
            </w:r>
          </w:p>
        </w:tc>
      </w:tr>
      <w:tr>
        <w:tc>
          <w:tcPr>
            <w:tcW w:type="dxa" w:w="4320"/>
          </w:tcPr>
          <w:p>
            <w:r>
              <w:t>Security classification</w:t>
            </w:r>
          </w:p>
        </w:tc>
        <w:tc>
          <w:tcPr>
            <w:tcW w:type="dxa" w:w="4320"/>
          </w:tcPr>
          <w:p>
            <w:r>
              <w:t>Classification of data processed, stored, or transmitted</w:t>
            </w:r>
          </w:p>
        </w:tc>
      </w:tr>
      <w:tr>
        <w:tc>
          <w:tcPr>
            <w:tcW w:type="dxa" w:w="4320"/>
          </w:tcPr>
          <w:p>
            <w:r>
              <w:t>Status</w:t>
            </w:r>
          </w:p>
        </w:tc>
        <w:tc>
          <w:tcPr>
            <w:tcW w:type="dxa" w:w="4320"/>
          </w:tcPr>
          <w:p>
            <w:r>
              <w:t>Active, pending implementation, retired, decommissioned, or under review</w:t>
            </w:r>
          </w:p>
        </w:tc>
      </w:tr>
      <w:tr>
        <w:tc>
          <w:tcPr>
            <w:tcW w:type="dxa" w:w="4320"/>
          </w:tcPr>
          <w:p>
            <w:r>
              <w:t>Last validation date</w:t>
            </w:r>
          </w:p>
        </w:tc>
        <w:tc>
          <w:tcPr>
            <w:tcW w:type="dxa" w:w="4320"/>
          </w:tcPr>
          <w:p>
            <w:r>
              <w:t>Date of most recent scope confirmation</w:t>
            </w:r>
          </w:p>
        </w:tc>
      </w:tr>
    </w:tbl>
    <w:p>
      <w:pPr>
        <w:pStyle w:val="ListBullet"/>
      </w:pPr>
      <w:r>
        <w:t>The Swift Secure Zone boundary shall be documented using current architecture diagrams, network diagrams, data flow diagrams, access path diagrams, and dependency maps.</w:t>
      </w:r>
    </w:p>
    <w:p>
      <w:pPr>
        <w:pStyle w:val="ListBullet"/>
      </w:pPr>
      <w:r>
        <w:t>Diagrams of the Swift Secure Zone shall clearly identify trusted zones, management zones, user access paths, administrative access paths, external connections, monitoring points, security controls, and interfaces with third parties.</w:t>
      </w:r>
    </w:p>
    <w:p>
      <w:pPr>
        <w:pStyle w:val="ListBullet"/>
      </w:pPr>
      <w:r>
        <w:t>The Swift Secure Zone shall be logically segregated from general corporate networks and unrelated systems through approved network controls, access controls, monitoring controls, and administrative restrictions.</w:t>
      </w:r>
    </w:p>
    <w:p>
      <w:pPr>
        <w:pStyle w:val="ListBullet"/>
      </w:pPr>
      <w:r>
        <w:t>Only approved and documented communication paths shall be permitted into, out of, or within the Swift Secure Zone.</w:t>
      </w:r>
    </w:p>
    <w:p>
      <w:pPr>
        <w:pStyle w:val="ListBullet"/>
      </w:pPr>
      <w:r>
        <w:t>All communication paths involving the Swift Secure Zone shall have a documented business justification, identified owner, approved source, approved destination, approved protocol, approved port, security control requirements, and review frequency.</w:t>
      </w:r>
    </w:p>
    <w:p>
      <w:pPr>
        <w:pStyle w:val="ListBullet"/>
      </w:pPr>
      <w:r>
        <w:t>Direct access from general corporate user networks to SWIFT production systems shall be prohibited unless explicitly approved through the exception process and protected by compensating controls.</w:t>
      </w:r>
    </w:p>
    <w:p>
      <w:pPr>
        <w:pStyle w:val="ListBullet"/>
      </w:pPr>
      <w:r>
        <w:t>Internet-originated access to SWIFT production systems shall be prohibited unless explicitly required for an approved SWIFT service, vendor support arrangement, or managed service model and protected by strong authentication, encryption, monitoring, and restricted access controls.</w:t>
      </w:r>
    </w:p>
    <w:p>
      <w:pPr>
        <w:pStyle w:val="ListBullet"/>
      </w:pPr>
      <w:r>
        <w:t>Remote access to the Swift Secure Zone shall be restricted to authorised users, approved access methods, strong authentication, monitored sessions, and time-bound access where operationally feasible.</w:t>
      </w:r>
    </w:p>
    <w:p>
      <w:pPr>
        <w:pStyle w:val="ListBullet"/>
      </w:pPr>
      <w:r>
        <w:t>Privileged access to the Swift Secure Zone shall be granted only to authorised personnel with a defined operational need, management approval, security approval, and appropriate segregation of duties.</w:t>
      </w:r>
    </w:p>
    <w:p>
      <w:pPr>
        <w:pStyle w:val="ListBullet"/>
      </w:pPr>
      <w:r>
        <w:t>Operators responsible for creating, modifying, approving, releasing, or monitoring SWIFT messages shall be identified in the scope register and assigned role-based access according to their approved duties.</w:t>
      </w:r>
    </w:p>
    <w:p>
      <w:pPr>
        <w:pStyle w:val="ListBullet"/>
      </w:pPr>
      <w:r>
        <w:t>The organisation shall maintain a current list of all SWIFT operators, approvers, administrators, support personnel, and third-party users with access to the Swift Secure Zone.</w:t>
      </w:r>
    </w:p>
    <w:p>
      <w:pPr>
        <w:pStyle w:val="ListBullet"/>
      </w:pPr>
      <w:r>
        <w:t>Access rights for personnel within the Swift Secure Zone shall be reviewed at a defined frequency and whenever personnel change role, transfer department, leave the organisation, change supplier assignment, or no longer require access.</w:t>
      </w:r>
    </w:p>
    <w:p>
      <w:pPr>
        <w:pStyle w:val="ListBullet"/>
      </w:pPr>
      <w:r>
        <w:t>The organisation shall define and enforce segregation between SWIFT message creation, approval, release, system administration, security administration, and audit or monitoring functions.</w:t>
      </w:r>
    </w:p>
    <w:p>
      <w:pPr>
        <w:pStyle w:val="ListBullet"/>
      </w:pPr>
      <w:r>
        <w:t>Shared accounts shall not be used within the Swift Secure Zone unless there is a documented technical constraint, formal approval, compensating monitoring controls, and named accountability for each use.</w:t>
      </w:r>
    </w:p>
    <w:p>
      <w:pPr>
        <w:pStyle w:val="ListBullet"/>
      </w:pPr>
      <w:r>
        <w:t>Service accounts used within the Swift Secure Zone shall have a documented owner, business purpose, technical purpose, permitted systems, required permissions, password or key management requirements, and monitoring requirements.</w:t>
      </w:r>
    </w:p>
    <w:p>
      <w:pPr>
        <w:pStyle w:val="ListBullet"/>
      </w:pPr>
      <w:r>
        <w:t>The Swift Secure Zone shall include all environments that can affect SWIFT production security, including development, test, staging, training, disaster recovery, and backup environments where they share credentials, configurations, infrastructure, administrative access, code, data, connectivity, or operational dependencies with production.</w:t>
      </w:r>
    </w:p>
    <w:p>
      <w:pPr>
        <w:pStyle w:val="ListBullet"/>
      </w:pPr>
      <w:r>
        <w:t>Non-production environments connected to or derived from SWIFT production systems shall be included in scope unless they are demonstrably isolated, do not contain sensitive SWIFT data, do not share privileged access paths, and cannot affect production operations.</w:t>
      </w:r>
    </w:p>
    <w:p>
      <w:pPr>
        <w:pStyle w:val="ListBullet"/>
      </w:pPr>
      <w:r>
        <w:t>Backup systems, backup repositories, backup media, restoration platforms, and recovery procedures for SWIFT systems shall be included in the Swift Secure Zone scope.</w:t>
      </w:r>
    </w:p>
    <w:p>
      <w:pPr>
        <w:pStyle w:val="ListBullet"/>
      </w:pPr>
      <w:r>
        <w:t>Disaster recovery systems and alternate processing sites for SWIFT services shall be included in the Swift Secure Zone scope and protected to a level consistent with production requirements.</w:t>
      </w:r>
    </w:p>
    <w:p>
      <w:pPr>
        <w:pStyle w:val="ListBullet"/>
      </w:pPr>
      <w:r>
        <w:t>Security logging, monitoring, alerting, investigation, and incident response tools that collect or process Swift Secure Zone data shall be included in scope where they can affect confidentiality, integrity, availability, or investigation capability.</w:t>
      </w:r>
    </w:p>
    <w:p>
      <w:pPr>
        <w:pStyle w:val="ListBullet"/>
      </w:pPr>
      <w:r>
        <w:t>The organisation shall classify Swift Secure Zone logs, configurations, cryptographic material, authentication data, transaction-related data, and security records according to their sensitivity and protect them from unauthorised access, alteration, deletion, or disclosure.</w:t>
      </w:r>
    </w:p>
    <w:p>
      <w:pPr>
        <w:pStyle w:val="ListBullet"/>
      </w:pPr>
      <w:r>
        <w:t>Any third-party service that hosts, manages, accesses, monitors, supports, secures, transmits, or stores data for the Swift Secure Zone shall be included in scope and subject to supplier security oversight.</w:t>
      </w:r>
    </w:p>
    <w:p>
      <w:pPr>
        <w:pStyle w:val="ListBullet"/>
      </w:pPr>
      <w:r>
        <w:t>Contracts or service agreements for third parties supporting the Swift Secure Zone shall define security responsibilities, access restrictions, monitoring rights, incident notification obligations, confidentiality obligations, service continuity requirements, and evidence requirements.</w:t>
      </w:r>
    </w:p>
    <w:p>
      <w:pPr>
        <w:pStyle w:val="ListBullet"/>
      </w:pPr>
      <w:r>
        <w:t>Any proposed change to systems, connectivity, accounts, suppliers, tools, locations, or operational processes that may affect the Swift Secure Zone shall include a scope impact assessment before implementation.</w:t>
      </w:r>
    </w:p>
    <w:p>
      <w:pPr>
        <w:pStyle w:val="ListBullet"/>
      </w:pPr>
      <w:r>
        <w:t>New components shall not be connected to, integrated with, or used to administer the Swift Secure Zone until they have been assessed, approved, inventoried, secured, and documented.</w:t>
      </w:r>
    </w:p>
    <w:p>
      <w:pPr>
        <w:pStyle w:val="ListBullet"/>
      </w:pPr>
      <w:r>
        <w:t>Decommissioned components shall be removed from Swift Secure Zone diagrams, inventories, access lists, firewall rules, monitoring rules, backup schedules, and operational documentation after secure retirement has been confirmed.</w:t>
      </w:r>
    </w:p>
    <w:p>
      <w:pPr>
        <w:pStyle w:val="ListBullet"/>
      </w:pPr>
      <w:r>
        <w:t>The organisation shall maintain evidence supporting the Swift Secure Zone scope, including inventories, diagrams, access lists, firewall rule reviews, supplier records, change records, risk assessments, monitoring records, and management approvals.</w:t>
      </w:r>
    </w:p>
    <w:p>
      <w:pPr>
        <w:pStyle w:val="ListBullet"/>
      </w:pPr>
      <w:r>
        <w:t>The Swift Secure Zone scope shall be validated at least annually and following significant changes to architecture, connectivity, SWIFT services, operating model, outsourcing arrangements, data centre locations, identity services, or security tooling.</w:t>
      </w:r>
    </w:p>
    <w:p>
      <w:pPr>
        <w:pStyle w:val="ListBullet"/>
      </w:pPr>
      <w:r>
        <w:t>The organisation shall resolve identified scope inaccuracies, undocumented dependencies, unauthorised connections, orphaned accounts, unsupported systems, or missing ownership records within agreed remediation timelines.</w:t>
      </w:r>
    </w:p>
    <w:p>
      <w:pPr>
        <w:pStyle w:val="ListBullet"/>
      </w:pPr>
      <w:r>
        <w:t>The Swift Secure Zone shall be considered a high-security environment, and any ambiguity regarding inclusion shall be resolved using a risk-based approach that favours inclusion until exclusion is formally approved.</w:t>
      </w:r>
    </w:p>
    <w:p>
      <w:pPr>
        <w:pStyle w:val="ListBullet"/>
      </w:pPr>
      <w:r>
        <w:t>This Policy shall be communicated to all personnel responsible for designing, operating, securing, auditing, or supporting SWIFT services.</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Board or Executive Management</w:t>
            </w:r>
          </w:p>
        </w:tc>
        <w:tc>
          <w:tcPr>
            <w:tcW w:type="dxa" w:w="4320"/>
          </w:tcPr>
          <w:p>
            <w:r>
              <w:t>Provide oversight for the security of SWIFT operations and ensure adequate resources are available to maintain the Swift Secure Zone.</w:t>
            </w:r>
          </w:p>
        </w:tc>
      </w:tr>
      <w:tr>
        <w:tc>
          <w:tcPr>
            <w:tcW w:type="dxa" w:w="4320"/>
          </w:tcPr>
          <w:p>
            <w:r>
              <w:t>Chief Information Security Officer or equivalent</w:t>
            </w:r>
          </w:p>
        </w:tc>
        <w:tc>
          <w:tcPr>
            <w:tcW w:type="dxa" w:w="4320"/>
          </w:tcPr>
          <w:p>
            <w:r>
              <w:t>Own the security requirements for the Swift Secure Zone, approve scope criteria, oversee compliance, and report material risks to management.</w:t>
            </w:r>
          </w:p>
        </w:tc>
      </w:tr>
      <w:tr>
        <w:tc>
          <w:tcPr>
            <w:tcW w:type="dxa" w:w="4320"/>
          </w:tcPr>
          <w:p>
            <w:r>
              <w:t>Swift Business Owner</w:t>
            </w:r>
          </w:p>
        </w:tc>
        <w:tc>
          <w:tcPr>
            <w:tcW w:type="dxa" w:w="4320"/>
          </w:tcPr>
          <w:p>
            <w:r>
              <w:t>Confirm the business services, processes, operators, approval roles, and third-party arrangements that must be included in scope.</w:t>
            </w:r>
          </w:p>
        </w:tc>
      </w:tr>
      <w:tr>
        <w:tc>
          <w:tcPr>
            <w:tcW w:type="dxa" w:w="4320"/>
          </w:tcPr>
          <w:p>
            <w:r>
              <w:t>Swift Technical Owner</w:t>
            </w:r>
          </w:p>
        </w:tc>
        <w:tc>
          <w:tcPr>
            <w:tcW w:type="dxa" w:w="4320"/>
          </w:tcPr>
          <w:p>
            <w:r>
              <w:t>Maintain technical ownership of SWIFT platforms, infrastructure dependencies, connectivity, operational documentation, and scope accuracy.</w:t>
            </w:r>
          </w:p>
        </w:tc>
      </w:tr>
      <w:tr>
        <w:tc>
          <w:tcPr>
            <w:tcW w:type="dxa" w:w="4320"/>
          </w:tcPr>
          <w:p>
            <w:r>
              <w:t>Information Security Team</w:t>
            </w:r>
          </w:p>
        </w:tc>
        <w:tc>
          <w:tcPr>
            <w:tcW w:type="dxa" w:w="4320"/>
          </w:tcPr>
          <w:p>
            <w:r>
              <w:t>Define security controls, review scope assessments, monitor compliance, validate security boundaries, and support audits and assurance activities.</w:t>
            </w:r>
          </w:p>
        </w:tc>
      </w:tr>
      <w:tr>
        <w:tc>
          <w:tcPr>
            <w:tcW w:type="dxa" w:w="4320"/>
          </w:tcPr>
          <w:p>
            <w:r>
              <w:t>Network Team</w:t>
            </w:r>
          </w:p>
        </w:tc>
        <w:tc>
          <w:tcPr>
            <w:tcW w:type="dxa" w:w="4320"/>
          </w:tcPr>
          <w:p>
            <w:r>
              <w:t>Maintain approved network segmentation, firewall rules, routing controls, connectivity diagrams, and network access reviews for the Swift Secure Zone.</w:t>
            </w:r>
          </w:p>
        </w:tc>
      </w:tr>
      <w:tr>
        <w:tc>
          <w:tcPr>
            <w:tcW w:type="dxa" w:w="4320"/>
          </w:tcPr>
          <w:p>
            <w:r>
              <w:t>Infrastructure Team</w:t>
            </w:r>
          </w:p>
        </w:tc>
        <w:tc>
          <w:tcPr>
            <w:tcW w:type="dxa" w:w="4320"/>
          </w:tcPr>
          <w:p>
            <w:r>
              <w:t>Maintain servers, operating systems, virtualisation, storage, backup, recovery, and supporting infrastructure within scope.</w:t>
            </w:r>
          </w:p>
        </w:tc>
      </w:tr>
      <w:tr>
        <w:tc>
          <w:tcPr>
            <w:tcW w:type="dxa" w:w="4320"/>
          </w:tcPr>
          <w:p>
            <w:r>
              <w:t>Identity and Access Management Team</w:t>
            </w:r>
          </w:p>
        </w:tc>
        <w:tc>
          <w:tcPr>
            <w:tcW w:type="dxa" w:w="4320"/>
          </w:tcPr>
          <w:p>
            <w:r>
              <w:t>Maintain authorised access records, privileged access controls, account lifecycle processes, access reviews, and authentication controls for in-scope users and accounts.</w:t>
            </w:r>
          </w:p>
        </w:tc>
      </w:tr>
      <w:tr>
        <w:tc>
          <w:tcPr>
            <w:tcW w:type="dxa" w:w="4320"/>
          </w:tcPr>
          <w:p>
            <w:r>
              <w:t>SWIFT Operators and Approvers</w:t>
            </w:r>
          </w:p>
        </w:tc>
        <w:tc>
          <w:tcPr>
            <w:tcW w:type="dxa" w:w="4320"/>
          </w:tcPr>
          <w:p>
            <w:r>
              <w:t>Use only approved systems and access methods, follow assigned duties, protect credentials, and report suspected unauthorised access or processing anomalies.</w:t>
            </w:r>
          </w:p>
        </w:tc>
      </w:tr>
      <w:tr>
        <w:tc>
          <w:tcPr>
            <w:tcW w:type="dxa" w:w="4320"/>
          </w:tcPr>
          <w:p>
            <w:r>
              <w:t>Security Operations Team</w:t>
            </w:r>
          </w:p>
        </w:tc>
        <w:tc>
          <w:tcPr>
            <w:tcW w:type="dxa" w:w="4320"/>
          </w:tcPr>
          <w:p>
            <w:r>
              <w:t>Monitor Swift Secure Zone security events, investigate alerts, preserve logs, and escalate incidents according to the incident response process.</w:t>
            </w:r>
          </w:p>
        </w:tc>
      </w:tr>
      <w:tr>
        <w:tc>
          <w:tcPr>
            <w:tcW w:type="dxa" w:w="4320"/>
          </w:tcPr>
          <w:p>
            <w:r>
              <w:t>Change Management Team</w:t>
            </w:r>
          </w:p>
        </w:tc>
        <w:tc>
          <w:tcPr>
            <w:tcW w:type="dxa" w:w="4320"/>
          </w:tcPr>
          <w:p>
            <w:r>
              <w:t>Ensure all changes affecting the Swift Secure Zone include scope impact assessment, approval, testing, and implementation evidence.</w:t>
            </w:r>
          </w:p>
        </w:tc>
      </w:tr>
      <w:tr>
        <w:tc>
          <w:tcPr>
            <w:tcW w:type="dxa" w:w="4320"/>
          </w:tcPr>
          <w:p>
            <w:r>
              <w:t>Third-Party Management or Procurement</w:t>
            </w:r>
          </w:p>
        </w:tc>
        <w:tc>
          <w:tcPr>
            <w:tcW w:type="dxa" w:w="4320"/>
          </w:tcPr>
          <w:p>
            <w:r>
              <w:t>Ensure suppliers supporting the Swift Secure Zone are assessed, contractually bound to security obligations, and periodically reviewed.</w:t>
            </w:r>
          </w:p>
        </w:tc>
      </w:tr>
      <w:tr>
        <w:tc>
          <w:tcPr>
            <w:tcW w:type="dxa" w:w="4320"/>
          </w:tcPr>
          <w:p>
            <w:r>
              <w:t>Internal Audit or Independent Assurance Function</w:t>
            </w:r>
          </w:p>
        </w:tc>
        <w:tc>
          <w:tcPr>
            <w:tcW w:type="dxa" w:w="4320"/>
          </w:tcPr>
          <w:p>
            <w:r>
              <w:t>Provide independent review of scope completeness, control operation, evidence quality, and compliance with this Policy.</w:t>
            </w:r>
          </w:p>
        </w:tc>
      </w:tr>
      <w:tr>
        <w:tc>
          <w:tcPr>
            <w:tcW w:type="dxa" w:w="4320"/>
          </w:tcPr>
          <w:p>
            <w:r>
              <w:t>Asset Owners</w:t>
            </w:r>
          </w:p>
        </w:tc>
        <w:tc>
          <w:tcPr>
            <w:tcW w:type="dxa" w:w="4320"/>
          </w:tcPr>
          <w:p>
            <w:r>
              <w:t>Ensure assets under their responsibility are accurately recorded, classified, reviewed, and protected according to this Policy.</w:t>
            </w:r>
          </w:p>
        </w:tc>
      </w:tr>
      <w:tr>
        <w:tc>
          <w:tcPr>
            <w:tcW w:type="dxa" w:w="4320"/>
          </w:tcPr>
          <w:p>
            <w:r>
              <w:t>All Personnel with Swift Secure Zone Access</w:t>
            </w:r>
          </w:p>
        </w:tc>
        <w:tc>
          <w:tcPr>
            <w:tcW w:type="dxa" w:w="4320"/>
          </w:tcPr>
          <w:p>
            <w:r>
              <w:t>Comply with access restrictions, operational procedures, acceptable use requirements, reporting obligations, and security training requirements.</w:t>
            </w:r>
          </w:p>
        </w:tc>
      </w:tr>
    </w:tbl>
    <w:p>
      <w:pPr>
        <w:pStyle w:val="Heading2"/>
      </w:pPr>
      <w:r>
        <w:t>Compliance, Monitoring &amp; Enforcement</w:t>
      </w:r>
    </w:p>
    <w:p>
      <w:r>
        <w:t>Compliance with this Policy is mandatory for all in-scope personnel, systems, services, and third parties.</w:t>
      </w:r>
    </w:p>
    <w:p>
      <w:r>
        <w:t>The organisation shall monitor compliance through the following activities: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Monitoring Activity</w:t>
            </w:r>
          </w:p>
        </w:tc>
        <w:tc>
          <w:tcPr>
            <w:tcW w:type="dxa" w:w="2160"/>
          </w:tcPr>
          <w:p>
            <w:r>
              <w:t>Minimum Frequency</w:t>
            </w:r>
          </w:p>
        </w:tc>
        <w:tc>
          <w:tcPr>
            <w:tcW w:type="dxa" w:w="2160"/>
          </w:tcPr>
          <w:p>
            <w:r>
              <w:t>Responsible Role</w:t>
            </w:r>
          </w:p>
        </w:tc>
        <w:tc>
          <w:tcPr>
            <w:tcW w:type="dxa" w:w="2160"/>
          </w:tcPr>
          <w:p>
            <w:r>
              <w:t>Expected Evidence</w:t>
            </w:r>
          </w:p>
        </w:tc>
      </w:tr>
      <w:tr>
        <w:tc>
          <w:tcPr>
            <w:tcW w:type="dxa" w:w="2160"/>
          </w:tcPr>
          <w:p>
            <w:r>
              <w:t>Swift Secure Zone inventory review</w:t>
            </w:r>
          </w:p>
        </w:tc>
        <w:tc>
          <w:tcPr>
            <w:tcW w:type="dxa" w:w="2160"/>
          </w:tcPr>
          <w:p>
            <w:r>
              <w:t>Quarterly</w:t>
            </w:r>
          </w:p>
        </w:tc>
        <w:tc>
          <w:tcPr>
            <w:tcW w:type="dxa" w:w="2160"/>
          </w:tcPr>
          <w:p>
            <w:r>
              <w:t>Swift Technical Owner</w:t>
            </w:r>
          </w:p>
        </w:tc>
        <w:tc>
          <w:tcPr>
            <w:tcW w:type="dxa" w:w="2160"/>
          </w:tcPr>
          <w:p>
            <w:r>
              <w:t>Updated inventory, review sign-off, remediation actions</w:t>
            </w:r>
          </w:p>
        </w:tc>
      </w:tr>
      <w:tr>
        <w:tc>
          <w:tcPr>
            <w:tcW w:type="dxa" w:w="2160"/>
          </w:tcPr>
          <w:p>
            <w:r>
              <w:t>Network connectivity and firewall rule review</w:t>
            </w:r>
          </w:p>
        </w:tc>
        <w:tc>
          <w:tcPr>
            <w:tcW w:type="dxa" w:w="2160"/>
          </w:tcPr>
          <w:p>
            <w:r>
              <w:t>Quarterly</w:t>
            </w:r>
          </w:p>
        </w:tc>
        <w:tc>
          <w:tcPr>
            <w:tcW w:type="dxa" w:w="2160"/>
          </w:tcPr>
          <w:p>
            <w:r>
              <w:t>Network Team</w:t>
            </w:r>
          </w:p>
        </w:tc>
        <w:tc>
          <w:tcPr>
            <w:tcW w:type="dxa" w:w="2160"/>
          </w:tcPr>
          <w:p>
            <w:r>
              <w:t>Firewall rule export, approval records, exception list, remediation evidence</w:t>
            </w:r>
          </w:p>
        </w:tc>
      </w:tr>
      <w:tr>
        <w:tc>
          <w:tcPr>
            <w:tcW w:type="dxa" w:w="2160"/>
          </w:tcPr>
          <w:p>
            <w:r>
              <w:t>User and privileged access review</w:t>
            </w:r>
          </w:p>
        </w:tc>
        <w:tc>
          <w:tcPr>
            <w:tcW w:type="dxa" w:w="2160"/>
          </w:tcPr>
          <w:p>
            <w:r>
              <w:t>Quarterly</w:t>
            </w:r>
          </w:p>
        </w:tc>
        <w:tc>
          <w:tcPr>
            <w:tcW w:type="dxa" w:w="2160"/>
          </w:tcPr>
          <w:p>
            <w:r>
              <w:t>Identity and Access Management Team</w:t>
            </w:r>
          </w:p>
        </w:tc>
        <w:tc>
          <w:tcPr>
            <w:tcW w:type="dxa" w:w="2160"/>
          </w:tcPr>
          <w:p>
            <w:r>
              <w:t>Access review results, approvals, removals, role changes</w:t>
            </w:r>
          </w:p>
        </w:tc>
      </w:tr>
      <w:tr>
        <w:tc>
          <w:tcPr>
            <w:tcW w:type="dxa" w:w="2160"/>
          </w:tcPr>
          <w:p>
            <w:r>
              <w:t>Third-party access review</w:t>
            </w:r>
          </w:p>
        </w:tc>
        <w:tc>
          <w:tcPr>
            <w:tcW w:type="dxa" w:w="2160"/>
          </w:tcPr>
          <w:p>
            <w:r>
              <w:t>Quarterly</w:t>
            </w:r>
          </w:p>
        </w:tc>
        <w:tc>
          <w:tcPr>
            <w:tcW w:type="dxa" w:w="2160"/>
          </w:tcPr>
          <w:p>
            <w:r>
              <w:t>Third-Party Management and Information Security</w:t>
            </w:r>
          </w:p>
        </w:tc>
        <w:tc>
          <w:tcPr>
            <w:tcW w:type="dxa" w:w="2160"/>
          </w:tcPr>
          <w:p>
            <w:r>
              <w:t>Supplier access list, business justification, approval status</w:t>
            </w:r>
          </w:p>
        </w:tc>
      </w:tr>
      <w:tr>
        <w:tc>
          <w:tcPr>
            <w:tcW w:type="dxa" w:w="2160"/>
          </w:tcPr>
          <w:p>
            <w:r>
              <w:t>Architecture and data flow diagram validation</w:t>
            </w:r>
          </w:p>
        </w:tc>
        <w:tc>
          <w:tcPr>
            <w:tcW w:type="dxa" w:w="2160"/>
          </w:tcPr>
          <w:p>
            <w:r>
              <w:t>Semi-annually</w:t>
            </w:r>
          </w:p>
        </w:tc>
        <w:tc>
          <w:tcPr>
            <w:tcW w:type="dxa" w:w="2160"/>
          </w:tcPr>
          <w:p>
            <w:r>
              <w:t>Swift Technical Owner and Information Security</w:t>
            </w:r>
          </w:p>
        </w:tc>
        <w:tc>
          <w:tcPr>
            <w:tcW w:type="dxa" w:w="2160"/>
          </w:tcPr>
          <w:p>
            <w:r>
              <w:t>Current diagrams, validation record, change references</w:t>
            </w:r>
          </w:p>
        </w:tc>
      </w:tr>
      <w:tr>
        <w:tc>
          <w:tcPr>
            <w:tcW w:type="dxa" w:w="2160"/>
          </w:tcPr>
          <w:p>
            <w:r>
              <w:t>Service account review</w:t>
            </w:r>
          </w:p>
        </w:tc>
        <w:tc>
          <w:tcPr>
            <w:tcW w:type="dxa" w:w="2160"/>
          </w:tcPr>
          <w:p>
            <w:r>
              <w:t>Semi-annually</w:t>
            </w:r>
          </w:p>
        </w:tc>
        <w:tc>
          <w:tcPr>
            <w:tcW w:type="dxa" w:w="2160"/>
          </w:tcPr>
          <w:p>
            <w:r>
              <w:t>Application and Infrastructure Owners</w:t>
            </w:r>
          </w:p>
        </w:tc>
        <w:tc>
          <w:tcPr>
            <w:tcW w:type="dxa" w:w="2160"/>
          </w:tcPr>
          <w:p>
            <w:r>
              <w:t>Service account inventory, ownership confirmation, permissions review</w:t>
            </w:r>
          </w:p>
        </w:tc>
      </w:tr>
      <w:tr>
        <w:tc>
          <w:tcPr>
            <w:tcW w:type="dxa" w:w="2160"/>
          </w:tcPr>
          <w:p>
            <w:r>
              <w:t>Backup and disaster recovery scope review</w:t>
            </w:r>
          </w:p>
        </w:tc>
        <w:tc>
          <w:tcPr>
            <w:tcW w:type="dxa" w:w="2160"/>
          </w:tcPr>
          <w:p>
            <w:r>
              <w:t>Semi-annually</w:t>
            </w:r>
          </w:p>
        </w:tc>
        <w:tc>
          <w:tcPr>
            <w:tcW w:type="dxa" w:w="2160"/>
          </w:tcPr>
          <w:p>
            <w:r>
              <w:t>Infrastructure Team</w:t>
            </w:r>
          </w:p>
        </w:tc>
        <w:tc>
          <w:tcPr>
            <w:tcW w:type="dxa" w:w="2160"/>
          </w:tcPr>
          <w:p>
            <w:r>
              <w:t>Backup coverage records, recovery dependency review</w:t>
            </w:r>
          </w:p>
        </w:tc>
      </w:tr>
      <w:tr>
        <w:tc>
          <w:tcPr>
            <w:tcW w:type="dxa" w:w="2160"/>
          </w:tcPr>
          <w:p>
            <w:r>
              <w:t>Scope validation against change records</w:t>
            </w:r>
          </w:p>
        </w:tc>
        <w:tc>
          <w:tcPr>
            <w:tcW w:type="dxa" w:w="2160"/>
          </w:tcPr>
          <w:p>
            <w:r>
              <w:t>Quarterly</w:t>
            </w:r>
          </w:p>
        </w:tc>
        <w:tc>
          <w:tcPr>
            <w:tcW w:type="dxa" w:w="2160"/>
          </w:tcPr>
          <w:p>
            <w:r>
              <w:t>Change Management Team</w:t>
            </w:r>
          </w:p>
        </w:tc>
        <w:tc>
          <w:tcPr>
            <w:tcW w:type="dxa" w:w="2160"/>
          </w:tcPr>
          <w:p>
            <w:r>
              <w:t>Change samples, scope impact assessments, approvals</w:t>
            </w:r>
          </w:p>
        </w:tc>
      </w:tr>
      <w:tr>
        <w:tc>
          <w:tcPr>
            <w:tcW w:type="dxa" w:w="2160"/>
          </w:tcPr>
          <w:p>
            <w:r>
              <w:t>Independent scope assurance review</w:t>
            </w:r>
          </w:p>
        </w:tc>
        <w:tc>
          <w:tcPr>
            <w:tcW w:type="dxa" w:w="2160"/>
          </w:tcPr>
          <w:p>
            <w:r>
              <w:t>Annually</w:t>
            </w:r>
          </w:p>
        </w:tc>
        <w:tc>
          <w:tcPr>
            <w:tcW w:type="dxa" w:w="2160"/>
          </w:tcPr>
          <w:p>
            <w:r>
              <w:t>Internal Audit or Independent Assurance Function</w:t>
            </w:r>
          </w:p>
        </w:tc>
        <w:tc>
          <w:tcPr>
            <w:tcW w:type="dxa" w:w="2160"/>
          </w:tcPr>
          <w:p>
            <w:r>
              <w:t>Assurance report, management response, action plan</w:t>
            </w:r>
          </w:p>
        </w:tc>
      </w:tr>
      <w:tr>
        <w:tc>
          <w:tcPr>
            <w:tcW w:type="dxa" w:w="2160"/>
          </w:tcPr>
          <w:p>
            <w:r>
              <w:t>Policy compliance attestation</w:t>
            </w:r>
          </w:p>
        </w:tc>
        <w:tc>
          <w:tcPr>
            <w:tcW w:type="dxa" w:w="2160"/>
          </w:tcPr>
          <w:p>
            <w:r>
              <w:t>Annually</w:t>
            </w:r>
          </w:p>
        </w:tc>
        <w:tc>
          <w:tcPr>
            <w:tcW w:type="dxa" w:w="2160"/>
          </w:tcPr>
          <w:p>
            <w:r>
              <w:t>Control Owners</w:t>
            </w:r>
          </w:p>
        </w:tc>
        <w:tc>
          <w:tcPr>
            <w:tcW w:type="dxa" w:w="2160"/>
          </w:tcPr>
          <w:p>
            <w:r>
              <w:t>Signed attestation, supporting evidence</w:t>
            </w:r>
          </w:p>
        </w:tc>
      </w:tr>
    </w:tbl>
    <w:p>
      <w:r>
        <w:t>Non-compliance shall be recorded, risk assessed, assigned an owner, and remediated within agreed timelines based on severity.</w:t>
      </w:r>
    </w:p>
    <w:tbl>
      <w:tblPr>
        <w:tblStyle w:val="TableGrid"/>
        <w:tblW w:type="auto" w:w="0"/>
        <w:tblLook w:firstColumn="1" w:firstRow="1" w:lastColumn="0" w:lastRow="0" w:noHBand="0" w:noVBand="1" w:val="04A0"/>
      </w:tblPr>
      <w:tblGrid>
        <w:gridCol w:w="2880"/>
        <w:gridCol w:w="2880"/>
        <w:gridCol w:w="2880"/>
      </w:tblGrid>
      <w:tr>
        <w:tc>
          <w:tcPr>
            <w:tcW w:type="dxa" w:w="2880"/>
          </w:tcPr>
          <w:p>
            <w:r>
              <w:t>Severity</w:t>
            </w:r>
          </w:p>
        </w:tc>
        <w:tc>
          <w:tcPr>
            <w:tcW w:type="dxa" w:w="2880"/>
          </w:tcPr>
          <w:p>
            <w:r>
              <w:t>Example Conditions</w:t>
            </w:r>
          </w:p>
        </w:tc>
        <w:tc>
          <w:tcPr>
            <w:tcW w:type="dxa" w:w="2880"/>
          </w:tcPr>
          <w:p>
            <w:r>
              <w:t>Target Remediation</w:t>
            </w:r>
          </w:p>
        </w:tc>
      </w:tr>
      <w:tr>
        <w:tc>
          <w:tcPr>
            <w:tcW w:type="dxa" w:w="2880"/>
          </w:tcPr>
          <w:p>
            <w:r>
              <w:t>Critical</w:t>
            </w:r>
          </w:p>
        </w:tc>
        <w:tc>
          <w:tcPr>
            <w:tcW w:type="dxa" w:w="2880"/>
          </w:tcPr>
          <w:p>
            <w:r>
              <w:t>Unauthorised external access path, unknown privileged account, unsupported system directly connected to SWIFT production, unapproved supplier access</w:t>
            </w:r>
          </w:p>
        </w:tc>
        <w:tc>
          <w:tcPr>
            <w:tcW w:type="dxa" w:w="2880"/>
          </w:tcPr>
          <w:p>
            <w:r>
              <w:t>Immediate containment and remediation plan within [24 hours]</w:t>
            </w:r>
          </w:p>
        </w:tc>
      </w:tr>
      <w:tr>
        <w:tc>
          <w:tcPr>
            <w:tcW w:type="dxa" w:w="2880"/>
          </w:tcPr>
          <w:p>
            <w:r>
              <w:t>High</w:t>
            </w:r>
          </w:p>
        </w:tc>
        <w:tc>
          <w:tcPr>
            <w:tcW w:type="dxa" w:w="2880"/>
          </w:tcPr>
          <w:p>
            <w:r>
              <w:t>Missing scope record for an in-use component, excessive privileged access, undocumented administrative path, incomplete monitoring coverage</w:t>
            </w:r>
          </w:p>
        </w:tc>
        <w:tc>
          <w:tcPr>
            <w:tcW w:type="dxa" w:w="2880"/>
          </w:tcPr>
          <w:p>
            <w:r>
              <w:t>Remediation plan within [5 business days]</w:t>
            </w:r>
          </w:p>
        </w:tc>
      </w:tr>
      <w:tr>
        <w:tc>
          <w:tcPr>
            <w:tcW w:type="dxa" w:w="2880"/>
          </w:tcPr>
          <w:p>
            <w:r>
              <w:t>Medium</w:t>
            </w:r>
          </w:p>
        </w:tc>
        <w:tc>
          <w:tcPr>
            <w:tcW w:type="dxa" w:w="2880"/>
          </w:tcPr>
          <w:p>
            <w:r>
              <w:t>Outdated diagram, incomplete owner information, delayed access review evidence, minor inventory discrepancy</w:t>
            </w:r>
          </w:p>
        </w:tc>
        <w:tc>
          <w:tcPr>
            <w:tcW w:type="dxa" w:w="2880"/>
          </w:tcPr>
          <w:p>
            <w:r>
              <w:t>Remediation within [30 calendar days]</w:t>
            </w:r>
          </w:p>
        </w:tc>
      </w:tr>
      <w:tr>
        <w:tc>
          <w:tcPr>
            <w:tcW w:type="dxa" w:w="2880"/>
          </w:tcPr>
          <w:p>
            <w:r>
              <w:t>Low</w:t>
            </w:r>
          </w:p>
        </w:tc>
        <w:tc>
          <w:tcPr>
            <w:tcW w:type="dxa" w:w="2880"/>
          </w:tcPr>
          <w:p>
            <w:r>
              <w:t>Formatting issue, non-material documentation inconsistency, minor evidence naming issue</w:t>
            </w:r>
          </w:p>
        </w:tc>
        <w:tc>
          <w:tcPr>
            <w:tcW w:type="dxa" w:w="2880"/>
          </w:tcPr>
          <w:p>
            <w:r>
              <w:t>Remediation within [60 calendar days]</w:t>
            </w:r>
          </w:p>
        </w:tc>
      </w:tr>
    </w:tbl>
    <w:p>
      <w:r>
        <w:t>Enforcement actions may include access suspension, removal of unauthorised connections, rejection of changes, supplier escalation, management notification, disciplinary action, contractual remedies, or formal risk acceptance where appropriate.</w:t>
      </w:r>
    </w:p>
    <w:p>
      <w:r>
        <w:t>Any suspected unauthorised access, unauthorised connectivity, unexpected data flow, unsupported component, or unapproved operator activity affecting the Swift Secure Zone shall be reported immediately to the Information Security Team and handled through the security incident response process.</w:t>
      </w:r>
    </w:p>
    <w:p>
      <w:pPr>
        <w:pStyle w:val="Heading2"/>
      </w:pPr>
      <w:r>
        <w:t>Exceptions</w:t>
      </w:r>
    </w:p>
    <w:p>
      <w:r>
        <w:t>Exceptions to this Policy shall be permitted only where there is a documented business need, no practical compliant alternative, and an approved risk treatment plan.</w:t>
      </w:r>
    </w:p>
    <w:p>
      <w:r>
        <w:t>Exception requests shall include:</w:t>
      </w:r>
    </w:p>
    <w:tbl>
      <w:tblPr>
        <w:tblStyle w:val="TableGrid"/>
        <w:tblW w:type="auto" w:w="0"/>
        <w:tblLook w:firstColumn="1" w:firstRow="1" w:lastColumn="0" w:lastRow="0" w:noHBand="0" w:noVBand="1" w:val="04A0"/>
      </w:tblPr>
      <w:tblGrid>
        <w:gridCol w:w="4320"/>
        <w:gridCol w:w="4320"/>
      </w:tblGrid>
      <w:tr>
        <w:tc>
          <w:tcPr>
            <w:tcW w:type="dxa" w:w="4320"/>
          </w:tcPr>
          <w:p>
            <w:r>
              <w:t>Required Information</w:t>
            </w:r>
          </w:p>
        </w:tc>
        <w:tc>
          <w:tcPr>
            <w:tcW w:type="dxa" w:w="4320"/>
          </w:tcPr>
          <w:p>
            <w:r>
              <w:t>Description</w:t>
            </w:r>
          </w:p>
        </w:tc>
      </w:tr>
      <w:tr>
        <w:tc>
          <w:tcPr>
            <w:tcW w:type="dxa" w:w="4320"/>
          </w:tcPr>
          <w:p>
            <w:r>
              <w:t>Exception title</w:t>
            </w:r>
          </w:p>
        </w:tc>
        <w:tc>
          <w:tcPr>
            <w:tcW w:type="dxa" w:w="4320"/>
          </w:tcPr>
          <w:p>
            <w:r>
              <w:t>Short description of the requested exception</w:t>
            </w:r>
          </w:p>
        </w:tc>
      </w:tr>
      <w:tr>
        <w:tc>
          <w:tcPr>
            <w:tcW w:type="dxa" w:w="4320"/>
          </w:tcPr>
          <w:p>
            <w:r>
              <w:t>Requestor</w:t>
            </w:r>
          </w:p>
        </w:tc>
        <w:tc>
          <w:tcPr>
            <w:tcW w:type="dxa" w:w="4320"/>
          </w:tcPr>
          <w:p>
            <w:r>
              <w:t>Name, role, department, and contact details</w:t>
            </w:r>
          </w:p>
        </w:tc>
      </w:tr>
      <w:tr>
        <w:tc>
          <w:tcPr>
            <w:tcW w:type="dxa" w:w="4320"/>
          </w:tcPr>
          <w:p>
            <w:r>
              <w:t>Affected component or process</w:t>
            </w:r>
          </w:p>
        </w:tc>
        <w:tc>
          <w:tcPr>
            <w:tcW w:type="dxa" w:w="4320"/>
          </w:tcPr>
          <w:p>
            <w:r>
              <w:t>System, account, supplier, connection, location, or activity affected</w:t>
            </w:r>
          </w:p>
        </w:tc>
      </w:tr>
      <w:tr>
        <w:tc>
          <w:tcPr>
            <w:tcW w:type="dxa" w:w="4320"/>
          </w:tcPr>
          <w:p>
            <w:r>
              <w:t>Policy requirement affected</w:t>
            </w:r>
          </w:p>
        </w:tc>
        <w:tc>
          <w:tcPr>
            <w:tcW w:type="dxa" w:w="4320"/>
          </w:tcPr>
          <w:p>
            <w:r>
              <w:t>Specific requirement from this Policy that cannot be met</w:t>
            </w:r>
          </w:p>
        </w:tc>
      </w:tr>
      <w:tr>
        <w:tc>
          <w:tcPr>
            <w:tcW w:type="dxa" w:w="4320"/>
          </w:tcPr>
          <w:p>
            <w:r>
              <w:t>Business justification</w:t>
            </w:r>
          </w:p>
        </w:tc>
        <w:tc>
          <w:tcPr>
            <w:tcW w:type="dxa" w:w="4320"/>
          </w:tcPr>
          <w:p>
            <w:r>
              <w:t>Reason the exception is necessary</w:t>
            </w:r>
          </w:p>
        </w:tc>
      </w:tr>
      <w:tr>
        <w:tc>
          <w:tcPr>
            <w:tcW w:type="dxa" w:w="4320"/>
          </w:tcPr>
          <w:p>
            <w:r>
              <w:t>Risk assessment</w:t>
            </w:r>
          </w:p>
        </w:tc>
        <w:tc>
          <w:tcPr>
            <w:tcW w:type="dxa" w:w="4320"/>
          </w:tcPr>
          <w:p>
            <w:r>
              <w:t>Security, operational, compliance, and business impact analysis</w:t>
            </w:r>
          </w:p>
        </w:tc>
      </w:tr>
      <w:tr>
        <w:tc>
          <w:tcPr>
            <w:tcW w:type="dxa" w:w="4320"/>
          </w:tcPr>
          <w:p>
            <w:r>
              <w:t>Compensating controls</w:t>
            </w:r>
          </w:p>
        </w:tc>
        <w:tc>
          <w:tcPr>
            <w:tcW w:type="dxa" w:w="4320"/>
          </w:tcPr>
          <w:p>
            <w:r>
              <w:t>Additional controls used to reduce risk</w:t>
            </w:r>
          </w:p>
        </w:tc>
      </w:tr>
      <w:tr>
        <w:tc>
          <w:tcPr>
            <w:tcW w:type="dxa" w:w="4320"/>
          </w:tcPr>
          <w:p>
            <w:r>
              <w:t>Duration</w:t>
            </w:r>
          </w:p>
        </w:tc>
        <w:tc>
          <w:tcPr>
            <w:tcW w:type="dxa" w:w="4320"/>
          </w:tcPr>
          <w:p>
            <w:r>
              <w:t>Requested start and end date</w:t>
            </w:r>
          </w:p>
        </w:tc>
      </w:tr>
      <w:tr>
        <w:tc>
          <w:tcPr>
            <w:tcW w:type="dxa" w:w="4320"/>
          </w:tcPr>
          <w:p>
            <w:r>
              <w:t>Remediation plan</w:t>
            </w:r>
          </w:p>
        </w:tc>
        <w:tc>
          <w:tcPr>
            <w:tcW w:type="dxa" w:w="4320"/>
          </w:tcPr>
          <w:p>
            <w:r>
              <w:t>Steps to return to compliance</w:t>
            </w:r>
          </w:p>
        </w:tc>
      </w:tr>
      <w:tr>
        <w:tc>
          <w:tcPr>
            <w:tcW w:type="dxa" w:w="4320"/>
          </w:tcPr>
          <w:p>
            <w:r>
              <w:t>Owner</w:t>
            </w:r>
          </w:p>
        </w:tc>
        <w:tc>
          <w:tcPr>
            <w:tcW w:type="dxa" w:w="4320"/>
          </w:tcPr>
          <w:p>
            <w:r>
              <w:t>Person accountable for managing the exception</w:t>
            </w:r>
          </w:p>
        </w:tc>
      </w:tr>
      <w:tr>
        <w:tc>
          <w:tcPr>
            <w:tcW w:type="dxa" w:w="4320"/>
          </w:tcPr>
          <w:p>
            <w:r>
              <w:t>Approvals</w:t>
            </w:r>
          </w:p>
        </w:tc>
        <w:tc>
          <w:tcPr>
            <w:tcW w:type="dxa" w:w="4320"/>
          </w:tcPr>
          <w:p>
            <w:r>
              <w:t>Business owner, technical owner, Information Security, and risk owner approvals</w:t>
            </w:r>
          </w:p>
        </w:tc>
      </w:tr>
    </w:tbl>
    <w:p>
      <w:r>
        <w:t>Exceptions shall be time-bound and shall not exceed [90 days] unless renewed through formal review and approval.</w:t>
      </w:r>
    </w:p>
    <w:p>
      <w:r>
        <w:t>Standing exceptions for the Swift Secure Zone shall not be permitted without executive risk acceptance and documented compensating controls.</w:t>
      </w:r>
    </w:p>
    <w:p>
      <w:r>
        <w:t>Expired exceptions shall be treated as non-compliance unless renewed or remediated before expiry.</w:t>
      </w:r>
    </w:p>
    <w:p>
      <w:r>
        <w:t>The Information Security Team shall maintain an exception register for the Swift Secure Zone and review open exceptions at least monthly.</w:t>
      </w:r>
    </w:p>
    <w:p>
      <w:pPr>
        <w:pStyle w:val="Heading2"/>
      </w:pPr>
      <w:r>
        <w:t>Review &amp; Maintenance</w:t>
      </w:r>
    </w:p>
    <w:p>
      <w:r>
        <w:t>This Policy shall be reviewed at least annually and whenever significant changes occur to the SWIFT operating environment, technology architecture, network connectivity, outsourcing model, threat landscape, business processes, regulatory expectations, or security control requirements.</w:t>
      </w:r>
    </w:p>
    <w:p>
      <w:r>
        <w:t>The Policy Owner shall coordinate review with relevant stakeholders, including the Swift Business Owner, Swift Technical Owner, Information Security, Network Team, Infrastructure Team, Identity and Access Management, Security Operations, Third-Party Management, Change Management, and Internal Audit where appropriate.</w:t>
      </w:r>
    </w:p>
    <w:p>
      <w:r>
        <w:t>The review shall confirm that:</w:t>
      </w:r>
    </w:p>
    <w:p>
      <w:pPr>
        <w:pStyle w:val="ListBullet"/>
      </w:pPr>
      <w:r>
        <w:t>The Swift Secure Zone scope criteria remain accurate and complete.</w:t>
      </w:r>
    </w:p>
    <w:p>
      <w:pPr>
        <w:pStyle w:val="ListBullet"/>
      </w:pPr>
      <w:r>
        <w:t>The inventory fields remain sufficient for governance and audit needs.</w:t>
      </w:r>
    </w:p>
    <w:p>
      <w:pPr>
        <w:pStyle w:val="ListBullet"/>
      </w:pPr>
      <w:r>
        <w:t>Diagrams and supporting documentation reflect the current environment.</w:t>
      </w:r>
    </w:p>
    <w:p>
      <w:pPr>
        <w:pStyle w:val="ListBullet"/>
      </w:pPr>
      <w:r>
        <w:t>Roles and responsibilities remain assigned to current organisational functions.</w:t>
      </w:r>
    </w:p>
    <w:p>
      <w:pPr>
        <w:pStyle w:val="ListBullet"/>
      </w:pPr>
      <w:r>
        <w:t>Monitoring activities and frequencies remain appropriate.</w:t>
      </w:r>
    </w:p>
    <w:p>
      <w:pPr>
        <w:pStyle w:val="ListBullet"/>
      </w:pPr>
      <w:r>
        <w:t>Exception handling remains effective and time-bound.</w:t>
      </w:r>
    </w:p>
    <w:p>
      <w:pPr>
        <w:pStyle w:val="ListBullet"/>
      </w:pPr>
      <w:r>
        <w:t>Lessons learned from incidents, audits, assessments, and operational changes are incorporated.</w:t>
      </w:r>
    </w:p>
    <w:p>
      <w:pPr>
        <w:pStyle w:val="ListBullet"/>
      </w:pPr>
      <w:r>
        <w:t>Third-party and supplier dependencies remain accurately represented.</w:t>
      </w:r>
    </w:p>
    <w:p>
      <w:pPr>
        <w:pStyle w:val="ListBullet"/>
      </w:pPr>
      <w:r>
        <w:t>Changes to SWIFT architecture, services, connectivity, or operational processes are reflected.</w:t>
      </w:r>
    </w:p>
    <w:p>
      <w:r>
        <w:t>All updates to this Policy shall be version controlled, approved by the Policy Owner, and communicated to affected stakeholders before or upon the effective date.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Description of Change</w:t>
            </w:r>
          </w:p>
        </w:tc>
        <w:tc>
          <w:tcPr>
            <w:tcW w:type="dxa" w:w="2160"/>
          </w:tcPr>
          <w:p>
            <w:r>
              <w:t>Approved By</w:t>
            </w:r>
          </w:p>
        </w:tc>
      </w:tr>
      <w:tr>
        <w:tc>
          <w:tcPr>
            <w:tcW w:type="dxa" w:w="2160"/>
          </w:tcPr>
          <w:p>
            <w:r>
              <w:t>1.0</w:t>
            </w:r>
          </w:p>
        </w:tc>
        <w:tc>
          <w:tcPr>
            <w:tcW w:type="dxa" w:w="2160"/>
          </w:tcPr>
          <w:p>
            <w:r>
              <w:t>[YYYY-MM-DD]</w:t>
            </w:r>
          </w:p>
        </w:tc>
        <w:tc>
          <w:tcPr>
            <w:tcW w:type="dxa" w:w="2160"/>
          </w:tcPr>
          <w:p>
            <w:r>
              <w:t>Initial release</w:t>
            </w:r>
          </w:p>
        </w:tc>
        <w:tc>
          <w:tcPr>
            <w:tcW w:type="dxa" w:w="2160"/>
          </w:tcPr>
          <w:p>
            <w:r>
              <w:t>[Approver Name / Role]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