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Implementation Group (IG1/IG2/IG3) Determination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[POL-CIS-IG-001]</w:t>
            </w:r>
          </w:p>
        </w:tc>
        <w:tc>
          <w:tcPr>
            <w:tcW w:type="dxa" w:w="1440"/>
          </w:tcPr>
          <w:p>
            <w:r>
              <w:t>1.0</w:t>
            </w:r>
          </w:p>
        </w:tc>
        <w:tc>
          <w:tcPr>
            <w:tcW w:type="dxa" w:w="1440"/>
          </w:tcPr>
          <w:p>
            <w:r>
              <w:t>[Chief Information Security Officer]</w:t>
            </w:r>
          </w:p>
        </w:tc>
        <w:tc>
          <w:tcPr>
            <w:tcW w:type="dxa" w:w="1440"/>
          </w:tcPr>
          <w:p>
            <w:r>
              <w:t>[YYYY-MM-DD]</w:t>
            </w:r>
          </w:p>
        </w:tc>
        <w:tc>
          <w:tcPr>
            <w:tcW w:type="dxa" w:w="1440"/>
          </w:tcPr>
          <w:p>
            <w:r>
              <w:t>CIS Controls v8</w:t>
            </w:r>
          </w:p>
        </w:tc>
        <w:tc>
          <w:tcPr>
            <w:tcW w:type="dxa" w:w="1440"/>
          </w:tcPr>
          <w:p>
            <w:r>
              <w:t>Internal</w:t>
            </w:r>
          </w:p>
        </w:tc>
      </w:tr>
    </w:tbl>
    <w:p>
      <w:pPr>
        <w:pStyle w:val="Heading2"/>
      </w:pPr>
      <w:r>
        <w:t>Purpose</w:t>
      </w:r>
    </w:p>
    <w:p>
      <w:r>
        <w:t>This Policy establishes the mandatory requirements for determining, approving, documenting, and maintaining the organisation’s CIS Controls v8 Implementation Group designation: IG1, IG2, or IG3.</w:t>
      </w:r>
    </w:p>
    <w:p>
      <w:r>
        <w:t>The Implementation Group designation shall be used to define the minimum required cybersecurity safeguard baseline for the organisation based on:</w:t>
      </w:r>
    </w:p>
    <w:p>
      <w:pPr>
        <w:pStyle w:val="ListBullet"/>
      </w:pPr>
      <w:r>
        <w:t>The sensitivity, criticality, and regulatory exposure of the data the organisation processes, stores, or transmits.</w:t>
      </w:r>
    </w:p>
    <w:p>
      <w:pPr>
        <w:pStyle w:val="ListBullet"/>
      </w:pPr>
      <w:r>
        <w:t>The scale and complexity of the technology environment.</w:t>
      </w:r>
    </w:p>
    <w:p>
      <w:pPr>
        <w:pStyle w:val="ListBullet"/>
      </w:pPr>
      <w:r>
        <w:t>The organisation’s threat exposure and operational risk profile.</w:t>
      </w:r>
    </w:p>
    <w:p>
      <w:pPr>
        <w:pStyle w:val="ListBullet"/>
      </w:pPr>
      <w:r>
        <w:t>The resources, capabilities, and maturity available to implement and sustain safeguards.</w:t>
      </w:r>
    </w:p>
    <w:p>
      <w:r>
        <w:t>This Policy ensures that the organisation applies a cybersecurity baseline that is proportionate to risk, defensible to auditors and stakeholders, and practical to implement.</w:t>
      </w:r>
    </w:p>
    <w:p>
      <w:pPr>
        <w:pStyle w:val="Heading2"/>
      </w:pPr>
      <w:r>
        <w:t>Scope</w:t>
      </w:r>
    </w:p>
    <w:p>
      <w:r>
        <w:t>This Policy applies to:</w:t>
      </w:r>
    </w:p>
    <w:p>
      <w:pPr>
        <w:pStyle w:val="ListBullet"/>
      </w:pPr>
      <w:r>
        <w:t>All business units, subsidiaries, departments, and functions within the organisation.</w:t>
      </w:r>
    </w:p>
    <w:p>
      <w:pPr>
        <w:pStyle w:val="ListBullet"/>
      </w:pPr>
      <w:r>
        <w:t>All information systems, cloud services, networks, applications, endpoints, operational technology, and third-party hosted environments used to process, store, or transmit organisational data.</w:t>
      </w:r>
    </w:p>
    <w:p>
      <w:pPr>
        <w:pStyle w:val="ListBullet"/>
      </w:pPr>
      <w:r>
        <w:t>All data types owned, managed, processed, or protected by the organisation, including public, internal, confidential, regulated, sensitive, and mission-critical data.</w:t>
      </w:r>
    </w:p>
    <w:p>
      <w:pPr>
        <w:pStyle w:val="ListBullet"/>
      </w:pPr>
      <w:r>
        <w:t>All personnel, contractors, service providers, and third parties responsible for governance, risk management, information security, technology management, compliance, data ownership, or control implementation.</w:t>
      </w:r>
    </w:p>
    <w:p>
      <w:pPr>
        <w:pStyle w:val="ListBullet"/>
      </w:pPr>
      <w:r>
        <w:t>Initial Implementation Group determination, periodic reassessment, reassessment following material change, and approval of any Implementation Group exceptions.</w:t>
      </w:r>
    </w:p>
    <w:p>
      <w:r>
        <w:t>This Policy does not prescribe detailed technical implementation procedures for each safeguard. Those requirements shall be addressed in supporting standards, procedures, implementation plans, risk treatment plans, and control evidence records.</w:t>
      </w:r>
    </w:p>
    <w:p>
      <w:pPr>
        <w:pStyle w:val="Heading2"/>
      </w:pPr>
      <w:r>
        <w:t>Policy Statements</w:t>
      </w:r>
    </w:p>
    <w:p>
      <w:pPr>
        <w:pStyle w:val="ListBullet"/>
      </w:pPr>
      <w:r>
        <w:t>The organisation shall maintain a formally approved CIS Controls v8 Implementation Group designation as the minimum cybersecurity safeguard baseline for the in-scope environment.</w:t>
      </w:r>
    </w:p>
    <w:p>
      <w:pPr>
        <w:pStyle w:val="ListBullet"/>
      </w:pPr>
      <w:r>
        <w:t>The organisation shall determine its Implementation Group using a documented assessment of data sensitivity, business criticality, threat exposure, technology complexity, compliance obligations, and available implementation resources.</w:t>
      </w:r>
    </w:p>
    <w:p>
      <w:pPr>
        <w:pStyle w:val="ListBullet"/>
      </w:pPr>
      <w:r>
        <w:t>The organisation shall not select an Implementation Group based solely on convenience, budget preference, tool availability, or current control maturity.</w:t>
      </w:r>
    </w:p>
    <w:p>
      <w:pPr>
        <w:pStyle w:val="ListBullet"/>
      </w:pPr>
      <w:r>
        <w:t>The organisation shall assign one of the following Implementation Group designations:</w:t>
      </w:r>
    </w:p>
    <w:tbl>
      <w:tblPr>
        <w:tblStyle w:val="TableGrid"/>
        <w:tblW w:type="auto" w:w="0"/>
        <w:tblLook w:firstColumn="1" w:firstRow="1" w:lastColumn="0" w:lastRow="0" w:noHBand="0" w:noVBand="1" w:val="04A0"/>
      </w:tblPr>
      <w:tblGrid>
        <w:gridCol w:w="4320"/>
        <w:gridCol w:w="4320"/>
      </w:tblGrid>
      <w:tr>
        <w:tc>
          <w:tcPr>
            <w:tcW w:type="dxa" w:w="4320"/>
          </w:tcPr>
          <w:p>
            <w:r>
              <w:t>Implementation Group</w:t>
            </w:r>
          </w:p>
        </w:tc>
        <w:tc>
          <w:tcPr>
            <w:tcW w:type="dxa" w:w="4320"/>
          </w:tcPr>
          <w:p>
            <w:r>
              <w:t>Required Use</w:t>
            </w:r>
          </w:p>
        </w:tc>
      </w:tr>
      <w:tr>
        <w:tc>
          <w:tcPr>
            <w:tcW w:type="dxa" w:w="4320"/>
          </w:tcPr>
          <w:p>
            <w:r>
              <w:t>IG1</w:t>
            </w:r>
          </w:p>
        </w:tc>
        <w:tc>
          <w:tcPr>
            <w:tcW w:type="dxa" w:w="4320"/>
          </w:tcPr>
          <w:p>
            <w:r>
              <w:t>May be used where the organisation has limited cybersecurity resources, relatively low data sensitivity, limited technology complexity, and no material processing of regulated or highly sensitive data.</w:t>
            </w:r>
          </w:p>
        </w:tc>
      </w:tr>
      <w:tr>
        <w:tc>
          <w:tcPr>
            <w:tcW w:type="dxa" w:w="4320"/>
          </w:tcPr>
          <w:p>
            <w:r>
              <w:t>IG2</w:t>
            </w:r>
          </w:p>
        </w:tc>
        <w:tc>
          <w:tcPr>
            <w:tcW w:type="dxa" w:w="4320"/>
          </w:tcPr>
          <w:p>
            <w:r>
              <w:t>Shall be used where the organisation processes sensitive business data, supports important business services, has moderate technology complexity, uses cloud or third-party service environments, or has meaningful regulatory, contractual, or customer security expectations.</w:t>
            </w:r>
          </w:p>
        </w:tc>
      </w:tr>
      <w:tr>
        <w:tc>
          <w:tcPr>
            <w:tcW w:type="dxa" w:w="4320"/>
          </w:tcPr>
          <w:p>
            <w:r>
              <w:t>IG3</w:t>
            </w:r>
          </w:p>
        </w:tc>
        <w:tc>
          <w:tcPr>
            <w:tcW w:type="dxa" w:w="4320"/>
          </w:tcPr>
          <w:p>
            <w:r>
              <w:t>Shall be used where the organisation processes highly sensitive, regulated, mission-critical, or high-value data; operates complex or distributed environments; faces elevated threat exposure; provides critical services; or would experience severe business, legal, safety, financial, or reputational harm from a cybersecurity incident.</w:t>
            </w:r>
          </w:p>
        </w:tc>
      </w:tr>
    </w:tbl>
    <w:p>
      <w:pPr>
        <w:pStyle w:val="ListBullet"/>
      </w:pPr>
      <w:r>
        <w:t>The organisation shall treat IG1 as the minimum acceptable baseline only where a documented risk assessment confirms that higher Implementation Group safeguards are not required for the organisation’s risk profile.</w:t>
      </w:r>
    </w:p>
    <w:p>
      <w:pPr>
        <w:pStyle w:val="ListBullet"/>
      </w:pPr>
      <w:r>
        <w:t>The organisation shall adopt IG2 as the default baseline where the organisation’s risk profile is uncertain, where data sensitivity is mixed, or where the environment includes both low-risk and moderate-risk systems.</w:t>
      </w:r>
    </w:p>
    <w:p>
      <w:pPr>
        <w:pStyle w:val="ListBullet"/>
      </w:pPr>
      <w:r>
        <w:t>The organisation shall adopt IG3 where any of the following conditions apply:</w:t>
      </w:r>
    </w:p>
    <w:p>
      <w:pPr>
        <w:pStyle w:val="ListBullet"/>
      </w:pPr>
      <w:r>
        <w:t>The organisation processes large volumes of confidential, regulated, financial, health, government, customer, authentication, intellectual property, or commercially sensitive data.</w:t>
      </w:r>
    </w:p>
    <w:p>
      <w:pPr>
        <w:pStyle w:val="ListBullet"/>
      </w:pPr>
      <w:r>
        <w:t>A cybersecurity incident could materially affect life, safety, essential services, legal standing, market confidence, or business continuity.</w:t>
      </w:r>
    </w:p>
    <w:p>
      <w:pPr>
        <w:pStyle w:val="ListBullet"/>
      </w:pPr>
      <w:r>
        <w:t>The organisation is a likely target for advanced, persistent, organised, or sector-specific threat actors.</w:t>
      </w:r>
    </w:p>
    <w:p>
      <w:pPr>
        <w:pStyle w:val="ListBullet"/>
      </w:pPr>
      <w:r>
        <w:t>The organisation operates critical infrastructure, high-availability platforms, public-facing transactional services, or environments requiring strong assurance.</w:t>
      </w:r>
    </w:p>
    <w:p>
      <w:pPr>
        <w:pStyle w:val="ListBullet"/>
      </w:pPr>
      <w:r>
        <w:t>Contractual, insurance, customer, regulatory, or board expectations require a high level of cybersecurity maturity.</w:t>
      </w:r>
    </w:p>
    <w:p>
      <w:pPr>
        <w:pStyle w:val="ListBullet"/>
      </w:pPr>
      <w:r>
        <w:t>The organisation has sufficient security, technology, governance, and operational capability to implement and sustain the higher baseline.</w:t>
      </w:r>
    </w:p>
    <w:p>
      <w:pPr>
        <w:pStyle w:val="ListBullet"/>
      </w:pPr>
      <w:r>
        <w:t>The organisation shall document the rationale for its Implementation Group determination in an approved assessment record.</w:t>
      </w:r>
    </w:p>
    <w:p>
      <w:pPr>
        <w:pStyle w:val="ListBullet"/>
      </w:pPr>
      <w:r>
        <w:t>The Implementation Group determination shall include, at minimum, assessment of the following factors:</w:t>
      </w:r>
    </w:p>
    <w:tbl>
      <w:tblPr>
        <w:tblStyle w:val="TableGrid"/>
        <w:tblW w:type="auto" w:w="0"/>
        <w:tblLook w:firstColumn="1" w:firstRow="1" w:lastColumn="0" w:lastRow="0" w:noHBand="0" w:noVBand="1" w:val="04A0"/>
      </w:tblPr>
      <w:tblGrid>
        <w:gridCol w:w="4320"/>
        <w:gridCol w:w="4320"/>
      </w:tblGrid>
      <w:tr>
        <w:tc>
          <w:tcPr>
            <w:tcW w:type="dxa" w:w="4320"/>
          </w:tcPr>
          <w:p>
            <w:r>
              <w:t>Assessment Factor</w:t>
            </w:r>
          </w:p>
        </w:tc>
        <w:tc>
          <w:tcPr>
            <w:tcW w:type="dxa" w:w="4320"/>
          </w:tcPr>
          <w:p>
            <w:r>
              <w:t>Required Considerations</w:t>
            </w:r>
          </w:p>
        </w:tc>
      </w:tr>
      <w:tr>
        <w:tc>
          <w:tcPr>
            <w:tcW w:type="dxa" w:w="4320"/>
          </w:tcPr>
          <w:p>
            <w:r>
              <w:t>Data sensitivity</w:t>
            </w:r>
          </w:p>
        </w:tc>
        <w:tc>
          <w:tcPr>
            <w:tcW w:type="dxa" w:w="4320"/>
          </w:tcPr>
          <w:p>
            <w:r>
              <w:t>Classification of data, regulated data, confidential business data, personal data, financial data, intellectual property, authentication data, and customer data.</w:t>
            </w:r>
          </w:p>
        </w:tc>
      </w:tr>
      <w:tr>
        <w:tc>
          <w:tcPr>
            <w:tcW w:type="dxa" w:w="4320"/>
          </w:tcPr>
          <w:p>
            <w:r>
              <w:t>Business criticality</w:t>
            </w:r>
          </w:p>
        </w:tc>
        <w:tc>
          <w:tcPr>
            <w:tcW w:type="dxa" w:w="4320"/>
          </w:tcPr>
          <w:p>
            <w:r>
              <w:t>Importance of systems and data to revenue, operations, customer delivery, safety, legal obligations, and continuity of service.</w:t>
            </w:r>
          </w:p>
        </w:tc>
      </w:tr>
      <w:tr>
        <w:tc>
          <w:tcPr>
            <w:tcW w:type="dxa" w:w="4320"/>
          </w:tcPr>
          <w:p>
            <w:r>
              <w:t>Threat exposure</w:t>
            </w:r>
          </w:p>
        </w:tc>
        <w:tc>
          <w:tcPr>
            <w:tcW w:type="dxa" w:w="4320"/>
          </w:tcPr>
          <w:p>
            <w:r>
              <w:t>Internet exposure, remote access, sector targeting, geopolitical exposure, fraud risk, ransomware exposure, and history of security events.</w:t>
            </w:r>
          </w:p>
        </w:tc>
      </w:tr>
      <w:tr>
        <w:tc>
          <w:tcPr>
            <w:tcW w:type="dxa" w:w="4320"/>
          </w:tcPr>
          <w:p>
            <w:r>
              <w:t>Technology complexity</w:t>
            </w:r>
          </w:p>
        </w:tc>
        <w:tc>
          <w:tcPr>
            <w:tcW w:type="dxa" w:w="4320"/>
          </w:tcPr>
          <w:p>
            <w:r>
              <w:t>Number of users, locations, systems, networks, cloud platforms, third-party integrations, privileged accounts, and externally accessible services.</w:t>
            </w:r>
          </w:p>
        </w:tc>
      </w:tr>
      <w:tr>
        <w:tc>
          <w:tcPr>
            <w:tcW w:type="dxa" w:w="4320"/>
          </w:tcPr>
          <w:p>
            <w:r>
              <w:t>Legal and contractual obligations</w:t>
            </w:r>
          </w:p>
        </w:tc>
        <w:tc>
          <w:tcPr>
            <w:tcW w:type="dxa" w:w="4320"/>
          </w:tcPr>
          <w:p>
            <w:r>
              <w:t>Customer requirements, regulatory expectations, cyber insurance conditions, supplier obligations, and contractual security commitments.</w:t>
            </w:r>
          </w:p>
        </w:tc>
      </w:tr>
      <w:tr>
        <w:tc>
          <w:tcPr>
            <w:tcW w:type="dxa" w:w="4320"/>
          </w:tcPr>
          <w:p>
            <w:r>
              <w:t>Security resources</w:t>
            </w:r>
          </w:p>
        </w:tc>
        <w:tc>
          <w:tcPr>
            <w:tcW w:type="dxa" w:w="4320"/>
          </w:tcPr>
          <w:p>
            <w:r>
              <w:t>Personnel, budget, tools, governance capacity, operational maturity, monitoring capability, and ability to maintain safeguards.</w:t>
            </w:r>
          </w:p>
        </w:tc>
      </w:tr>
      <w:tr>
        <w:tc>
          <w:tcPr>
            <w:tcW w:type="dxa" w:w="4320"/>
          </w:tcPr>
          <w:p>
            <w:r>
              <w:t>Impact of compromise</w:t>
            </w:r>
          </w:p>
        </w:tc>
        <w:tc>
          <w:tcPr>
            <w:tcW w:type="dxa" w:w="4320"/>
          </w:tcPr>
          <w:p>
            <w:r>
              <w:t>Potential financial, operational, legal, safety, privacy, customer, and reputational harm.</w:t>
            </w:r>
          </w:p>
        </w:tc>
      </w:tr>
      <w:tr>
        <w:tc>
          <w:tcPr>
            <w:tcW w:type="dxa" w:w="4320"/>
          </w:tcPr>
          <w:p>
            <w:r>
              <w:t>Existing control maturity</w:t>
            </w:r>
          </w:p>
        </w:tc>
        <w:tc>
          <w:tcPr>
            <w:tcW w:type="dxa" w:w="4320"/>
          </w:tcPr>
          <w:p>
            <w:r>
              <w:t>Current safeguard coverage, known gaps, compensating measures, and remediation capacity.</w:t>
            </w:r>
          </w:p>
        </w:tc>
      </w:tr>
    </w:tbl>
    <w:p>
      <w:pPr>
        <w:pStyle w:val="ListBullet"/>
      </w:pPr>
      <w:r>
        <w:t>The organisation shall use the following decision criteria when determining the Implementation Group: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IG1 Indicator</w:t>
            </w:r>
          </w:p>
        </w:tc>
        <w:tc>
          <w:tcPr>
            <w:tcW w:type="dxa" w:w="2160"/>
          </w:tcPr>
          <w:p>
            <w:r>
              <w:t>IG2 Indicator</w:t>
            </w:r>
          </w:p>
        </w:tc>
        <w:tc>
          <w:tcPr>
            <w:tcW w:type="dxa" w:w="2160"/>
          </w:tcPr>
          <w:p>
            <w:r>
              <w:t>IG3 Indicator</w:t>
            </w:r>
          </w:p>
        </w:tc>
      </w:tr>
      <w:tr>
        <w:tc>
          <w:tcPr>
            <w:tcW w:type="dxa" w:w="2160"/>
          </w:tcPr>
          <w:p>
            <w:r>
              <w:t>Data sensitivity</w:t>
            </w:r>
          </w:p>
        </w:tc>
        <w:tc>
          <w:tcPr>
            <w:tcW w:type="dxa" w:w="2160"/>
          </w:tcPr>
          <w:p>
            <w:r>
              <w:t>Mostly public or internal operational data</w:t>
            </w:r>
          </w:p>
        </w:tc>
        <w:tc>
          <w:tcPr>
            <w:tcW w:type="dxa" w:w="2160"/>
          </w:tcPr>
          <w:p>
            <w:r>
              <w:t>Confidential, customer, financial, or sensitive business data</w:t>
            </w:r>
          </w:p>
        </w:tc>
        <w:tc>
          <w:tcPr>
            <w:tcW w:type="dxa" w:w="2160"/>
          </w:tcPr>
          <w:p>
            <w:r>
              <w:t>Highly sensitive, regulated, mission-critical, or high-value data</w:t>
            </w:r>
          </w:p>
        </w:tc>
      </w:tr>
      <w:tr>
        <w:tc>
          <w:tcPr>
            <w:tcW w:type="dxa" w:w="2160"/>
          </w:tcPr>
          <w:p>
            <w:r>
              <w:t>Business impact</w:t>
            </w:r>
          </w:p>
        </w:tc>
        <w:tc>
          <w:tcPr>
            <w:tcW w:type="dxa" w:w="2160"/>
          </w:tcPr>
          <w:p>
            <w:r>
              <w:t>Limited disruption if systems are unavailable or compromised</w:t>
            </w:r>
          </w:p>
        </w:tc>
        <w:tc>
          <w:tcPr>
            <w:tcW w:type="dxa" w:w="2160"/>
          </w:tcPr>
          <w:p>
            <w:r>
              <w:t>Material disruption to operations, customers, or obligations</w:t>
            </w:r>
          </w:p>
        </w:tc>
        <w:tc>
          <w:tcPr>
            <w:tcW w:type="dxa" w:w="2160"/>
          </w:tcPr>
          <w:p>
            <w:r>
              <w:t>Severe disruption, safety concern, major loss, or public impact</w:t>
            </w:r>
          </w:p>
        </w:tc>
      </w:tr>
      <w:tr>
        <w:tc>
          <w:tcPr>
            <w:tcW w:type="dxa" w:w="2160"/>
          </w:tcPr>
          <w:p>
            <w:r>
              <w:t>Environment size and complexity</w:t>
            </w:r>
          </w:p>
        </w:tc>
        <w:tc>
          <w:tcPr>
            <w:tcW w:type="dxa" w:w="2160"/>
          </w:tcPr>
          <w:p>
            <w:r>
              <w:t>Small, simple, mostly standard technology environment</w:t>
            </w:r>
          </w:p>
        </w:tc>
        <w:tc>
          <w:tcPr>
            <w:tcW w:type="dxa" w:w="2160"/>
          </w:tcPr>
          <w:p>
            <w:r>
              <w:t>Moderate environment with cloud, third parties, multiple systems, or distributed users</w:t>
            </w:r>
          </w:p>
        </w:tc>
        <w:tc>
          <w:tcPr>
            <w:tcW w:type="dxa" w:w="2160"/>
          </w:tcPr>
          <w:p>
            <w:r>
              <w:t>Large, complex, highly integrated, high-availability, or multi-region environment</w:t>
            </w:r>
          </w:p>
        </w:tc>
      </w:tr>
      <w:tr>
        <w:tc>
          <w:tcPr>
            <w:tcW w:type="dxa" w:w="2160"/>
          </w:tcPr>
          <w:p>
            <w:r>
              <w:t>Threat profile</w:t>
            </w:r>
          </w:p>
        </w:tc>
        <w:tc>
          <w:tcPr>
            <w:tcW w:type="dxa" w:w="2160"/>
          </w:tcPr>
          <w:p>
            <w:r>
              <w:t>Opportunistic threats expected</w:t>
            </w:r>
          </w:p>
        </w:tc>
        <w:tc>
          <w:tcPr>
            <w:tcW w:type="dxa" w:w="2160"/>
          </w:tcPr>
          <w:p>
            <w:r>
              <w:t>Moderate targeting or meaningful exposure</w:t>
            </w:r>
          </w:p>
        </w:tc>
        <w:tc>
          <w:tcPr>
            <w:tcW w:type="dxa" w:w="2160"/>
          </w:tcPr>
          <w:p>
            <w:r>
              <w:t>Advanced, targeted, persistent, or sector-specific threats likely</w:t>
            </w:r>
          </w:p>
        </w:tc>
      </w:tr>
      <w:tr>
        <w:tc>
          <w:tcPr>
            <w:tcW w:type="dxa" w:w="2160"/>
          </w:tcPr>
          <w:p>
            <w:r>
              <w:t>Compliance and customer expectations</w:t>
            </w:r>
          </w:p>
        </w:tc>
        <w:tc>
          <w:tcPr>
            <w:tcW w:type="dxa" w:w="2160"/>
          </w:tcPr>
          <w:p>
            <w:r>
              <w:t>Limited formal obligations</w:t>
            </w:r>
          </w:p>
        </w:tc>
        <w:tc>
          <w:tcPr>
            <w:tcW w:type="dxa" w:w="2160"/>
          </w:tcPr>
          <w:p>
            <w:r>
              <w:t>Defined regulatory, customer, insurance, or contractual expectations</w:t>
            </w:r>
          </w:p>
        </w:tc>
        <w:tc>
          <w:tcPr>
            <w:tcW w:type="dxa" w:w="2160"/>
          </w:tcPr>
          <w:p>
            <w:r>
              <w:t>Strong assurance obligations or high external scrutiny</w:t>
            </w:r>
          </w:p>
        </w:tc>
      </w:tr>
      <w:tr>
        <w:tc>
          <w:tcPr>
            <w:tcW w:type="dxa" w:w="2160"/>
          </w:tcPr>
          <w:p>
            <w:r>
              <w:t>Security capability</w:t>
            </w:r>
          </w:p>
        </w:tc>
        <w:tc>
          <w:tcPr>
            <w:tcW w:type="dxa" w:w="2160"/>
          </w:tcPr>
          <w:p>
            <w:r>
              <w:t>Limited staff and tools</w:t>
            </w:r>
          </w:p>
        </w:tc>
        <w:tc>
          <w:tcPr>
            <w:tcW w:type="dxa" w:w="2160"/>
          </w:tcPr>
          <w:p>
            <w:r>
              <w:t>Defined security ownership and moderate capability</w:t>
            </w:r>
          </w:p>
        </w:tc>
        <w:tc>
          <w:tcPr>
            <w:tcW w:type="dxa" w:w="2160"/>
          </w:tcPr>
          <w:p>
            <w:r>
              <w:t>Mature security governance, tooling, monitoring, and response capability</w:t>
            </w:r>
          </w:p>
        </w:tc>
      </w:tr>
    </w:tbl>
    <w:p>
      <w:pPr>
        <w:pStyle w:val="ListBullet"/>
      </w:pPr>
      <w:r>
        <w:t>The organisation shall select the highest Implementation Group indicated by the assessment where criteria point to different Implementation Groups, unless a documented risk-based justification is approved by the designated authority.</w:t>
      </w:r>
    </w:p>
    <w:p>
      <w:pPr>
        <w:pStyle w:val="ListBullet"/>
      </w:pPr>
      <w:r>
        <w:t>The organisation shall not reduce the Implementation Group designation without a documented risk assessment, evidence supporting the reduction, and formal approval by the designated authority.</w:t>
      </w:r>
    </w:p>
    <w:p>
      <w:pPr>
        <w:pStyle w:val="ListBullet"/>
      </w:pPr>
      <w:r>
        <w:t>The organisation shall identify whether the Implementation Group designation applies to the entire organisation or to defined segments, business units, systems, or environments.</w:t>
      </w:r>
    </w:p>
    <w:p>
      <w:pPr>
        <w:pStyle w:val="ListBullet"/>
      </w:pPr>
      <w:r>
        <w:t>Where different parts of the organisation have materially different risk profiles, the organisation may assign different Implementation Groups to different scoped environments, provided that segmentation, ownership, boundaries, and applicability are clearly documented.</w:t>
      </w:r>
    </w:p>
    <w:p>
      <w:pPr>
        <w:pStyle w:val="ListBullet"/>
      </w:pPr>
      <w:r>
        <w:t>Where multiple Implementation Groups apply across the organisation, shared services shall meet the highest Implementation Group required by any dependent environment unless an approved exception or alternative architecture is documented.</w:t>
      </w:r>
    </w:p>
    <w:p>
      <w:pPr>
        <w:pStyle w:val="ListBullet"/>
      </w:pPr>
      <w:r>
        <w:t>Systems that process or provide access to data from a higher Implementation Group environment shall be treated as part of that higher Implementation Group unless effective segregation and access controls are in place.</w:t>
      </w:r>
    </w:p>
    <w:p>
      <w:pPr>
        <w:pStyle w:val="ListBullet"/>
      </w:pPr>
      <w:r>
        <w:t>The approved Implementation Group shall establish the minimum required safeguard baseline; business owners, system owners, and risk owners may require additional safeguards where risk warrants stronger protection.</w:t>
      </w:r>
    </w:p>
    <w:p>
      <w:pPr>
        <w:pStyle w:val="ListBullet"/>
      </w:pPr>
      <w:r>
        <w:t>The organisation shall maintain a mapping between the approved Implementation Group and the safeguards selected for implementation, including ownership, status, evidence location, and target completion dates.</w:t>
      </w:r>
    </w:p>
    <w:p>
      <w:pPr>
        <w:pStyle w:val="ListBullet"/>
      </w:pPr>
      <w:r>
        <w:t>The organisation shall establish an implementation plan for any safeguards required by the approved Implementation Group that are not yet implemented or not operating effectively.</w:t>
      </w:r>
    </w:p>
    <w:p>
      <w:pPr>
        <w:pStyle w:val="ListBullet"/>
      </w:pPr>
      <w:r>
        <w:t>The implementation plan shall prioritise safeguards based on risk, dependency, feasibility, and protection of the most sensitive and critical assets.</w:t>
      </w:r>
    </w:p>
    <w:p>
      <w:pPr>
        <w:pStyle w:val="ListBullet"/>
      </w:pPr>
      <w:r>
        <w:t>The organisation shall ensure that resource constraints are documented as implementation risks and managed through risk treatment, phased delivery, compensating controls, or approved exceptions.</w:t>
      </w:r>
    </w:p>
    <w:p>
      <w:pPr>
        <w:pStyle w:val="ListBullet"/>
      </w:pPr>
      <w:r>
        <w:t>The organisation shall not use lack of resources as the sole justification for permanently excluding safeguards required by the approved Implementation Group.</w:t>
      </w:r>
    </w:p>
    <w:p>
      <w:pPr>
        <w:pStyle w:val="ListBullet"/>
      </w:pPr>
      <w:r>
        <w:t>The organisation shall ensure that the Implementation Group determination is reviewed during annual cybersecurity planning, risk assessment, budgeting, and control assurance activities.</w:t>
      </w:r>
    </w:p>
    <w:p>
      <w:pPr>
        <w:pStyle w:val="ListBullet"/>
      </w:pPr>
      <w:r>
        <w:t>The organisation shall reassess its Implementation Group following any material change, including:</w:t>
      </w:r>
    </w:p>
    <w:p>
      <w:pPr>
        <w:pStyle w:val="ListBullet"/>
      </w:pPr>
      <w:r>
        <w:t>Acquisition, merger, divestment, or significant restructuring.</w:t>
      </w:r>
    </w:p>
    <w:p>
      <w:pPr>
        <w:pStyle w:val="ListBullet"/>
      </w:pPr>
      <w:r>
        <w:t>Introduction of new regulated data, sensitive data, or high-value business processes.</w:t>
      </w:r>
    </w:p>
    <w:p>
      <w:pPr>
        <w:pStyle w:val="ListBullet"/>
      </w:pPr>
      <w:r>
        <w:t>Significant cloud migration or technology transformation.</w:t>
      </w:r>
    </w:p>
    <w:p>
      <w:pPr>
        <w:pStyle w:val="ListBullet"/>
      </w:pPr>
      <w:r>
        <w:t>Material expansion in users, locations, systems, customers, or jurisdictions.</w:t>
      </w:r>
    </w:p>
    <w:p>
      <w:pPr>
        <w:pStyle w:val="ListBullet"/>
      </w:pPr>
      <w:r>
        <w:t>Major cybersecurity incident or material audit finding.</w:t>
      </w:r>
    </w:p>
    <w:p>
      <w:pPr>
        <w:pStyle w:val="ListBullet"/>
      </w:pPr>
      <w:r>
        <w:t>New contractual, insurance, customer, or legal security obligation.</w:t>
      </w:r>
    </w:p>
    <w:p>
      <w:pPr>
        <w:pStyle w:val="ListBullet"/>
      </w:pPr>
      <w:r>
        <w:t>Change in threat exposure or sector risk.</w:t>
      </w:r>
    </w:p>
    <w:p>
      <w:pPr>
        <w:pStyle w:val="ListBullet"/>
      </w:pPr>
      <w:r>
        <w:t>Significant change in available security resources or operational capability.</w:t>
      </w:r>
    </w:p>
    <w:p>
      <w:pPr>
        <w:pStyle w:val="ListBullet"/>
      </w:pPr>
      <w:r>
        <w:t>The organisation shall retain evidence of Implementation Group determination, approval, reassessment, implementation planning, exceptions, and management review.</w:t>
      </w:r>
    </w:p>
    <w:p>
      <w:pPr>
        <w:pStyle w:val="ListBullet"/>
      </w:pPr>
      <w:r>
        <w:t>The Implementation Group determination shall be approved before it is used to define control scope, security budgets, audit readiness activities, or risk treatment commitments.</w:t>
      </w:r>
    </w:p>
    <w:p>
      <w:pPr>
        <w:pStyle w:val="ListBullet"/>
      </w:pPr>
      <w:r>
        <w:t>The organisation shall communicate the approved Implementation Group and related baseline requirements to relevant stakeholders, including technology, security, risk, compliance, procurement, project delivery, and business leadership teams.</w:t>
      </w:r>
    </w:p>
    <w:p>
      <w:pPr>
        <w:pStyle w:val="ListBullet"/>
      </w:pPr>
      <w:r>
        <w:t>The organisation shall ensure that new systems, services, projects, and third-party arrangements align with the applicable Implementation Group before production use or formal acceptance.</w:t>
      </w:r>
    </w:p>
    <w:p>
      <w:pPr>
        <w:pStyle w:val="ListBullet"/>
      </w:pPr>
      <w:r>
        <w:t>Third-party services that process, store, transmit, or provide privileged access to organisational data shall be assessed against the applicable Implementation Group expectations or equivalent security outcomes.</w:t>
      </w:r>
    </w:p>
    <w:p>
      <w:pPr>
        <w:pStyle w:val="ListBullet"/>
      </w:pPr>
      <w:r>
        <w:t>The organisation shall maintain a record of the current Implementation Group designation using the following minimum data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Assessment name</w:t>
            </w:r>
          </w:p>
        </w:tc>
        <w:tc>
          <w:tcPr>
            <w:tcW w:type="dxa" w:w="4320"/>
          </w:tcPr>
          <w:p>
            <w:r>
              <w:t>Name of the Implementation Group assessment.</w:t>
            </w:r>
          </w:p>
        </w:tc>
      </w:tr>
      <w:tr>
        <w:tc>
          <w:tcPr>
            <w:tcW w:type="dxa" w:w="4320"/>
          </w:tcPr>
          <w:p>
            <w:r>
              <w:t>Assessment date</w:t>
            </w:r>
          </w:p>
        </w:tc>
        <w:tc>
          <w:tcPr>
            <w:tcW w:type="dxa" w:w="4320"/>
          </w:tcPr>
          <w:p>
            <w:r>
              <w:t>Date the assessment was completed.</w:t>
            </w:r>
          </w:p>
        </w:tc>
      </w:tr>
      <w:tr>
        <w:tc>
          <w:tcPr>
            <w:tcW w:type="dxa" w:w="4320"/>
          </w:tcPr>
          <w:p>
            <w:r>
              <w:t>Scope</w:t>
            </w:r>
          </w:p>
        </w:tc>
        <w:tc>
          <w:tcPr>
            <w:tcW w:type="dxa" w:w="4320"/>
          </w:tcPr>
          <w:p>
            <w:r>
              <w:t>Organisation, business unit, system, service, or environment covered.</w:t>
            </w:r>
          </w:p>
        </w:tc>
      </w:tr>
      <w:tr>
        <w:tc>
          <w:tcPr>
            <w:tcW w:type="dxa" w:w="4320"/>
          </w:tcPr>
          <w:p>
            <w:r>
              <w:t>Data classification</w:t>
            </w:r>
          </w:p>
        </w:tc>
        <w:tc>
          <w:tcPr>
            <w:tcW w:type="dxa" w:w="4320"/>
          </w:tcPr>
          <w:p>
            <w:r>
              <w:t>Highest classification of data in scope.</w:t>
            </w:r>
          </w:p>
        </w:tc>
      </w:tr>
      <w:tr>
        <w:tc>
          <w:tcPr>
            <w:tcW w:type="dxa" w:w="4320"/>
          </w:tcPr>
          <w:p>
            <w:r>
              <w:t>Business criticality</w:t>
            </w:r>
          </w:p>
        </w:tc>
        <w:tc>
          <w:tcPr>
            <w:tcW w:type="dxa" w:w="4320"/>
          </w:tcPr>
          <w:p>
            <w:r>
              <w:t>Summary of operational importance and impact of compromise.</w:t>
            </w:r>
          </w:p>
        </w:tc>
      </w:tr>
      <w:tr>
        <w:tc>
          <w:tcPr>
            <w:tcW w:type="dxa" w:w="4320"/>
          </w:tcPr>
          <w:p>
            <w:r>
              <w:t>Threat exposure</w:t>
            </w:r>
          </w:p>
        </w:tc>
        <w:tc>
          <w:tcPr>
            <w:tcW w:type="dxa" w:w="4320"/>
          </w:tcPr>
          <w:p>
            <w:r>
              <w:t>Summary of relevant threat conditions.</w:t>
            </w:r>
          </w:p>
        </w:tc>
      </w:tr>
      <w:tr>
        <w:tc>
          <w:tcPr>
            <w:tcW w:type="dxa" w:w="4320"/>
          </w:tcPr>
          <w:p>
            <w:r>
              <w:t>Technology complexity</w:t>
            </w:r>
          </w:p>
        </w:tc>
        <w:tc>
          <w:tcPr>
            <w:tcW w:type="dxa" w:w="4320"/>
          </w:tcPr>
          <w:p>
            <w:r>
              <w:t>Summary of environment size and complexity.</w:t>
            </w:r>
          </w:p>
        </w:tc>
      </w:tr>
      <w:tr>
        <w:tc>
          <w:tcPr>
            <w:tcW w:type="dxa" w:w="4320"/>
          </w:tcPr>
          <w:p>
            <w:r>
              <w:t>Resource assessment</w:t>
            </w:r>
          </w:p>
        </w:tc>
        <w:tc>
          <w:tcPr>
            <w:tcW w:type="dxa" w:w="4320"/>
          </w:tcPr>
          <w:p>
            <w:r>
              <w:t>Summary of security and technology resources available.</w:t>
            </w:r>
          </w:p>
        </w:tc>
      </w:tr>
      <w:tr>
        <w:tc>
          <w:tcPr>
            <w:tcW w:type="dxa" w:w="4320"/>
          </w:tcPr>
          <w:p>
            <w:r>
              <w:t>Recommended Implementation Group</w:t>
            </w:r>
          </w:p>
        </w:tc>
        <w:tc>
          <w:tcPr>
            <w:tcW w:type="dxa" w:w="4320"/>
          </w:tcPr>
          <w:p>
            <w:r>
              <w:t>IG1, IG2, or IG3.</w:t>
            </w:r>
          </w:p>
        </w:tc>
      </w:tr>
      <w:tr>
        <w:tc>
          <w:tcPr>
            <w:tcW w:type="dxa" w:w="4320"/>
          </w:tcPr>
          <w:p>
            <w:r>
              <w:t>Approved Implementation Group</w:t>
            </w:r>
          </w:p>
        </w:tc>
        <w:tc>
          <w:tcPr>
            <w:tcW w:type="dxa" w:w="4320"/>
          </w:tcPr>
          <w:p>
            <w:r>
              <w:t>IG1, IG2, or IG3.</w:t>
            </w:r>
          </w:p>
        </w:tc>
      </w:tr>
      <w:tr>
        <w:tc>
          <w:tcPr>
            <w:tcW w:type="dxa" w:w="4320"/>
          </w:tcPr>
          <w:p>
            <w:r>
              <w:t>Rationale</w:t>
            </w:r>
          </w:p>
        </w:tc>
        <w:tc>
          <w:tcPr>
            <w:tcW w:type="dxa" w:w="4320"/>
          </w:tcPr>
          <w:p>
            <w:r>
              <w:t>Business and risk-based justification.</w:t>
            </w:r>
          </w:p>
        </w:tc>
      </w:tr>
      <w:tr>
        <w:tc>
          <w:tcPr>
            <w:tcW w:type="dxa" w:w="4320"/>
          </w:tcPr>
          <w:p>
            <w:r>
              <w:t>Required actions</w:t>
            </w:r>
          </w:p>
        </w:tc>
        <w:tc>
          <w:tcPr>
            <w:tcW w:type="dxa" w:w="4320"/>
          </w:tcPr>
          <w:p>
            <w:r>
              <w:t>Key remediation, implementation, or governance actions.</w:t>
            </w:r>
          </w:p>
        </w:tc>
      </w:tr>
      <w:tr>
        <w:tc>
          <w:tcPr>
            <w:tcW w:type="dxa" w:w="4320"/>
          </w:tcPr>
          <w:p>
            <w:r>
              <w:t>Approver</w:t>
            </w:r>
          </w:p>
        </w:tc>
        <w:tc>
          <w:tcPr>
            <w:tcW w:type="dxa" w:w="4320"/>
          </w:tcPr>
          <w:p>
            <w:r>
              <w:t>Name and role of approving authority.</w:t>
            </w:r>
          </w:p>
        </w:tc>
      </w:tr>
      <w:tr>
        <w:tc>
          <w:tcPr>
            <w:tcW w:type="dxa" w:w="4320"/>
          </w:tcPr>
          <w:p>
            <w:r>
              <w:t>Approval date</w:t>
            </w:r>
          </w:p>
        </w:tc>
        <w:tc>
          <w:tcPr>
            <w:tcW w:type="dxa" w:w="4320"/>
          </w:tcPr>
          <w:p>
            <w:r>
              <w:t>Date of approval.</w:t>
            </w:r>
          </w:p>
        </w:tc>
      </w:tr>
      <w:tr>
        <w:tc>
          <w:tcPr>
            <w:tcW w:type="dxa" w:w="4320"/>
          </w:tcPr>
          <w:p>
            <w:r>
              <w:t>Next review date</w:t>
            </w:r>
          </w:p>
        </w:tc>
        <w:tc>
          <w:tcPr>
            <w:tcW w:type="dxa" w:w="4320"/>
          </w:tcPr>
          <w:p>
            <w:r>
              <w:t>Date by which reassessment is required.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Leadership</w:t>
            </w:r>
          </w:p>
        </w:tc>
        <w:tc>
          <w:tcPr>
            <w:tcW w:type="dxa" w:w="4320"/>
          </w:tcPr>
          <w:p>
            <w:r>
              <w:t>Provides oversight of cybersecurity risk posture, endorses the organisation’s risk appetite, and ensures appropriate resources are available to meet the approved Implementation Group baseline.</w:t>
            </w:r>
          </w:p>
        </w:tc>
      </w:tr>
      <w:tr>
        <w:tc>
          <w:tcPr>
            <w:tcW w:type="dxa" w:w="4320"/>
          </w:tcPr>
          <w:p>
            <w:r>
              <w:t>Chief Information Security Officer</w:t>
            </w:r>
          </w:p>
        </w:tc>
        <w:tc>
          <w:tcPr>
            <w:tcW w:type="dxa" w:w="4320"/>
          </w:tcPr>
          <w:p>
            <w:r>
              <w:t>Owns this Policy, leads the Implementation Group determination process, recommends the appropriate designation, ensures alignment with cybersecurity strategy, and reports status to leadership.</w:t>
            </w:r>
          </w:p>
        </w:tc>
      </w:tr>
      <w:tr>
        <w:tc>
          <w:tcPr>
            <w:tcW w:type="dxa" w:w="4320"/>
          </w:tcPr>
          <w:p>
            <w:r>
              <w:t>Chief Information Officer or Technology Leader</w:t>
            </w:r>
          </w:p>
        </w:tc>
        <w:tc>
          <w:tcPr>
            <w:tcW w:type="dxa" w:w="4320"/>
          </w:tcPr>
          <w:p>
            <w:r>
              <w:t>Provides information about technology scope, complexity, architecture, platforms, operational constraints, and resource requirements for implementation.</w:t>
            </w:r>
          </w:p>
        </w:tc>
      </w:tr>
      <w:tr>
        <w:tc>
          <w:tcPr>
            <w:tcW w:type="dxa" w:w="4320"/>
          </w:tcPr>
          <w:p>
            <w:r>
              <w:t>Risk Management Function</w:t>
            </w:r>
          </w:p>
        </w:tc>
        <w:tc>
          <w:tcPr>
            <w:tcW w:type="dxa" w:w="4320"/>
          </w:tcPr>
          <w:p>
            <w:r>
              <w:t>Supports risk assessment, validates risk rationale, ensures alignment with enterprise risk management practices, and tracks accepted risks related to Implementation Group decisions.</w:t>
            </w:r>
          </w:p>
        </w:tc>
      </w:tr>
      <w:tr>
        <w:tc>
          <w:tcPr>
            <w:tcW w:type="dxa" w:w="4320"/>
          </w:tcPr>
          <w:p>
            <w:r>
              <w:t>Compliance or Legal Function</w:t>
            </w:r>
          </w:p>
        </w:tc>
        <w:tc>
          <w:tcPr>
            <w:tcW w:type="dxa" w:w="4320"/>
          </w:tcPr>
          <w:p>
            <w:r>
              <w:t>Identifies relevant legal, regulatory, contractual, privacy, insurance, and customer obligations that influence the Implementation Group determination.</w:t>
            </w:r>
          </w:p>
        </w:tc>
      </w:tr>
      <w:tr>
        <w:tc>
          <w:tcPr>
            <w:tcW w:type="dxa" w:w="4320"/>
          </w:tcPr>
          <w:p>
            <w:r>
              <w:t>Data Owners</w:t>
            </w:r>
          </w:p>
        </w:tc>
        <w:tc>
          <w:tcPr>
            <w:tcW w:type="dxa" w:w="4320"/>
          </w:tcPr>
          <w:p>
            <w:r>
              <w:t>Identify data sensitivity, classification, business value, regulatory relevance, and potential impact of compromise for data within their responsibility.</w:t>
            </w:r>
          </w:p>
        </w:tc>
      </w:tr>
      <w:tr>
        <w:tc>
          <w:tcPr>
            <w:tcW w:type="dxa" w:w="4320"/>
          </w:tcPr>
          <w:p>
            <w:r>
              <w:t>Business Owners</w:t>
            </w:r>
          </w:p>
        </w:tc>
        <w:tc>
          <w:tcPr>
            <w:tcW w:type="dxa" w:w="4320"/>
          </w:tcPr>
          <w:p>
            <w:r>
              <w:t>Define business criticality, service impact, operational dependencies, customer commitments, and acceptable risk levels for systems and processes.</w:t>
            </w:r>
          </w:p>
        </w:tc>
      </w:tr>
      <w:tr>
        <w:tc>
          <w:tcPr>
            <w:tcW w:type="dxa" w:w="4320"/>
          </w:tcPr>
          <w:p>
            <w:r>
              <w:t>System Owners</w:t>
            </w:r>
          </w:p>
        </w:tc>
        <w:tc>
          <w:tcPr>
            <w:tcW w:type="dxa" w:w="4320"/>
          </w:tcPr>
          <w:p>
            <w:r>
              <w:t>Provide system inventory, architecture, dependency, access, exposure, and control maturity information needed for assessment and implementation planning.</w:t>
            </w:r>
          </w:p>
        </w:tc>
      </w:tr>
      <w:tr>
        <w:tc>
          <w:tcPr>
            <w:tcW w:type="dxa" w:w="4320"/>
          </w:tcPr>
          <w:p>
            <w:r>
              <w:t>Security Operations</w:t>
            </w:r>
          </w:p>
        </w:tc>
        <w:tc>
          <w:tcPr>
            <w:tcW w:type="dxa" w:w="4320"/>
          </w:tcPr>
          <w:p>
            <w:r>
              <w:t>Provides threat, vulnerability, incident, monitoring, detection, and response information relevant to determining threat exposure and implementation capability.</w:t>
            </w:r>
          </w:p>
        </w:tc>
      </w:tr>
      <w:tr>
        <w:tc>
          <w:tcPr>
            <w:tcW w:type="dxa" w:w="4320"/>
          </w:tcPr>
          <w:p>
            <w:r>
              <w:t>Internal Audit or Independent Assurance</w:t>
            </w:r>
          </w:p>
        </w:tc>
        <w:tc>
          <w:tcPr>
            <w:tcW w:type="dxa" w:w="4320"/>
          </w:tcPr>
          <w:p>
            <w:r>
              <w:t>Reviews the design and operating effectiveness of the Implementation Group determination process and validates evidence where included in the audit plan.</w:t>
            </w:r>
          </w:p>
        </w:tc>
      </w:tr>
      <w:tr>
        <w:tc>
          <w:tcPr>
            <w:tcW w:type="dxa" w:w="4320"/>
          </w:tcPr>
          <w:p>
            <w:r>
              <w:t>Project and Change Owners</w:t>
            </w:r>
          </w:p>
        </w:tc>
        <w:tc>
          <w:tcPr>
            <w:tcW w:type="dxa" w:w="4320"/>
          </w:tcPr>
          <w:p>
            <w:r>
              <w:t>Ensure new initiatives, systems, and material changes are assessed against the applicable Implementation Group before go-live or acceptance.</w:t>
            </w:r>
          </w:p>
        </w:tc>
      </w:tr>
      <w:tr>
        <w:tc>
          <w:tcPr>
            <w:tcW w:type="dxa" w:w="4320"/>
          </w:tcPr>
          <w:p>
            <w:r>
              <w:t>Procurement and Third-Party Risk Management</w:t>
            </w:r>
          </w:p>
        </w:tc>
        <w:tc>
          <w:tcPr>
            <w:tcW w:type="dxa" w:w="4320"/>
          </w:tcPr>
          <w:p>
            <w:r>
              <w:t>Ensures suppliers and service providers meet applicable safeguard expectations or equivalent security outcomes for the Implementation Group in scope.</w:t>
            </w:r>
          </w:p>
        </w:tc>
      </w:tr>
      <w:tr>
        <w:tc>
          <w:tcPr>
            <w:tcW w:type="dxa" w:w="4320"/>
          </w:tcPr>
          <w:p>
            <w:r>
              <w:t>All Personnel</w:t>
            </w:r>
          </w:p>
        </w:tc>
        <w:tc>
          <w:tcPr>
            <w:tcW w:type="dxa" w:w="4320"/>
          </w:tcPr>
          <w:p>
            <w:r>
              <w:t>Support accurate information gathering, comply with approved security requirements, and escalate known changes that may affect the Implementation Group determination.</w:t>
            </w:r>
          </w:p>
        </w:tc>
      </w:tr>
    </w:tbl>
    <w:p>
      <w:pPr>
        <w:pStyle w:val="Heading2"/>
      </w:pPr>
      <w:r>
        <w:t>Compliance, Monitoring &amp; Enforcement</w:t>
      </w:r>
    </w:p>
    <w:p>
      <w:r>
        <w:t>Compliance with this Policy is mandatory.</w:t>
      </w:r>
    </w:p>
    <w:p>
      <w:r>
        <w:t>The organisation shall monitor compliance through governance reviews, risk assessments, control assurance activities, project reviews, third-party assessments, and internal audit activities where applicable.</w:t>
      </w:r>
    </w:p>
    <w:p>
      <w:r>
        <w:t>At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approved Implementation Group designation</w:t>
            </w:r>
          </w:p>
        </w:tc>
        <w:tc>
          <w:tcPr>
            <w:tcW w:type="dxa" w:w="2160"/>
          </w:tcPr>
          <w:p>
            <w:r>
              <w:t>Annually</w:t>
            </w:r>
          </w:p>
        </w:tc>
        <w:tc>
          <w:tcPr>
            <w:tcW w:type="dxa" w:w="2160"/>
          </w:tcPr>
          <w:p>
            <w:r>
              <w:t>[Chief Information Security Officer]</w:t>
            </w:r>
          </w:p>
        </w:tc>
        <w:tc>
          <w:tcPr>
            <w:tcW w:type="dxa" w:w="2160"/>
          </w:tcPr>
          <w:p>
            <w:r>
              <w:t>Approved assessment record and review minutes</w:t>
            </w:r>
          </w:p>
        </w:tc>
      </w:tr>
      <w:tr>
        <w:tc>
          <w:tcPr>
            <w:tcW w:type="dxa" w:w="2160"/>
          </w:tcPr>
          <w:p>
            <w:r>
              <w:t>Validate data sensitivity and business criticality inputs</w:t>
            </w:r>
          </w:p>
        </w:tc>
        <w:tc>
          <w:tcPr>
            <w:tcW w:type="dxa" w:w="2160"/>
          </w:tcPr>
          <w:p>
            <w:r>
              <w:t>Annually or upon material change</w:t>
            </w:r>
          </w:p>
        </w:tc>
        <w:tc>
          <w:tcPr>
            <w:tcW w:type="dxa" w:w="2160"/>
          </w:tcPr>
          <w:p>
            <w:r>
              <w:t>Data Owners and Business Owners</w:t>
            </w:r>
          </w:p>
        </w:tc>
        <w:tc>
          <w:tcPr>
            <w:tcW w:type="dxa" w:w="2160"/>
          </w:tcPr>
          <w:p>
            <w:r>
              <w:t>Data classification records and business impact analysis</w:t>
            </w:r>
          </w:p>
        </w:tc>
      </w:tr>
      <w:tr>
        <w:tc>
          <w:tcPr>
            <w:tcW w:type="dxa" w:w="2160"/>
          </w:tcPr>
          <w:p>
            <w:r>
              <w:t>Review safeguard implementation status against approved Implementation Group</w:t>
            </w:r>
          </w:p>
        </w:tc>
        <w:tc>
          <w:tcPr>
            <w:tcW w:type="dxa" w:w="2160"/>
          </w:tcPr>
          <w:p>
            <w:r>
              <w:t>Quarterly</w:t>
            </w:r>
          </w:p>
        </w:tc>
        <w:tc>
          <w:tcPr>
            <w:tcW w:type="dxa" w:w="2160"/>
          </w:tcPr>
          <w:p>
            <w:r>
              <w:t>Security Governance Function</w:t>
            </w:r>
          </w:p>
        </w:tc>
        <w:tc>
          <w:tcPr>
            <w:tcW w:type="dxa" w:w="2160"/>
          </w:tcPr>
          <w:p>
            <w:r>
              <w:t>Control status dashboard and remediation plan</w:t>
            </w:r>
          </w:p>
        </w:tc>
      </w:tr>
      <w:tr>
        <w:tc>
          <w:tcPr>
            <w:tcW w:type="dxa" w:w="2160"/>
          </w:tcPr>
          <w:p>
            <w:r>
              <w:t>Review exceptions related to Implementation Group requirements</w:t>
            </w:r>
          </w:p>
        </w:tc>
        <w:tc>
          <w:tcPr>
            <w:tcW w:type="dxa" w:w="2160"/>
          </w:tcPr>
          <w:p>
            <w:r>
              <w:t>Quarterly</w:t>
            </w:r>
          </w:p>
        </w:tc>
        <w:tc>
          <w:tcPr>
            <w:tcW w:type="dxa" w:w="2160"/>
          </w:tcPr>
          <w:p>
            <w:r>
              <w:t>Risk Management Function</w:t>
            </w:r>
          </w:p>
        </w:tc>
        <w:tc>
          <w:tcPr>
            <w:tcW w:type="dxa" w:w="2160"/>
          </w:tcPr>
          <w:p>
            <w:r>
              <w:t>Exception register and risk acceptance records</w:t>
            </w:r>
          </w:p>
        </w:tc>
      </w:tr>
      <w:tr>
        <w:tc>
          <w:tcPr>
            <w:tcW w:type="dxa" w:w="2160"/>
          </w:tcPr>
          <w:p>
            <w:r>
              <w:t>Validate new projects and material changes against applicable Implementation Group</w:t>
            </w:r>
          </w:p>
        </w:tc>
        <w:tc>
          <w:tcPr>
            <w:tcW w:type="dxa" w:w="2160"/>
          </w:tcPr>
          <w:p>
            <w:r>
              <w:t>Before approval or go-live</w:t>
            </w:r>
          </w:p>
        </w:tc>
        <w:tc>
          <w:tcPr>
            <w:tcW w:type="dxa" w:w="2160"/>
          </w:tcPr>
          <w:p>
            <w:r>
              <w:t>Project Owner and Security Architecture Function</w:t>
            </w:r>
          </w:p>
        </w:tc>
        <w:tc>
          <w:tcPr>
            <w:tcW w:type="dxa" w:w="2160"/>
          </w:tcPr>
          <w:p>
            <w:r>
              <w:t>Security review record</w:t>
            </w:r>
          </w:p>
        </w:tc>
      </w:tr>
      <w:tr>
        <w:tc>
          <w:tcPr>
            <w:tcW w:type="dxa" w:w="2160"/>
          </w:tcPr>
          <w:p>
            <w:r>
              <w:t>Report implementation progress and material risks to leadership</w:t>
            </w:r>
          </w:p>
        </w:tc>
        <w:tc>
          <w:tcPr>
            <w:tcW w:type="dxa" w:w="2160"/>
          </w:tcPr>
          <w:p>
            <w:r>
              <w:t>Quarterly</w:t>
            </w:r>
          </w:p>
        </w:tc>
        <w:tc>
          <w:tcPr>
            <w:tcW w:type="dxa" w:w="2160"/>
          </w:tcPr>
          <w:p>
            <w:r>
              <w:t>[Chief Information Security Officer]</w:t>
            </w:r>
          </w:p>
        </w:tc>
        <w:tc>
          <w:tcPr>
            <w:tcW w:type="dxa" w:w="2160"/>
          </w:tcPr>
          <w:p>
            <w:r>
              <w:t>Management report</w:t>
            </w:r>
          </w:p>
        </w:tc>
      </w:tr>
      <w:tr>
        <w:tc>
          <w:tcPr>
            <w:tcW w:type="dxa" w:w="2160"/>
          </w:tcPr>
          <w:p>
            <w:r>
              <w:t>Independent review of determination process</w:t>
            </w:r>
          </w:p>
        </w:tc>
        <w:tc>
          <w:tcPr>
            <w:tcW w:type="dxa" w:w="2160"/>
          </w:tcPr>
          <w:p>
            <w:r>
              <w:t>As scheduled in audit plan</w:t>
            </w:r>
          </w:p>
        </w:tc>
        <w:tc>
          <w:tcPr>
            <w:tcW w:type="dxa" w:w="2160"/>
          </w:tcPr>
          <w:p>
            <w:r>
              <w:t>Internal Audit or Independent Assurance</w:t>
            </w:r>
          </w:p>
        </w:tc>
        <w:tc>
          <w:tcPr>
            <w:tcW w:type="dxa" w:w="2160"/>
          </w:tcPr>
          <w:p>
            <w:r>
              <w:t>Audit report or assurance memo</w:t>
            </w:r>
          </w:p>
        </w:tc>
      </w:tr>
    </w:tbl>
    <w:p>
      <w:r>
        <w:t>Non-compliance with this Policy may result in one or more of the following actions:</w:t>
      </w:r>
    </w:p>
    <w:p>
      <w:pPr>
        <w:pStyle w:val="ListBullet"/>
      </w:pPr>
      <w:r>
        <w:t>Required remediation within an approved timeframe.</w:t>
      </w:r>
    </w:p>
    <w:p>
      <w:pPr>
        <w:pStyle w:val="ListBullet"/>
      </w:pPr>
      <w:r>
        <w:t>Escalation to business, technology, risk, or executive leadership.</w:t>
      </w:r>
    </w:p>
    <w:p>
      <w:pPr>
        <w:pStyle w:val="ListBullet"/>
      </w:pPr>
      <w:r>
        <w:t>Formal risk acceptance by an authorised risk owner.</w:t>
      </w:r>
    </w:p>
    <w:p>
      <w:pPr>
        <w:pStyle w:val="ListBullet"/>
      </w:pPr>
      <w:r>
        <w:t>Suspension or delay of system go-live, service onboarding, project approval, or supplier engagement.</w:t>
      </w:r>
    </w:p>
    <w:p>
      <w:pPr>
        <w:pStyle w:val="ListBullet"/>
      </w:pPr>
      <w:r>
        <w:t>Additional monitoring, compensating controls, or targeted assurance.</w:t>
      </w:r>
    </w:p>
    <w:p>
      <w:pPr>
        <w:pStyle w:val="ListBullet"/>
      </w:pPr>
      <w:r>
        <w:t>Disciplinary action in accordance with organisational policies and applicable employment agreements.</w:t>
      </w:r>
    </w:p>
    <w:p>
      <w:pPr>
        <w:pStyle w:val="ListBullet"/>
      </w:pPr>
      <w:r>
        <w:t>Contractual remedies for supplier non-compliance, where applicable.</w:t>
      </w:r>
    </w:p>
    <w:p>
      <w:r>
        <w:t>Material non-compliance shall be documented, risk assessed, assigned an accountable owner, and tracked to closure.</w:t>
      </w:r>
    </w:p>
    <w:p>
      <w:pPr>
        <w:pStyle w:val="Heading2"/>
      </w:pPr>
      <w:r>
        <w:t>Exceptions</w:t>
      </w:r>
    </w:p>
    <w:p>
      <w:r>
        <w:t>Exceptions to this Policy shall be permitted only where there is a documented business need, a completed risk assessment, and formal approval by the appropriate authority.</w:t>
      </w:r>
    </w:p>
    <w:p>
      <w:r>
        <w:t>Exceptions may include:</w:t>
      </w:r>
    </w:p>
    <w:p>
      <w:pPr>
        <w:pStyle w:val="ListBullet"/>
      </w:pPr>
      <w:r>
        <w:t>Temporary deferral of a safeguard required by the approved Implementation Group.</w:t>
      </w:r>
    </w:p>
    <w:p>
      <w:pPr>
        <w:pStyle w:val="ListBullet"/>
      </w:pPr>
      <w:r>
        <w:t>Use of a compensating control that achieves an equivalent security outcome.</w:t>
      </w:r>
    </w:p>
    <w:p>
      <w:pPr>
        <w:pStyle w:val="ListBullet"/>
      </w:pPr>
      <w:r>
        <w:t>Scoped application of a lower Implementation Group to a defined environment.</w:t>
      </w:r>
    </w:p>
    <w:p>
      <w:pPr>
        <w:pStyle w:val="ListBullet"/>
      </w:pPr>
      <w:r>
        <w:t>Temporary operation of a system that does not yet meet the applicable Implementation Group baseline.</w:t>
      </w:r>
    </w:p>
    <w:p>
      <w:pPr>
        <w:pStyle w:val="ListBullet"/>
      </w:pPr>
      <w:r>
        <w:t>Acceptance of supplier security capability that does not fully align with the applicable baseline but is supported by equivalent controls or risk treatment.</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Exception request ID</w:t>
            </w:r>
          </w:p>
        </w:tc>
        <w:tc>
          <w:tcPr>
            <w:tcW w:type="dxa" w:w="4320"/>
          </w:tcPr>
          <w:p>
            <w:r>
              <w:t>Unique identifier for the exception.</w:t>
            </w:r>
          </w:p>
        </w:tc>
      </w:tr>
      <w:tr>
        <w:tc>
          <w:tcPr>
            <w:tcW w:type="dxa" w:w="4320"/>
          </w:tcPr>
          <w:p>
            <w:r>
              <w:t>Requestor</w:t>
            </w:r>
          </w:p>
        </w:tc>
        <w:tc>
          <w:tcPr>
            <w:tcW w:type="dxa" w:w="4320"/>
          </w:tcPr>
          <w:p>
            <w:r>
              <w:t>Name, role, and business unit of the requestor.</w:t>
            </w:r>
          </w:p>
        </w:tc>
      </w:tr>
      <w:tr>
        <w:tc>
          <w:tcPr>
            <w:tcW w:type="dxa" w:w="4320"/>
          </w:tcPr>
          <w:p>
            <w:r>
              <w:t>Scope</w:t>
            </w:r>
          </w:p>
        </w:tc>
        <w:tc>
          <w:tcPr>
            <w:tcW w:type="dxa" w:w="4320"/>
          </w:tcPr>
          <w:p>
            <w:r>
              <w:t>System, service, business process, supplier, or environment affected.</w:t>
            </w:r>
          </w:p>
        </w:tc>
      </w:tr>
      <w:tr>
        <w:tc>
          <w:tcPr>
            <w:tcW w:type="dxa" w:w="4320"/>
          </w:tcPr>
          <w:p>
            <w:r>
              <w:t>Policy requirement affected</w:t>
            </w:r>
          </w:p>
        </w:tc>
        <w:tc>
          <w:tcPr>
            <w:tcW w:type="dxa" w:w="4320"/>
          </w:tcPr>
          <w:p>
            <w:r>
              <w:t>Description of the requirement that cannot be met.</w:t>
            </w:r>
          </w:p>
        </w:tc>
      </w:tr>
      <w:tr>
        <w:tc>
          <w:tcPr>
            <w:tcW w:type="dxa" w:w="4320"/>
          </w:tcPr>
          <w:p>
            <w:r>
              <w:t>Business justification</w:t>
            </w:r>
          </w:p>
        </w:tc>
        <w:tc>
          <w:tcPr>
            <w:tcW w:type="dxa" w:w="4320"/>
          </w:tcPr>
          <w:p>
            <w:r>
              <w:t>Explanation of why the exception is needed.</w:t>
            </w:r>
          </w:p>
        </w:tc>
      </w:tr>
      <w:tr>
        <w:tc>
          <w:tcPr>
            <w:tcW w:type="dxa" w:w="4320"/>
          </w:tcPr>
          <w:p>
            <w:r>
              <w:t>Risk assessment</w:t>
            </w:r>
          </w:p>
        </w:tc>
        <w:tc>
          <w:tcPr>
            <w:tcW w:type="dxa" w:w="4320"/>
          </w:tcPr>
          <w:p>
            <w:r>
              <w:t>Confidentiality, integrity, availability, legal, operational, financial, and reputational risk impact.</w:t>
            </w:r>
          </w:p>
        </w:tc>
      </w:tr>
      <w:tr>
        <w:tc>
          <w:tcPr>
            <w:tcW w:type="dxa" w:w="4320"/>
          </w:tcPr>
          <w:p>
            <w:r>
              <w:t>Compensating controls</w:t>
            </w:r>
          </w:p>
        </w:tc>
        <w:tc>
          <w:tcPr>
            <w:tcW w:type="dxa" w:w="4320"/>
          </w:tcPr>
          <w:p>
            <w:r>
              <w:t>Existing or proposed measures that reduce risk.</w:t>
            </w:r>
          </w:p>
        </w:tc>
      </w:tr>
      <w:tr>
        <w:tc>
          <w:tcPr>
            <w:tcW w:type="dxa" w:w="4320"/>
          </w:tcPr>
          <w:p>
            <w:r>
              <w:t>Duration</w:t>
            </w:r>
          </w:p>
        </w:tc>
        <w:tc>
          <w:tcPr>
            <w:tcW w:type="dxa" w:w="4320"/>
          </w:tcPr>
          <w:p>
            <w:r>
              <w:t>Requested start date and expiry date.</w:t>
            </w:r>
          </w:p>
        </w:tc>
      </w:tr>
      <w:tr>
        <w:tc>
          <w:tcPr>
            <w:tcW w:type="dxa" w:w="4320"/>
          </w:tcPr>
          <w:p>
            <w:r>
              <w:t>Remediation plan</w:t>
            </w:r>
          </w:p>
        </w:tc>
        <w:tc>
          <w:tcPr>
            <w:tcW w:type="dxa" w:w="4320"/>
          </w:tcPr>
          <w:p>
            <w:r>
              <w:t>Actions, owners, milestones, and target completion date.</w:t>
            </w:r>
          </w:p>
        </w:tc>
      </w:tr>
      <w:tr>
        <w:tc>
          <w:tcPr>
            <w:tcW w:type="dxa" w:w="4320"/>
          </w:tcPr>
          <w:p>
            <w:r>
              <w:t>Risk owner</w:t>
            </w:r>
          </w:p>
        </w:tc>
        <w:tc>
          <w:tcPr>
            <w:tcW w:type="dxa" w:w="4320"/>
          </w:tcPr>
          <w:p>
            <w:r>
              <w:t>Person accountable for accepting the residual risk.</w:t>
            </w:r>
          </w:p>
        </w:tc>
      </w:tr>
      <w:tr>
        <w:tc>
          <w:tcPr>
            <w:tcW w:type="dxa" w:w="4320"/>
          </w:tcPr>
          <w:p>
            <w:r>
              <w:t>Approval authority</w:t>
            </w:r>
          </w:p>
        </w:tc>
        <w:tc>
          <w:tcPr>
            <w:tcW w:type="dxa" w:w="4320"/>
          </w:tcPr>
          <w:p>
            <w:r>
              <w:t>Person or committee authorised to approve the exception.</w:t>
            </w:r>
          </w:p>
        </w:tc>
      </w:tr>
      <w:tr>
        <w:tc>
          <w:tcPr>
            <w:tcW w:type="dxa" w:w="4320"/>
          </w:tcPr>
          <w:p>
            <w:r>
              <w:t>Review frequency</w:t>
            </w:r>
          </w:p>
        </w:tc>
        <w:tc>
          <w:tcPr>
            <w:tcW w:type="dxa" w:w="4320"/>
          </w:tcPr>
          <w:p>
            <w:r>
              <w:t>Frequency for reassessing the exception while active.</w:t>
            </w:r>
          </w:p>
        </w:tc>
      </w:tr>
    </w:tbl>
    <w:p>
      <w:r>
        <w:t>Exceptions shall be time-bound and shall not exceed [maximum exception period, e.g., 12 months] without renewed assessment and approval.</w:t>
      </w:r>
    </w:p>
    <w:p>
      <w:r>
        <w:t>Permanent exceptions shall not be granted where they would undermine the integrity of the approved Implementation Group baseline. Where a long-term deviation is unavoidable, the organisation shall reassess the Implementation Group scope, document the residual risk, and obtain executive-level approval.</w:t>
      </w:r>
    </w:p>
    <w:p>
      <w:r>
        <w:t>Expired exceptions shall be treated as non-compliance unless renewed or remediated before expiry.</w:t>
      </w:r>
    </w:p>
    <w:p>
      <w:pPr>
        <w:pStyle w:val="Heading2"/>
      </w:pPr>
      <w:r>
        <w:t>Review &amp; Maintenance</w:t>
      </w:r>
    </w:p>
    <w:p>
      <w:r>
        <w:t>This Policy shall be reviewed at least annually and whenever a material change occurs that could affect the organisation’s Implementation Group determination or cybersecurity baseline.</w:t>
      </w:r>
    </w:p>
    <w:p>
      <w:r>
        <w:t>The review shall consider:</w:t>
      </w:r>
    </w:p>
    <w:p>
      <w:pPr>
        <w:pStyle w:val="ListBullet"/>
      </w:pPr>
      <w:r>
        <w:t>Changes in business strategy, products, services, or operating model.</w:t>
      </w:r>
    </w:p>
    <w:p>
      <w:pPr>
        <w:pStyle w:val="ListBullet"/>
      </w:pPr>
      <w:r>
        <w:t>Changes in data sensitivity, data volume, data locations, or regulatory exposure.</w:t>
      </w:r>
    </w:p>
    <w:p>
      <w:pPr>
        <w:pStyle w:val="ListBullet"/>
      </w:pPr>
      <w:r>
        <w:t>Significant changes to technology architecture, cloud usage, third-party reliance, or system interconnectivity.</w:t>
      </w:r>
    </w:p>
    <w:p>
      <w:pPr>
        <w:pStyle w:val="ListBullet"/>
      </w:pPr>
      <w:r>
        <w:t>Changes in threat landscape, incident trends, vulnerability exposure, or sector risk.</w:t>
      </w:r>
    </w:p>
    <w:p>
      <w:pPr>
        <w:pStyle w:val="ListBullet"/>
      </w:pPr>
      <w:r>
        <w:t>Results from audits, assessments, risk reviews, penetration tests, incidents, and control monitoring.</w:t>
      </w:r>
    </w:p>
    <w:p>
      <w:pPr>
        <w:pStyle w:val="ListBullet"/>
      </w:pPr>
      <w:r>
        <w:t>Changes in available cybersecurity resources, tools, staffing, and operational maturity.</w:t>
      </w:r>
    </w:p>
    <w:p>
      <w:pPr>
        <w:pStyle w:val="ListBullet"/>
      </w:pPr>
      <w:r>
        <w:t>Progress against safeguard implementation plans and remediation commitments.</w:t>
      </w:r>
    </w:p>
    <w:p>
      <w:pPr>
        <w:pStyle w:val="ListBullet"/>
      </w:pPr>
      <w:r>
        <w:t>Approved exceptions and recurring non-compliance.</w:t>
      </w:r>
    </w:p>
    <w:p>
      <w:pPr>
        <w:pStyle w:val="ListBullet"/>
      </w:pPr>
      <w:r>
        <w:t>Feedback from business, technology, risk, compliance, and assurance stakeholders.</w:t>
      </w:r>
    </w:p>
    <w:p>
      <w:r>
        <w:t>The Policy Owner shall be responsible for maintaining this Policy, coordinating stakeholder review, obtaining approval for material updates, and ensuring the current approved version is available to relevant personnel.</w:t>
      </w:r>
    </w:p>
    <w:p>
      <w:r>
        <w:t>Superseded versions of this Policy and related Implementation Group determination records shall be retained in accordance with the organisation’s records retention requirements.</w:t>
      </w:r>
    </w:p>
    <w:p>
      <w:r>
        <w:t>At minimum, the following maintenance records shall be retained:</w:t>
      </w:r>
    </w:p>
    <w:tbl>
      <w:tblPr>
        <w:tblStyle w:val="TableGrid"/>
        <w:tblW w:type="auto" w:w="0"/>
        <w:tblLook w:firstColumn="1" w:firstRow="1" w:lastColumn="0" w:lastRow="0" w:noHBand="0" w:noVBand="1" w:val="04A0"/>
      </w:tblPr>
      <w:tblGrid>
        <w:gridCol w:w="4320"/>
        <w:gridCol w:w="4320"/>
      </w:tblGrid>
      <w:tr>
        <w:tc>
          <w:tcPr>
            <w:tcW w:type="dxa" w:w="4320"/>
          </w:tcPr>
          <w:p>
            <w:r>
              <w:t>Record</w:t>
            </w:r>
          </w:p>
        </w:tc>
        <w:tc>
          <w:tcPr>
            <w:tcW w:type="dxa" w:w="4320"/>
          </w:tcPr>
          <w:p>
            <w:r>
              <w:t>Minimum Retention</w:t>
            </w:r>
          </w:p>
        </w:tc>
      </w:tr>
      <w:tr>
        <w:tc>
          <w:tcPr>
            <w:tcW w:type="dxa" w:w="4320"/>
          </w:tcPr>
          <w:p>
            <w:r>
              <w:t>Approved Implementation Group assessment records</w:t>
            </w:r>
          </w:p>
        </w:tc>
        <w:tc>
          <w:tcPr>
            <w:tcW w:type="dxa" w:w="4320"/>
          </w:tcPr>
          <w:p>
            <w:r>
              <w:t>[Retention period, e.g., 7 years]</w:t>
            </w:r>
          </w:p>
        </w:tc>
      </w:tr>
      <w:tr>
        <w:tc>
          <w:tcPr>
            <w:tcW w:type="dxa" w:w="4320"/>
          </w:tcPr>
          <w:p>
            <w:r>
              <w:t>Implementation Group approval records</w:t>
            </w:r>
          </w:p>
        </w:tc>
        <w:tc>
          <w:tcPr>
            <w:tcW w:type="dxa" w:w="4320"/>
          </w:tcPr>
          <w:p>
            <w:r>
              <w:t>[Retention period, e.g., 7 years]</w:t>
            </w:r>
          </w:p>
        </w:tc>
      </w:tr>
      <w:tr>
        <w:tc>
          <w:tcPr>
            <w:tcW w:type="dxa" w:w="4320"/>
          </w:tcPr>
          <w:p>
            <w:r>
              <w:t>Annual review evidence</w:t>
            </w:r>
          </w:p>
        </w:tc>
        <w:tc>
          <w:tcPr>
            <w:tcW w:type="dxa" w:w="4320"/>
          </w:tcPr>
          <w:p>
            <w:r>
              <w:t>[Retention period, e.g., 7 years]</w:t>
            </w:r>
          </w:p>
        </w:tc>
      </w:tr>
      <w:tr>
        <w:tc>
          <w:tcPr>
            <w:tcW w:type="dxa" w:w="4320"/>
          </w:tcPr>
          <w:p>
            <w:r>
              <w:t>Material change reassessments</w:t>
            </w:r>
          </w:p>
        </w:tc>
        <w:tc>
          <w:tcPr>
            <w:tcW w:type="dxa" w:w="4320"/>
          </w:tcPr>
          <w:p>
            <w:r>
              <w:t>[Retention period, e.g., 7 years]</w:t>
            </w:r>
          </w:p>
        </w:tc>
      </w:tr>
      <w:tr>
        <w:tc>
          <w:tcPr>
            <w:tcW w:type="dxa" w:w="4320"/>
          </w:tcPr>
          <w:p>
            <w:r>
              <w:t>Exception requests and approvals</w:t>
            </w:r>
          </w:p>
        </w:tc>
        <w:tc>
          <w:tcPr>
            <w:tcW w:type="dxa" w:w="4320"/>
          </w:tcPr>
          <w:p>
            <w:r>
              <w:t>[Retention period, e.g., 7 years]</w:t>
            </w:r>
          </w:p>
        </w:tc>
      </w:tr>
      <w:tr>
        <w:tc>
          <w:tcPr>
            <w:tcW w:type="dxa" w:w="4320"/>
          </w:tcPr>
          <w:p>
            <w:r>
              <w:t>Implementation plans and remediation tracking</w:t>
            </w:r>
          </w:p>
        </w:tc>
        <w:tc>
          <w:tcPr>
            <w:tcW w:type="dxa" w:w="4320"/>
          </w:tcPr>
          <w:p>
            <w:r>
              <w:t>[Retention period, e.g., 7 years]</w:t>
            </w:r>
          </w:p>
        </w:tc>
      </w:tr>
      <w:tr>
        <w:tc>
          <w:tcPr>
            <w:tcW w:type="dxa" w:w="4320"/>
          </w:tcPr>
          <w:p>
            <w:r>
              <w:t>Management reporting and meeting minutes</w:t>
            </w:r>
          </w:p>
        </w:tc>
        <w:tc>
          <w:tcPr>
            <w:tcW w:type="dxa" w:w="4320"/>
          </w:tcPr>
          <w:p>
            <w:r>
              <w:t>[Retention period, e.g., 7 years]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