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Retention Policy &amp; Schedule</w:t>
      </w:r>
    </w:p>
    <w:tbl>
      <w:tblPr>
        <w:tblStyle w:val="TableGrid"/>
        <w:tblW w:type="auto" w:w="0"/>
        <w:tblLook w:firstColumn="1" w:firstRow="1" w:lastColumn="0" w:lastRow="0" w:noHBand="0" w:noVBand="1" w:val="04A0"/>
      </w:tblPr>
      <w:tblGrid>
        <w:gridCol w:w="4320"/>
        <w:gridCol w:w="4320"/>
      </w:tblGrid>
      <w:tr>
        <w:tc>
          <w:tcPr>
            <w:tcW w:type="dxa" w:w="4320"/>
          </w:tcPr>
          <w:p>
            <w:r>
              <w:t>Metadata</w:t>
            </w:r>
          </w:p>
        </w:tc>
        <w:tc>
          <w:tcPr>
            <w:tcW w:type="dxa" w:w="4320"/>
          </w:tcPr>
          <w:p>
            <w:r>
              <w:t>Value</w:t>
            </w:r>
          </w:p>
        </w:tc>
      </w:tr>
      <w:tr>
        <w:tc>
          <w:tcPr>
            <w:tcW w:type="dxa" w:w="4320"/>
          </w:tcPr>
          <w:p>
            <w:r>
              <w:t>Document ID</w:t>
            </w:r>
          </w:p>
        </w:tc>
        <w:tc>
          <w:tcPr>
            <w:tcW w:type="dxa" w:w="4320"/>
          </w:tcPr>
          <w:p>
            <w:r>
              <w:t>[POL-GDPR-RET-001]</w:t>
            </w:r>
          </w:p>
        </w:tc>
      </w:tr>
      <w:tr>
        <w:tc>
          <w:tcPr>
            <w:tcW w:type="dxa" w:w="4320"/>
          </w:tcPr>
          <w:p>
            <w:r>
              <w:t>Version</w:t>
            </w:r>
          </w:p>
        </w:tc>
        <w:tc>
          <w:tcPr>
            <w:tcW w:type="dxa" w:w="4320"/>
          </w:tcPr>
          <w:p>
            <w:r>
              <w:t>1.0</w:t>
            </w:r>
          </w:p>
        </w:tc>
      </w:tr>
      <w:tr>
        <w:tc>
          <w:tcPr>
            <w:tcW w:type="dxa" w:w="4320"/>
          </w:tcPr>
          <w:p>
            <w:r>
              <w:t>Owner</w:t>
            </w:r>
          </w:p>
        </w:tc>
        <w:tc>
          <w:tcPr>
            <w:tcW w:type="dxa" w:w="4320"/>
          </w:tcPr>
          <w:p>
            <w:r>
              <w:t>Data Protection Officer</w:t>
            </w:r>
          </w:p>
        </w:tc>
      </w:tr>
      <w:tr>
        <w:tc>
          <w:tcPr>
            <w:tcW w:type="dxa" w:w="4320"/>
          </w:tcPr>
          <w:p>
            <w:r>
              <w:t>Effective Date</w:t>
            </w:r>
          </w:p>
        </w:tc>
        <w:tc>
          <w:tcPr>
            <w:tcW w:type="dxa" w:w="4320"/>
          </w:tcPr>
          <w:p>
            <w:r>
              <w:t>[Effective Date]</w:t>
            </w:r>
          </w:p>
        </w:tc>
      </w:tr>
      <w:tr>
        <w:tc>
          <w:tcPr>
            <w:tcW w:type="dxa" w:w="4320"/>
          </w:tcPr>
          <w:p>
            <w:r>
              <w:t>Framework</w:t>
            </w:r>
          </w:p>
        </w:tc>
        <w:tc>
          <w:tcPr>
            <w:tcW w:type="dxa" w:w="4320"/>
          </w:tcPr>
          <w:p>
            <w:r>
              <w:t>GDPR</w:t>
            </w:r>
          </w:p>
        </w:tc>
      </w:tr>
      <w:tr>
        <w:tc>
          <w:tcPr>
            <w:tcW w:type="dxa" w:w="4320"/>
          </w:tcPr>
          <w:p>
            <w:r>
              <w:t>Classification</w:t>
            </w:r>
          </w:p>
        </w:tc>
        <w:tc>
          <w:tcPr>
            <w:tcW w:type="dxa" w:w="4320"/>
          </w:tcPr>
          <w:p>
            <w:r>
              <w:t>Internal</w:t>
            </w:r>
          </w:p>
        </w:tc>
      </w:tr>
    </w:tbl>
    <w:p>
      <w:pPr>
        <w:pStyle w:val="Heading2"/>
      </w:pPr>
      <w:r>
        <w:t>Purpose</w:t>
      </w:r>
    </w:p>
    <w:p>
      <w:r>
        <w:t>This Data Retention Policy &amp; Schedule establishes the organisation’s mandatory requirements for retaining, archiving, and securely deleting personal data. It ensures that personal data is kept only for as long as necessary for defined business, legal, regulatory, contractual, employment, security, or legitimate operational purposes.</w:t>
      </w:r>
    </w:p>
    <w:p>
      <w:r>
        <w:t>The policy supports the organisation’s obligation to prevent excessive storage of personal data, reduce privacy risk, maintain accurate records, and ensure personal data is securely disposed of when no longer required.</w:t>
      </w:r>
    </w:p>
    <w:p>
      <w:pPr>
        <w:pStyle w:val="Heading2"/>
      </w:pPr>
      <w:r>
        <w:t>Scope</w:t>
      </w:r>
    </w:p>
    <w:p>
      <w:r>
        <w:t>This policy applies to:</w:t>
      </w:r>
    </w:p>
    <w:p>
      <w:pPr>
        <w:pStyle w:val="ListBullet"/>
      </w:pPr>
      <w:r>
        <w:t>All employees, contractors, temporary workers, consultants, suppliers, and third parties who collect, access, process, store, transfer, archive, or delete personal data on behalf of the organisation.</w:t>
      </w:r>
    </w:p>
    <w:p>
      <w:pPr>
        <w:pStyle w:val="ListBullet"/>
      </w:pPr>
      <w:r>
        <w:t>All personal data processed by the organisation, regardless of format, system, location, or medium, including:</w:t>
      </w:r>
    </w:p>
    <w:p>
      <w:pPr>
        <w:pStyle w:val="ListBullet"/>
      </w:pPr>
      <w:r>
        <w:t>Electronic records.</w:t>
      </w:r>
    </w:p>
    <w:p>
      <w:pPr>
        <w:pStyle w:val="ListBullet"/>
      </w:pPr>
      <w:r>
        <w:t>Paper records.</w:t>
      </w:r>
    </w:p>
    <w:p>
      <w:pPr>
        <w:pStyle w:val="ListBullet"/>
      </w:pPr>
      <w:r>
        <w:t>Emails and messaging records.</w:t>
      </w:r>
    </w:p>
    <w:p>
      <w:pPr>
        <w:pStyle w:val="ListBullet"/>
      </w:pPr>
      <w:r>
        <w:t>Databases and application data.</w:t>
      </w:r>
    </w:p>
    <w:p>
      <w:pPr>
        <w:pStyle w:val="ListBullet"/>
      </w:pPr>
      <w:r>
        <w:t>Backups and archives.</w:t>
      </w:r>
    </w:p>
    <w:p>
      <w:pPr>
        <w:pStyle w:val="ListBullet"/>
      </w:pPr>
      <w:r>
        <w:t>Audio, video, and image recordings.</w:t>
      </w:r>
    </w:p>
    <w:p>
      <w:pPr>
        <w:pStyle w:val="ListBullet"/>
      </w:pPr>
      <w:r>
        <w:t>System logs containing personal identifiers.</w:t>
      </w:r>
    </w:p>
    <w:p>
      <w:pPr>
        <w:pStyle w:val="ListBullet"/>
      </w:pPr>
      <w:r>
        <w:t>HR, customer, supplier, marketing, finance, legal, and security records.</w:t>
      </w:r>
    </w:p>
    <w:p>
      <w:pPr>
        <w:pStyle w:val="ListBullet"/>
      </w:pPr>
      <w:r>
        <w:t>Personal data processed in:</w:t>
      </w:r>
    </w:p>
    <w:p>
      <w:pPr>
        <w:pStyle w:val="ListBullet"/>
      </w:pPr>
      <w:r>
        <w:t>Corporate systems.</w:t>
      </w:r>
    </w:p>
    <w:p>
      <w:pPr>
        <w:pStyle w:val="ListBullet"/>
      </w:pPr>
      <w:r>
        <w:t>Cloud services.</w:t>
      </w:r>
    </w:p>
    <w:p>
      <w:pPr>
        <w:pStyle w:val="ListBullet"/>
      </w:pPr>
      <w:r>
        <w:t>Local devices.</w:t>
      </w:r>
    </w:p>
    <w:p>
      <w:pPr>
        <w:pStyle w:val="ListBullet"/>
      </w:pPr>
      <w:r>
        <w:t>Shared drives and collaboration platforms.</w:t>
      </w:r>
    </w:p>
    <w:p>
      <w:pPr>
        <w:pStyle w:val="ListBullet"/>
      </w:pPr>
      <w:r>
        <w:t>Physical filing locations.</w:t>
      </w:r>
    </w:p>
    <w:p>
      <w:pPr>
        <w:pStyle w:val="ListBullet"/>
      </w:pPr>
      <w:r>
        <w:t>Third-party platforms and outsourced service environments.</w:t>
      </w:r>
    </w:p>
    <w:p>
      <w:r>
        <w:t>This policy applies to personal data relating to customers, prospects, employees, workers, job applicants, suppliers, website users, business contacts, visitors, and any other identifiable individual whose personal data is processed by the organisation.</w:t>
      </w:r>
    </w:p>
    <w:p>
      <w:r>
        <w:t>This policy does not override statutory, regulatory, contractual, litigation, tax, employment, or audit retention obligations. Where multiple retention periods apply to the same record, the longest applicable approved retention period shall be used unless deletion is legally required earlier.</w:t>
      </w:r>
    </w:p>
    <w:p>
      <w:pPr>
        <w:pStyle w:val="Heading2"/>
      </w:pPr>
      <w:r>
        <w:t>Policy Statements</w:t>
      </w:r>
    </w:p>
    <w:p>
      <w:pPr>
        <w:pStyle w:val="ListBullet"/>
      </w:pPr>
      <w:r>
        <w:t>The organisation shall retain personal data only for as long as it is necessary for the purpose for which it was collected, used, or otherwise lawfully processed.</w:t>
      </w:r>
    </w:p>
    <w:p>
      <w:pPr>
        <w:pStyle w:val="ListBullet"/>
      </w:pPr>
      <w:r>
        <w:t>The organisation shall define and maintain a documented retention schedule covering all material categories of personal data processed by the organisation.</w:t>
      </w:r>
    </w:p>
    <w:p>
      <w:pPr>
        <w:pStyle w:val="ListBullet"/>
      </w:pPr>
      <w:r>
        <w:t>Each personal data category shall have:</w:t>
      </w:r>
    </w:p>
    <w:p>
      <w:pPr>
        <w:pStyle w:val="ListBullet"/>
      </w:pPr>
      <w:r>
        <w:t>A defined business or legal purpose.</w:t>
      </w:r>
    </w:p>
    <w:p>
      <w:pPr>
        <w:pStyle w:val="ListBullet"/>
      </w:pPr>
      <w:r>
        <w:t>An identified system or record location.</w:t>
      </w:r>
    </w:p>
    <w:p>
      <w:pPr>
        <w:pStyle w:val="ListBullet"/>
      </w:pPr>
      <w:r>
        <w:t>A designated business owner.</w:t>
      </w:r>
    </w:p>
    <w:p>
      <w:pPr>
        <w:pStyle w:val="ListBullet"/>
      </w:pPr>
      <w:r>
        <w:t>A documented retention period.</w:t>
      </w:r>
    </w:p>
    <w:p>
      <w:pPr>
        <w:pStyle w:val="ListBullet"/>
      </w:pPr>
      <w:r>
        <w:t>A defined retention trigger.</w:t>
      </w:r>
    </w:p>
    <w:p>
      <w:pPr>
        <w:pStyle w:val="ListBullet"/>
      </w:pPr>
      <w:r>
        <w:t>An approved disposal method.</w:t>
      </w:r>
    </w:p>
    <w:p>
      <w:pPr>
        <w:pStyle w:val="ListBullet"/>
      </w:pPr>
      <w:r>
        <w:t>Any applicable legal, regulatory, contractual, or operational rationale.</w:t>
      </w:r>
    </w:p>
    <w:p>
      <w:pPr>
        <w:pStyle w:val="ListBullet"/>
      </w:pPr>
      <w:r>
        <w:t>Personal data shall not be retained indefinitely unless there is a documented and approved legal or regulatory reason to do so.</w:t>
      </w:r>
    </w:p>
    <w:p>
      <w:pPr>
        <w:pStyle w:val="ListBullet"/>
      </w:pPr>
      <w:r>
        <w:t>Retention periods shall be proportionate to the purpose of processing and shall consider:</w:t>
      </w:r>
    </w:p>
    <w:p>
      <w:pPr>
        <w:pStyle w:val="ListBullet"/>
      </w:pPr>
      <w:r>
        <w:t>The nature and sensitivity of the personal data.</w:t>
      </w:r>
    </w:p>
    <w:p>
      <w:pPr>
        <w:pStyle w:val="ListBullet"/>
      </w:pPr>
      <w:r>
        <w:t>The expectations of the individual.</w:t>
      </w:r>
    </w:p>
    <w:p>
      <w:pPr>
        <w:pStyle w:val="ListBullet"/>
      </w:pPr>
      <w:r>
        <w:t>Legal, regulatory, tax, employment, contractual, or audit requirements.</w:t>
      </w:r>
    </w:p>
    <w:p>
      <w:pPr>
        <w:pStyle w:val="ListBullet"/>
      </w:pPr>
      <w:r>
        <w:t>Limitation periods for legal claims.</w:t>
      </w:r>
    </w:p>
    <w:p>
      <w:pPr>
        <w:pStyle w:val="ListBullet"/>
      </w:pPr>
      <w:r>
        <w:t>Operational need.</w:t>
      </w:r>
    </w:p>
    <w:p>
      <w:pPr>
        <w:pStyle w:val="ListBullet"/>
      </w:pPr>
      <w:r>
        <w:t>Security and privacy risks associated with continued retention.</w:t>
      </w:r>
    </w:p>
    <w:p>
      <w:pPr>
        <w:pStyle w:val="ListBullet"/>
      </w:pPr>
      <w:r>
        <w:t>Whether anonymisation can meet the business need instead of continued retention of identifiable data.</w:t>
      </w:r>
    </w:p>
    <w:p>
      <w:pPr>
        <w:pStyle w:val="ListBullet"/>
      </w:pPr>
      <w:r>
        <w:t>Personal data shall be deleted, destroyed, anonymised, or otherwise rendered irreversibly non-identifiable when the applicable retention period expires, unless a valid retention hold applies.</w:t>
      </w:r>
    </w:p>
    <w:p>
      <w:pPr>
        <w:pStyle w:val="ListBullet"/>
      </w:pPr>
      <w:r>
        <w:t>Business owners shall not create local, shadow, duplicate, or unmanaged repositories of personal data that bypass approved retention controls.</w:t>
      </w:r>
    </w:p>
    <w:p>
      <w:pPr>
        <w:pStyle w:val="ListBullet"/>
      </w:pPr>
      <w:r>
        <w:t>Personal data stored in emails, shared drives, collaboration tools, local folders, spreadsheets, messaging platforms, and exported reports shall be subject to the same retention requirements as data stored in core business applications.</w:t>
      </w:r>
    </w:p>
    <w:p>
      <w:pPr>
        <w:pStyle w:val="ListBullet"/>
      </w:pPr>
      <w:r>
        <w:t>Employees shall store personal data only in approved systems and repositories that support appropriate access control, retention management, backup, auditability, and secure disposal.</w:t>
      </w:r>
    </w:p>
    <w:p>
      <w:pPr>
        <w:pStyle w:val="ListBullet"/>
      </w:pPr>
      <w:r>
        <w:t>Personal data shall not be retained merely because storage is inexpensive, deletion is inconvenient, or the data might be useful in the future without a documented and lawful purpose.</w:t>
      </w:r>
    </w:p>
    <w:p>
      <w:pPr>
        <w:pStyle w:val="ListBullet"/>
      </w:pPr>
      <w:r>
        <w:t>The organisation shall apply the following standard retention schedule unless a more specific approved schedule, legal requirement, contractual obligation, or retention hold applies.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Data Category</w:t>
            </w:r>
          </w:p>
        </w:tc>
        <w:tc>
          <w:tcPr>
            <w:tcW w:type="dxa" w:w="1440"/>
          </w:tcPr>
          <w:p>
            <w:r>
              <w:t>Examples</w:t>
            </w:r>
          </w:p>
        </w:tc>
        <w:tc>
          <w:tcPr>
            <w:tcW w:type="dxa" w:w="1440"/>
          </w:tcPr>
          <w:p>
            <w:r>
              <w:t>Retention Trigger</w:t>
            </w:r>
          </w:p>
        </w:tc>
        <w:tc>
          <w:tcPr>
            <w:tcW w:type="dxa" w:w="1440"/>
          </w:tcPr>
          <w:p>
            <w:r>
              <w:t>Standard Retention Period</w:t>
            </w:r>
          </w:p>
        </w:tc>
        <w:tc>
          <w:tcPr>
            <w:tcW w:type="dxa" w:w="1440"/>
          </w:tcPr>
          <w:p>
            <w:r>
              <w:t>Disposal Method</w:t>
            </w:r>
          </w:p>
        </w:tc>
        <w:tc>
          <w:tcPr>
            <w:tcW w:type="dxa" w:w="1440"/>
          </w:tcPr>
          <w:p>
            <w:r>
              <w:t>Business Owner</w:t>
            </w:r>
          </w:p>
        </w:tc>
      </w:tr>
      <w:tr>
        <w:tc>
          <w:tcPr>
            <w:tcW w:type="dxa" w:w="1440"/>
          </w:tcPr>
          <w:p>
            <w:r>
              <w:t>Customer account records</w:t>
            </w:r>
          </w:p>
        </w:tc>
        <w:tc>
          <w:tcPr>
            <w:tcW w:type="dxa" w:w="1440"/>
          </w:tcPr>
          <w:p>
            <w:r>
              <w:t>Customer profile, contact details, account preferences, service history</w:t>
            </w:r>
          </w:p>
        </w:tc>
        <w:tc>
          <w:tcPr>
            <w:tcW w:type="dxa" w:w="1440"/>
          </w:tcPr>
          <w:p>
            <w:r>
              <w:t>Account closure or end of customer relationship</w:t>
            </w:r>
          </w:p>
        </w:tc>
        <w:tc>
          <w:tcPr>
            <w:tcW w:type="dxa" w:w="1440"/>
          </w:tcPr>
          <w:p>
            <w:r>
              <w:t>[6 years]</w:t>
            </w:r>
          </w:p>
        </w:tc>
        <w:tc>
          <w:tcPr>
            <w:tcW w:type="dxa" w:w="1440"/>
          </w:tcPr>
          <w:p>
            <w:r>
              <w:t>Secure deletion or anonymisation</w:t>
            </w:r>
          </w:p>
        </w:tc>
        <w:tc>
          <w:tcPr>
            <w:tcW w:type="dxa" w:w="1440"/>
          </w:tcPr>
          <w:p>
            <w:r>
              <w:t>Customer Operations</w:t>
            </w:r>
          </w:p>
        </w:tc>
      </w:tr>
      <w:tr>
        <w:tc>
          <w:tcPr>
            <w:tcW w:type="dxa" w:w="1440"/>
          </w:tcPr>
          <w:p>
            <w:r>
              <w:t>Customer transaction records</w:t>
            </w:r>
          </w:p>
        </w:tc>
        <w:tc>
          <w:tcPr>
            <w:tcW w:type="dxa" w:w="1440"/>
          </w:tcPr>
          <w:p>
            <w:r>
              <w:t>Orders, invoices, payment confirmations, delivery records</w:t>
            </w:r>
          </w:p>
        </w:tc>
        <w:tc>
          <w:tcPr>
            <w:tcW w:type="dxa" w:w="1440"/>
          </w:tcPr>
          <w:p>
            <w:r>
              <w:t>End of financial year in which transaction occurred</w:t>
            </w:r>
          </w:p>
        </w:tc>
        <w:tc>
          <w:tcPr>
            <w:tcW w:type="dxa" w:w="1440"/>
          </w:tcPr>
          <w:p>
            <w:r>
              <w:t>[7 years]</w:t>
            </w:r>
          </w:p>
        </w:tc>
        <w:tc>
          <w:tcPr>
            <w:tcW w:type="dxa" w:w="1440"/>
          </w:tcPr>
          <w:p>
            <w:r>
              <w:t>Secure deletion or restricted archive deletion</w:t>
            </w:r>
          </w:p>
        </w:tc>
        <w:tc>
          <w:tcPr>
            <w:tcW w:type="dxa" w:w="1440"/>
          </w:tcPr>
          <w:p>
            <w:r>
              <w:t>Finance</w:t>
            </w:r>
          </w:p>
        </w:tc>
      </w:tr>
      <w:tr>
        <w:tc>
          <w:tcPr>
            <w:tcW w:type="dxa" w:w="1440"/>
          </w:tcPr>
          <w:p>
            <w:r>
              <w:t>Customer support records</w:t>
            </w:r>
          </w:p>
        </w:tc>
        <w:tc>
          <w:tcPr>
            <w:tcW w:type="dxa" w:w="1440"/>
          </w:tcPr>
          <w:p>
            <w:r>
              <w:t>Support tickets, complaint history, call notes, chat transcripts</w:t>
            </w:r>
          </w:p>
        </w:tc>
        <w:tc>
          <w:tcPr>
            <w:tcW w:type="dxa" w:w="1440"/>
          </w:tcPr>
          <w:p>
            <w:r>
              <w:t>Closure of support case</w:t>
            </w:r>
          </w:p>
        </w:tc>
        <w:tc>
          <w:tcPr>
            <w:tcW w:type="dxa" w:w="1440"/>
          </w:tcPr>
          <w:p>
            <w:r>
              <w:t>[3 years]</w:t>
            </w:r>
          </w:p>
        </w:tc>
        <w:tc>
          <w:tcPr>
            <w:tcW w:type="dxa" w:w="1440"/>
          </w:tcPr>
          <w:p>
            <w:r>
              <w:t>Secure deletion or anonymisation</w:t>
            </w:r>
          </w:p>
        </w:tc>
        <w:tc>
          <w:tcPr>
            <w:tcW w:type="dxa" w:w="1440"/>
          </w:tcPr>
          <w:p>
            <w:r>
              <w:t>Customer Support</w:t>
            </w:r>
          </w:p>
        </w:tc>
      </w:tr>
      <w:tr>
        <w:tc>
          <w:tcPr>
            <w:tcW w:type="dxa" w:w="1440"/>
          </w:tcPr>
          <w:p>
            <w:r>
              <w:t>Marketing prospect records</w:t>
            </w:r>
          </w:p>
        </w:tc>
        <w:tc>
          <w:tcPr>
            <w:tcW w:type="dxa" w:w="1440"/>
          </w:tcPr>
          <w:p>
            <w:r>
              <w:t>Leads, campaign responses, event registrations, newsletter sign-ups</w:t>
            </w:r>
          </w:p>
        </w:tc>
        <w:tc>
          <w:tcPr>
            <w:tcW w:type="dxa" w:w="1440"/>
          </w:tcPr>
          <w:p>
            <w:r>
              <w:t>Last meaningful interaction or consent withdrawal</w:t>
            </w:r>
          </w:p>
        </w:tc>
        <w:tc>
          <w:tcPr>
            <w:tcW w:type="dxa" w:w="1440"/>
          </w:tcPr>
          <w:p>
            <w:r>
              <w:t>[24 months]</w:t>
            </w:r>
          </w:p>
        </w:tc>
        <w:tc>
          <w:tcPr>
            <w:tcW w:type="dxa" w:w="1440"/>
          </w:tcPr>
          <w:p>
            <w:r>
              <w:t>Secure deletion or suppression where required</w:t>
            </w:r>
          </w:p>
        </w:tc>
        <w:tc>
          <w:tcPr>
            <w:tcW w:type="dxa" w:w="1440"/>
          </w:tcPr>
          <w:p>
            <w:r>
              <w:t>Marketing</w:t>
            </w:r>
          </w:p>
        </w:tc>
      </w:tr>
      <w:tr>
        <w:tc>
          <w:tcPr>
            <w:tcW w:type="dxa" w:w="1440"/>
          </w:tcPr>
          <w:p>
            <w:r>
              <w:t>Marketing suppression records</w:t>
            </w:r>
          </w:p>
        </w:tc>
        <w:tc>
          <w:tcPr>
            <w:tcW w:type="dxa" w:w="1440"/>
          </w:tcPr>
          <w:p>
            <w:r>
              <w:t>Opt-out lists, unsubscribe records, do-not-contact preferences</w:t>
            </w:r>
          </w:p>
        </w:tc>
        <w:tc>
          <w:tcPr>
            <w:tcW w:type="dxa" w:w="1440"/>
          </w:tcPr>
          <w:p>
            <w:r>
              <w:t>Date of opt-out or objection</w:t>
            </w:r>
          </w:p>
        </w:tc>
        <w:tc>
          <w:tcPr>
            <w:tcW w:type="dxa" w:w="1440"/>
          </w:tcPr>
          <w:p>
            <w:r>
              <w:t>As long as needed to honour the preference</w:t>
            </w:r>
          </w:p>
        </w:tc>
        <w:tc>
          <w:tcPr>
            <w:tcW w:type="dxa" w:w="1440"/>
          </w:tcPr>
          <w:p>
            <w:r>
              <w:t>Retain minimal suppression record</w:t>
            </w:r>
          </w:p>
        </w:tc>
        <w:tc>
          <w:tcPr>
            <w:tcW w:type="dxa" w:w="1440"/>
          </w:tcPr>
          <w:p>
            <w:r>
              <w:t>Marketing</w:t>
            </w:r>
          </w:p>
        </w:tc>
      </w:tr>
      <w:tr>
        <w:tc>
          <w:tcPr>
            <w:tcW w:type="dxa" w:w="1440"/>
          </w:tcPr>
          <w:p>
            <w:r>
              <w:t>Website and cookie consent records</w:t>
            </w:r>
          </w:p>
        </w:tc>
        <w:tc>
          <w:tcPr>
            <w:tcW w:type="dxa" w:w="1440"/>
          </w:tcPr>
          <w:p>
            <w:r>
              <w:t>Cookie consent logs, preference settings, consent timestamp</w:t>
            </w:r>
          </w:p>
        </w:tc>
        <w:tc>
          <w:tcPr>
            <w:tcW w:type="dxa" w:w="1440"/>
          </w:tcPr>
          <w:p>
            <w:r>
              <w:t>Consent update or expiry</w:t>
            </w:r>
          </w:p>
        </w:tc>
        <w:tc>
          <w:tcPr>
            <w:tcW w:type="dxa" w:w="1440"/>
          </w:tcPr>
          <w:p>
            <w:r>
              <w:t>[13 months]</w:t>
            </w:r>
          </w:p>
        </w:tc>
        <w:tc>
          <w:tcPr>
            <w:tcW w:type="dxa" w:w="1440"/>
          </w:tcPr>
          <w:p>
            <w:r>
              <w:t>Secure deletion</w:t>
            </w:r>
          </w:p>
        </w:tc>
        <w:tc>
          <w:tcPr>
            <w:tcW w:type="dxa" w:w="1440"/>
          </w:tcPr>
          <w:p>
            <w:r>
              <w:t>Digital / Marketing</w:t>
            </w:r>
          </w:p>
        </w:tc>
      </w:tr>
      <w:tr>
        <w:tc>
          <w:tcPr>
            <w:tcW w:type="dxa" w:w="1440"/>
          </w:tcPr>
          <w:p>
            <w:r>
              <w:t>Recruitment records for unsuccessful applicants</w:t>
            </w:r>
          </w:p>
        </w:tc>
        <w:tc>
          <w:tcPr>
            <w:tcW w:type="dxa" w:w="1440"/>
          </w:tcPr>
          <w:p>
            <w:r>
              <w:t>CVs, application forms, interview notes, assessment results</w:t>
            </w:r>
          </w:p>
        </w:tc>
        <w:tc>
          <w:tcPr>
            <w:tcW w:type="dxa" w:w="1440"/>
          </w:tcPr>
          <w:p>
            <w:r>
              <w:t>Completion of recruitment process</w:t>
            </w:r>
          </w:p>
        </w:tc>
        <w:tc>
          <w:tcPr>
            <w:tcW w:type="dxa" w:w="1440"/>
          </w:tcPr>
          <w:p>
            <w:r>
              <w:t>[12 months]</w:t>
            </w:r>
          </w:p>
        </w:tc>
        <w:tc>
          <w:tcPr>
            <w:tcW w:type="dxa" w:w="1440"/>
          </w:tcPr>
          <w:p>
            <w:r>
              <w:t>Secure deletion or confidential shredding</w:t>
            </w:r>
          </w:p>
        </w:tc>
        <w:tc>
          <w:tcPr>
            <w:tcW w:type="dxa" w:w="1440"/>
          </w:tcPr>
          <w:p>
            <w:r>
              <w:t>Human Resources</w:t>
            </w:r>
          </w:p>
        </w:tc>
      </w:tr>
      <w:tr>
        <w:tc>
          <w:tcPr>
            <w:tcW w:type="dxa" w:w="1440"/>
          </w:tcPr>
          <w:p>
            <w:r>
              <w:t>Recruitment records for successful applicants</w:t>
            </w:r>
          </w:p>
        </w:tc>
        <w:tc>
          <w:tcPr>
            <w:tcW w:type="dxa" w:w="1440"/>
          </w:tcPr>
          <w:p>
            <w:r>
              <w:t>CVs, employment checks, offer letters, onboarding forms</w:t>
            </w:r>
          </w:p>
        </w:tc>
        <w:tc>
          <w:tcPr>
            <w:tcW w:type="dxa" w:w="1440"/>
          </w:tcPr>
          <w:p>
            <w:r>
              <w:t>Start of employment</w:t>
            </w:r>
          </w:p>
        </w:tc>
        <w:tc>
          <w:tcPr>
            <w:tcW w:type="dxa" w:w="1440"/>
          </w:tcPr>
          <w:p>
            <w:r>
              <w:t>Transfer to employee file and retain under employee retention period</w:t>
            </w:r>
          </w:p>
        </w:tc>
        <w:tc>
          <w:tcPr>
            <w:tcW w:type="dxa" w:w="1440"/>
          </w:tcPr>
          <w:p>
            <w:r>
              <w:t>Secure deletion of duplicates</w:t>
            </w:r>
          </w:p>
        </w:tc>
        <w:tc>
          <w:tcPr>
            <w:tcW w:type="dxa" w:w="1440"/>
          </w:tcPr>
          <w:p>
            <w:r>
              <w:t>Human Resources</w:t>
            </w:r>
          </w:p>
        </w:tc>
      </w:tr>
      <w:tr>
        <w:tc>
          <w:tcPr>
            <w:tcW w:type="dxa" w:w="1440"/>
          </w:tcPr>
          <w:p>
            <w:r>
              <w:t>Employee personnel records</w:t>
            </w:r>
          </w:p>
        </w:tc>
        <w:tc>
          <w:tcPr>
            <w:tcW w:type="dxa" w:w="1440"/>
          </w:tcPr>
          <w:p>
            <w:r>
              <w:t>Employment contract, role history, performance records, disciplinary records, training records</w:t>
            </w:r>
          </w:p>
        </w:tc>
        <w:tc>
          <w:tcPr>
            <w:tcW w:type="dxa" w:w="1440"/>
          </w:tcPr>
          <w:p>
            <w:r>
              <w:t>End of employment</w:t>
            </w:r>
          </w:p>
        </w:tc>
        <w:tc>
          <w:tcPr>
            <w:tcW w:type="dxa" w:w="1440"/>
          </w:tcPr>
          <w:p>
            <w:r>
              <w:t>[6 years]</w:t>
            </w:r>
          </w:p>
        </w:tc>
        <w:tc>
          <w:tcPr>
            <w:tcW w:type="dxa" w:w="1440"/>
          </w:tcPr>
          <w:p>
            <w:r>
              <w:t>Secure deletion or confidential shredding</w:t>
            </w:r>
          </w:p>
        </w:tc>
        <w:tc>
          <w:tcPr>
            <w:tcW w:type="dxa" w:w="1440"/>
          </w:tcPr>
          <w:p>
            <w:r>
              <w:t>Human Resources</w:t>
            </w:r>
          </w:p>
        </w:tc>
      </w:tr>
      <w:tr>
        <w:tc>
          <w:tcPr>
            <w:tcW w:type="dxa" w:w="1440"/>
          </w:tcPr>
          <w:p>
            <w:r>
              <w:t>Payroll and tax records</w:t>
            </w:r>
          </w:p>
        </w:tc>
        <w:tc>
          <w:tcPr>
            <w:tcW w:type="dxa" w:w="1440"/>
          </w:tcPr>
          <w:p>
            <w:r>
              <w:t>Salary records, tax information, pension contributions, benefits records</w:t>
            </w:r>
          </w:p>
        </w:tc>
        <w:tc>
          <w:tcPr>
            <w:tcW w:type="dxa" w:w="1440"/>
          </w:tcPr>
          <w:p>
            <w:r>
              <w:t>End of financial year</w:t>
            </w:r>
          </w:p>
        </w:tc>
        <w:tc>
          <w:tcPr>
            <w:tcW w:type="dxa" w:w="1440"/>
          </w:tcPr>
          <w:p>
            <w:r>
              <w:t>[7 years]</w:t>
            </w:r>
          </w:p>
        </w:tc>
        <w:tc>
          <w:tcPr>
            <w:tcW w:type="dxa" w:w="1440"/>
          </w:tcPr>
          <w:p>
            <w:r>
              <w:t>Secure deletion or confidential shredding</w:t>
            </w:r>
          </w:p>
        </w:tc>
        <w:tc>
          <w:tcPr>
            <w:tcW w:type="dxa" w:w="1440"/>
          </w:tcPr>
          <w:p>
            <w:r>
              <w:t>Finance / HR</w:t>
            </w:r>
          </w:p>
        </w:tc>
      </w:tr>
      <w:tr>
        <w:tc>
          <w:tcPr>
            <w:tcW w:type="dxa" w:w="1440"/>
          </w:tcPr>
          <w:p>
            <w:r>
              <w:t>Working time, absence, and leave records</w:t>
            </w:r>
          </w:p>
        </w:tc>
        <w:tc>
          <w:tcPr>
            <w:tcW w:type="dxa" w:w="1440"/>
          </w:tcPr>
          <w:p>
            <w:r>
              <w:t>Timesheets, sickness absence, holiday records, statutory leave records</w:t>
            </w:r>
          </w:p>
        </w:tc>
        <w:tc>
          <w:tcPr>
            <w:tcW w:type="dxa" w:w="1440"/>
          </w:tcPr>
          <w:p>
            <w:r>
              <w:t>End of employment or end of relevant leave year</w:t>
            </w:r>
          </w:p>
        </w:tc>
        <w:tc>
          <w:tcPr>
            <w:tcW w:type="dxa" w:w="1440"/>
          </w:tcPr>
          <w:p>
            <w:r>
              <w:t>[6 years]</w:t>
            </w:r>
          </w:p>
        </w:tc>
        <w:tc>
          <w:tcPr>
            <w:tcW w:type="dxa" w:w="1440"/>
          </w:tcPr>
          <w:p>
            <w:r>
              <w:t>Secure deletion</w:t>
            </w:r>
          </w:p>
        </w:tc>
        <w:tc>
          <w:tcPr>
            <w:tcW w:type="dxa" w:w="1440"/>
          </w:tcPr>
          <w:p>
            <w:r>
              <w:t>Human Resources</w:t>
            </w:r>
          </w:p>
        </w:tc>
      </w:tr>
      <w:tr>
        <w:tc>
          <w:tcPr>
            <w:tcW w:type="dxa" w:w="1440"/>
          </w:tcPr>
          <w:p>
            <w:r>
              <w:t>Health and occupational safety records</w:t>
            </w:r>
          </w:p>
        </w:tc>
        <w:tc>
          <w:tcPr>
            <w:tcW w:type="dxa" w:w="1440"/>
          </w:tcPr>
          <w:p>
            <w:r>
              <w:t>Workplace incident reports, health assessments, reasonable adjustment records</w:t>
            </w:r>
          </w:p>
        </w:tc>
        <w:tc>
          <w:tcPr>
            <w:tcW w:type="dxa" w:w="1440"/>
          </w:tcPr>
          <w:p>
            <w:r>
              <w:t>End of employment or incident closure</w:t>
            </w:r>
          </w:p>
        </w:tc>
        <w:tc>
          <w:tcPr>
            <w:tcW w:type="dxa" w:w="1440"/>
          </w:tcPr>
          <w:p>
            <w:r>
              <w:t>[6 years], or longer where required for health and safety claims</w:t>
            </w:r>
          </w:p>
        </w:tc>
        <w:tc>
          <w:tcPr>
            <w:tcW w:type="dxa" w:w="1440"/>
          </w:tcPr>
          <w:p>
            <w:r>
              <w:t>Secure deletion or confidential shredding</w:t>
            </w:r>
          </w:p>
        </w:tc>
        <w:tc>
          <w:tcPr>
            <w:tcW w:type="dxa" w:w="1440"/>
          </w:tcPr>
          <w:p>
            <w:r>
              <w:t>HR / Health &amp; Safety</w:t>
            </w:r>
          </w:p>
        </w:tc>
      </w:tr>
      <w:tr>
        <w:tc>
          <w:tcPr>
            <w:tcW w:type="dxa" w:w="1440"/>
          </w:tcPr>
          <w:p>
            <w:r>
              <w:t>Supplier and vendor contact records</w:t>
            </w:r>
          </w:p>
        </w:tc>
        <w:tc>
          <w:tcPr>
            <w:tcW w:type="dxa" w:w="1440"/>
          </w:tcPr>
          <w:p>
            <w:r>
              <w:t>Supplier contacts, contract managers, account representatives</w:t>
            </w:r>
          </w:p>
        </w:tc>
        <w:tc>
          <w:tcPr>
            <w:tcW w:type="dxa" w:w="1440"/>
          </w:tcPr>
          <w:p>
            <w:r>
              <w:t>End of supplier relationship</w:t>
            </w:r>
          </w:p>
        </w:tc>
        <w:tc>
          <w:tcPr>
            <w:tcW w:type="dxa" w:w="1440"/>
          </w:tcPr>
          <w:p>
            <w:r>
              <w:t>[6 years]</w:t>
            </w:r>
          </w:p>
        </w:tc>
        <w:tc>
          <w:tcPr>
            <w:tcW w:type="dxa" w:w="1440"/>
          </w:tcPr>
          <w:p>
            <w:r>
              <w:t>Secure deletion</w:t>
            </w:r>
          </w:p>
        </w:tc>
        <w:tc>
          <w:tcPr>
            <w:tcW w:type="dxa" w:w="1440"/>
          </w:tcPr>
          <w:p>
            <w:r>
              <w:t>Procurement</w:t>
            </w:r>
          </w:p>
        </w:tc>
      </w:tr>
      <w:tr>
        <w:tc>
          <w:tcPr>
            <w:tcW w:type="dxa" w:w="1440"/>
          </w:tcPr>
          <w:p>
            <w:r>
              <w:t>Supplier due diligence records</w:t>
            </w:r>
          </w:p>
        </w:tc>
        <w:tc>
          <w:tcPr>
            <w:tcW w:type="dxa" w:w="1440"/>
          </w:tcPr>
          <w:p>
            <w:r>
              <w:t>Vendor assessments, security questionnaires, insurance records, compliance checks</w:t>
            </w:r>
          </w:p>
        </w:tc>
        <w:tc>
          <w:tcPr>
            <w:tcW w:type="dxa" w:w="1440"/>
          </w:tcPr>
          <w:p>
            <w:r>
              <w:t>End of supplier relationship</w:t>
            </w:r>
          </w:p>
        </w:tc>
        <w:tc>
          <w:tcPr>
            <w:tcW w:type="dxa" w:w="1440"/>
          </w:tcPr>
          <w:p>
            <w:r>
              <w:t>[6 years]</w:t>
            </w:r>
          </w:p>
        </w:tc>
        <w:tc>
          <w:tcPr>
            <w:tcW w:type="dxa" w:w="1440"/>
          </w:tcPr>
          <w:p>
            <w:r>
              <w:t>Secure deletion</w:t>
            </w:r>
          </w:p>
        </w:tc>
        <w:tc>
          <w:tcPr>
            <w:tcW w:type="dxa" w:w="1440"/>
          </w:tcPr>
          <w:p>
            <w:r>
              <w:t>Procurement / Information Security</w:t>
            </w:r>
          </w:p>
        </w:tc>
      </w:tr>
      <w:tr>
        <w:tc>
          <w:tcPr>
            <w:tcW w:type="dxa" w:w="1440"/>
          </w:tcPr>
          <w:p>
            <w:r>
              <w:t>Contracts and legal agreements</w:t>
            </w:r>
          </w:p>
        </w:tc>
        <w:tc>
          <w:tcPr>
            <w:tcW w:type="dxa" w:w="1440"/>
          </w:tcPr>
          <w:p>
            <w:r>
              <w:t>Customer, supplier, partner, employment, and confidentiality agreements</w:t>
            </w:r>
          </w:p>
        </w:tc>
        <w:tc>
          <w:tcPr>
            <w:tcW w:type="dxa" w:w="1440"/>
          </w:tcPr>
          <w:p>
            <w:r>
              <w:t>Contract expiry or termination</w:t>
            </w:r>
          </w:p>
        </w:tc>
        <w:tc>
          <w:tcPr>
            <w:tcW w:type="dxa" w:w="1440"/>
          </w:tcPr>
          <w:p>
            <w:r>
              <w:t>[6 years]</w:t>
            </w:r>
          </w:p>
        </w:tc>
        <w:tc>
          <w:tcPr>
            <w:tcW w:type="dxa" w:w="1440"/>
          </w:tcPr>
          <w:p>
            <w:r>
              <w:t>Secure deletion or confidential shredding</w:t>
            </w:r>
          </w:p>
        </w:tc>
        <w:tc>
          <w:tcPr>
            <w:tcW w:type="dxa" w:w="1440"/>
          </w:tcPr>
          <w:p>
            <w:r>
              <w:t>Legal</w:t>
            </w:r>
          </w:p>
        </w:tc>
      </w:tr>
      <w:tr>
        <w:tc>
          <w:tcPr>
            <w:tcW w:type="dxa" w:w="1440"/>
          </w:tcPr>
          <w:p>
            <w:r>
              <w:t>Legal dispute and claims records</w:t>
            </w:r>
          </w:p>
        </w:tc>
        <w:tc>
          <w:tcPr>
            <w:tcW w:type="dxa" w:w="1440"/>
          </w:tcPr>
          <w:p>
            <w:r>
              <w:t>Correspondence, evidence, settlement records, legal advice</w:t>
            </w:r>
          </w:p>
        </w:tc>
        <w:tc>
          <w:tcPr>
            <w:tcW w:type="dxa" w:w="1440"/>
          </w:tcPr>
          <w:p>
            <w:r>
              <w:t>Final resolution of matter</w:t>
            </w:r>
          </w:p>
        </w:tc>
        <w:tc>
          <w:tcPr>
            <w:tcW w:type="dxa" w:w="1440"/>
          </w:tcPr>
          <w:p>
            <w:r>
              <w:t>[6 years] or as directed by Legal</w:t>
            </w:r>
          </w:p>
        </w:tc>
        <w:tc>
          <w:tcPr>
            <w:tcW w:type="dxa" w:w="1440"/>
          </w:tcPr>
          <w:p>
            <w:r>
              <w:t>Secure deletion with Legal approval</w:t>
            </w:r>
          </w:p>
        </w:tc>
        <w:tc>
          <w:tcPr>
            <w:tcW w:type="dxa" w:w="1440"/>
          </w:tcPr>
          <w:p>
            <w:r>
              <w:t>Legal</w:t>
            </w:r>
          </w:p>
        </w:tc>
      </w:tr>
      <w:tr>
        <w:tc>
          <w:tcPr>
            <w:tcW w:type="dxa" w:w="1440"/>
          </w:tcPr>
          <w:p>
            <w:r>
              <w:t>Data protection request records</w:t>
            </w:r>
          </w:p>
        </w:tc>
        <w:tc>
          <w:tcPr>
            <w:tcW w:type="dxa" w:w="1440"/>
          </w:tcPr>
          <w:p>
            <w:r>
              <w:t>Access, deletion, correction, objection, portability, restriction, and consent records</w:t>
            </w:r>
          </w:p>
        </w:tc>
        <w:tc>
          <w:tcPr>
            <w:tcW w:type="dxa" w:w="1440"/>
          </w:tcPr>
          <w:p>
            <w:r>
              <w:t>Closure of request</w:t>
            </w:r>
          </w:p>
        </w:tc>
        <w:tc>
          <w:tcPr>
            <w:tcW w:type="dxa" w:w="1440"/>
          </w:tcPr>
          <w:p>
            <w:r>
              <w:t>[3 years]</w:t>
            </w:r>
          </w:p>
        </w:tc>
        <w:tc>
          <w:tcPr>
            <w:tcW w:type="dxa" w:w="1440"/>
          </w:tcPr>
          <w:p>
            <w:r>
              <w:t>Secure deletion</w:t>
            </w:r>
          </w:p>
        </w:tc>
        <w:tc>
          <w:tcPr>
            <w:tcW w:type="dxa" w:w="1440"/>
          </w:tcPr>
          <w:p>
            <w:r>
              <w:t>Data Protection Officer</w:t>
            </w:r>
          </w:p>
        </w:tc>
      </w:tr>
      <w:tr>
        <w:tc>
          <w:tcPr>
            <w:tcW w:type="dxa" w:w="1440"/>
          </w:tcPr>
          <w:p>
            <w:r>
              <w:t>Data breach and incident records</w:t>
            </w:r>
          </w:p>
        </w:tc>
        <w:tc>
          <w:tcPr>
            <w:tcW w:type="dxa" w:w="1440"/>
          </w:tcPr>
          <w:p>
            <w:r>
              <w:t>Breach assessments, investigation notes, notification records, remediation evidence</w:t>
            </w:r>
          </w:p>
        </w:tc>
        <w:tc>
          <w:tcPr>
            <w:tcW w:type="dxa" w:w="1440"/>
          </w:tcPr>
          <w:p>
            <w:r>
              <w:t>Closure of incident</w:t>
            </w:r>
          </w:p>
        </w:tc>
        <w:tc>
          <w:tcPr>
            <w:tcW w:type="dxa" w:w="1440"/>
          </w:tcPr>
          <w:p>
            <w:r>
              <w:t>[6 years]</w:t>
            </w:r>
          </w:p>
        </w:tc>
        <w:tc>
          <w:tcPr>
            <w:tcW w:type="dxa" w:w="1440"/>
          </w:tcPr>
          <w:p>
            <w:r>
              <w:t>Secure deletion or restricted archive deletion</w:t>
            </w:r>
          </w:p>
        </w:tc>
        <w:tc>
          <w:tcPr>
            <w:tcW w:type="dxa" w:w="1440"/>
          </w:tcPr>
          <w:p>
            <w:r>
              <w:t>Data Protection Officer / Information Security</w:t>
            </w:r>
          </w:p>
        </w:tc>
      </w:tr>
      <w:tr>
        <w:tc>
          <w:tcPr>
            <w:tcW w:type="dxa" w:w="1440"/>
          </w:tcPr>
          <w:p>
            <w:r>
              <w:t>CCTV and physical security footage</w:t>
            </w:r>
          </w:p>
        </w:tc>
        <w:tc>
          <w:tcPr>
            <w:tcW w:type="dxa" w:w="1440"/>
          </w:tcPr>
          <w:p>
            <w:r>
              <w:t>Video footage of premises, access points, restricted areas</w:t>
            </w:r>
          </w:p>
        </w:tc>
        <w:tc>
          <w:tcPr>
            <w:tcW w:type="dxa" w:w="1440"/>
          </w:tcPr>
          <w:p>
            <w:r>
              <w:t>Date of recording</w:t>
            </w:r>
          </w:p>
        </w:tc>
        <w:tc>
          <w:tcPr>
            <w:tcW w:type="dxa" w:w="1440"/>
          </w:tcPr>
          <w:p>
            <w:r>
              <w:t>[30 days] unless required for investigation</w:t>
            </w:r>
          </w:p>
        </w:tc>
        <w:tc>
          <w:tcPr>
            <w:tcW w:type="dxa" w:w="1440"/>
          </w:tcPr>
          <w:p>
            <w:r>
              <w:t>Automatic deletion or secure overwrite</w:t>
            </w:r>
          </w:p>
        </w:tc>
        <w:tc>
          <w:tcPr>
            <w:tcW w:type="dxa" w:w="1440"/>
          </w:tcPr>
          <w:p>
            <w:r>
              <w:t>Facilities / Security</w:t>
            </w:r>
          </w:p>
        </w:tc>
      </w:tr>
      <w:tr>
        <w:tc>
          <w:tcPr>
            <w:tcW w:type="dxa" w:w="1440"/>
          </w:tcPr>
          <w:p>
            <w:r>
              <w:t>Visitor records</w:t>
            </w:r>
          </w:p>
        </w:tc>
        <w:tc>
          <w:tcPr>
            <w:tcW w:type="dxa" w:w="1440"/>
          </w:tcPr>
          <w:p>
            <w:r>
              <w:t>Visitor logs, access badges, sign-in records</w:t>
            </w:r>
          </w:p>
        </w:tc>
        <w:tc>
          <w:tcPr>
            <w:tcW w:type="dxa" w:w="1440"/>
          </w:tcPr>
          <w:p>
            <w:r>
              <w:t>Date of visit</w:t>
            </w:r>
          </w:p>
        </w:tc>
        <w:tc>
          <w:tcPr>
            <w:tcW w:type="dxa" w:w="1440"/>
          </w:tcPr>
          <w:p>
            <w:r>
              <w:t>[12 months]</w:t>
            </w:r>
          </w:p>
        </w:tc>
        <w:tc>
          <w:tcPr>
            <w:tcW w:type="dxa" w:w="1440"/>
          </w:tcPr>
          <w:p>
            <w:r>
              <w:t>Secure deletion or confidential shredding</w:t>
            </w:r>
          </w:p>
        </w:tc>
        <w:tc>
          <w:tcPr>
            <w:tcW w:type="dxa" w:w="1440"/>
          </w:tcPr>
          <w:p>
            <w:r>
              <w:t>Facilities</w:t>
            </w:r>
          </w:p>
        </w:tc>
      </w:tr>
      <w:tr>
        <w:tc>
          <w:tcPr>
            <w:tcW w:type="dxa" w:w="1440"/>
          </w:tcPr>
          <w:p>
            <w:r>
              <w:t>Building access records</w:t>
            </w:r>
          </w:p>
        </w:tc>
        <w:tc>
          <w:tcPr>
            <w:tcW w:type="dxa" w:w="1440"/>
          </w:tcPr>
          <w:p>
            <w:r>
              <w:t>Badge access logs, entry and exit logs</w:t>
            </w:r>
          </w:p>
        </w:tc>
        <w:tc>
          <w:tcPr>
            <w:tcW w:type="dxa" w:w="1440"/>
          </w:tcPr>
          <w:p>
            <w:r>
              <w:t>Date of access event</w:t>
            </w:r>
          </w:p>
        </w:tc>
        <w:tc>
          <w:tcPr>
            <w:tcW w:type="dxa" w:w="1440"/>
          </w:tcPr>
          <w:p>
            <w:r>
              <w:t>[12 months]</w:t>
            </w:r>
          </w:p>
        </w:tc>
        <w:tc>
          <w:tcPr>
            <w:tcW w:type="dxa" w:w="1440"/>
          </w:tcPr>
          <w:p>
            <w:r>
              <w:t>Secure deletion</w:t>
            </w:r>
          </w:p>
        </w:tc>
        <w:tc>
          <w:tcPr>
            <w:tcW w:type="dxa" w:w="1440"/>
          </w:tcPr>
          <w:p>
            <w:r>
              <w:t>Facilities / Security</w:t>
            </w:r>
          </w:p>
        </w:tc>
      </w:tr>
      <w:tr>
        <w:tc>
          <w:tcPr>
            <w:tcW w:type="dxa" w:w="1440"/>
          </w:tcPr>
          <w:p>
            <w:r>
              <w:t>Authentication and access logs</w:t>
            </w:r>
          </w:p>
        </w:tc>
        <w:tc>
          <w:tcPr>
            <w:tcW w:type="dxa" w:w="1440"/>
          </w:tcPr>
          <w:p>
            <w:r>
              <w:t>User login records, privileged access logs, failed login events</w:t>
            </w:r>
          </w:p>
        </w:tc>
        <w:tc>
          <w:tcPr>
            <w:tcW w:type="dxa" w:w="1440"/>
          </w:tcPr>
          <w:p>
            <w:r>
              <w:t>Date of log event</w:t>
            </w:r>
          </w:p>
        </w:tc>
        <w:tc>
          <w:tcPr>
            <w:tcW w:type="dxa" w:w="1440"/>
          </w:tcPr>
          <w:p>
            <w:r>
              <w:t>[12 months]</w:t>
            </w:r>
          </w:p>
        </w:tc>
        <w:tc>
          <w:tcPr>
            <w:tcW w:type="dxa" w:w="1440"/>
          </w:tcPr>
          <w:p>
            <w:r>
              <w:t>Secure deletion or log rotation</w:t>
            </w:r>
          </w:p>
        </w:tc>
        <w:tc>
          <w:tcPr>
            <w:tcW w:type="dxa" w:w="1440"/>
          </w:tcPr>
          <w:p>
            <w:r>
              <w:t>Information Technology</w:t>
            </w:r>
          </w:p>
        </w:tc>
      </w:tr>
      <w:tr>
        <w:tc>
          <w:tcPr>
            <w:tcW w:type="dxa" w:w="1440"/>
          </w:tcPr>
          <w:p>
            <w:r>
              <w:t>Security monitoring logs</w:t>
            </w:r>
          </w:p>
        </w:tc>
        <w:tc>
          <w:tcPr>
            <w:tcW w:type="dxa" w:w="1440"/>
          </w:tcPr>
          <w:p>
            <w:r>
              <w:t>SIEM events, endpoint alerts, network security logs</w:t>
            </w:r>
          </w:p>
        </w:tc>
        <w:tc>
          <w:tcPr>
            <w:tcW w:type="dxa" w:w="1440"/>
          </w:tcPr>
          <w:p>
            <w:r>
              <w:t>Date of log event</w:t>
            </w:r>
          </w:p>
        </w:tc>
        <w:tc>
          <w:tcPr>
            <w:tcW w:type="dxa" w:w="1440"/>
          </w:tcPr>
          <w:p>
            <w:r>
              <w:t>[12 months]</w:t>
            </w:r>
          </w:p>
        </w:tc>
        <w:tc>
          <w:tcPr>
            <w:tcW w:type="dxa" w:w="1440"/>
          </w:tcPr>
          <w:p>
            <w:r>
              <w:t>Secure deletion or secure log expiry</w:t>
            </w:r>
          </w:p>
        </w:tc>
        <w:tc>
          <w:tcPr>
            <w:tcW w:type="dxa" w:w="1440"/>
          </w:tcPr>
          <w:p>
            <w:r>
              <w:t>Information Security</w:t>
            </w:r>
          </w:p>
        </w:tc>
      </w:tr>
      <w:tr>
        <w:tc>
          <w:tcPr>
            <w:tcW w:type="dxa" w:w="1440"/>
          </w:tcPr>
          <w:p>
            <w:r>
              <w:t>IT service desk records</w:t>
            </w:r>
          </w:p>
        </w:tc>
        <w:tc>
          <w:tcPr>
            <w:tcW w:type="dxa" w:w="1440"/>
          </w:tcPr>
          <w:p>
            <w:r>
              <w:t>Tickets, device assignments, access requests, support history</w:t>
            </w:r>
          </w:p>
        </w:tc>
        <w:tc>
          <w:tcPr>
            <w:tcW w:type="dxa" w:w="1440"/>
          </w:tcPr>
          <w:p>
            <w:r>
              <w:t>Ticket closure</w:t>
            </w:r>
          </w:p>
        </w:tc>
        <w:tc>
          <w:tcPr>
            <w:tcW w:type="dxa" w:w="1440"/>
          </w:tcPr>
          <w:p>
            <w:r>
              <w:t>[3 years]</w:t>
            </w:r>
          </w:p>
        </w:tc>
        <w:tc>
          <w:tcPr>
            <w:tcW w:type="dxa" w:w="1440"/>
          </w:tcPr>
          <w:p>
            <w:r>
              <w:t>Secure deletion</w:t>
            </w:r>
          </w:p>
        </w:tc>
        <w:tc>
          <w:tcPr>
            <w:tcW w:type="dxa" w:w="1440"/>
          </w:tcPr>
          <w:p>
            <w:r>
              <w:t>Information Technology</w:t>
            </w:r>
          </w:p>
        </w:tc>
      </w:tr>
      <w:tr>
        <w:tc>
          <w:tcPr>
            <w:tcW w:type="dxa" w:w="1440"/>
          </w:tcPr>
          <w:p>
            <w:r>
              <w:t>Backup data containing personal data</w:t>
            </w:r>
          </w:p>
        </w:tc>
        <w:tc>
          <w:tcPr>
            <w:tcW w:type="dxa" w:w="1440"/>
          </w:tcPr>
          <w:p>
            <w:r>
              <w:t>System backups, database backups, file backups</w:t>
            </w:r>
          </w:p>
        </w:tc>
        <w:tc>
          <w:tcPr>
            <w:tcW w:type="dxa" w:w="1440"/>
          </w:tcPr>
          <w:p>
            <w:r>
              <w:t>Backup creation date</w:t>
            </w:r>
          </w:p>
        </w:tc>
        <w:tc>
          <w:tcPr>
            <w:tcW w:type="dxa" w:w="1440"/>
          </w:tcPr>
          <w:p>
            <w:r>
              <w:t>[90 days] unless longer approved</w:t>
            </w:r>
          </w:p>
        </w:tc>
        <w:tc>
          <w:tcPr>
            <w:tcW w:type="dxa" w:w="1440"/>
          </w:tcPr>
          <w:p>
            <w:r>
              <w:t>Automatic overwrite or secure backup expiry</w:t>
            </w:r>
          </w:p>
        </w:tc>
        <w:tc>
          <w:tcPr>
            <w:tcW w:type="dxa" w:w="1440"/>
          </w:tcPr>
          <w:p>
            <w:r>
              <w:t>Information Technology</w:t>
            </w:r>
          </w:p>
        </w:tc>
      </w:tr>
      <w:tr>
        <w:tc>
          <w:tcPr>
            <w:tcW w:type="dxa" w:w="1440"/>
          </w:tcPr>
          <w:p>
            <w:r>
              <w:t>Corporate email records</w:t>
            </w:r>
          </w:p>
        </w:tc>
        <w:tc>
          <w:tcPr>
            <w:tcW w:type="dxa" w:w="1440"/>
          </w:tcPr>
          <w:p>
            <w:r>
              <w:t>Business emails containing personal data</w:t>
            </w:r>
          </w:p>
        </w:tc>
        <w:tc>
          <w:tcPr>
            <w:tcW w:type="dxa" w:w="1440"/>
          </w:tcPr>
          <w:p>
            <w:r>
              <w:t>Email creation or receipt</w:t>
            </w:r>
          </w:p>
        </w:tc>
        <w:tc>
          <w:tcPr>
            <w:tcW w:type="dxa" w:w="1440"/>
          </w:tcPr>
          <w:p>
            <w:r>
              <w:t>[7 years] unless deleted earlier under approved rules</w:t>
            </w:r>
          </w:p>
        </w:tc>
        <w:tc>
          <w:tcPr>
            <w:tcW w:type="dxa" w:w="1440"/>
          </w:tcPr>
          <w:p>
            <w:r>
              <w:t>Secure deletion or retention archive expiry</w:t>
            </w:r>
          </w:p>
        </w:tc>
        <w:tc>
          <w:tcPr>
            <w:tcW w:type="dxa" w:w="1440"/>
          </w:tcPr>
          <w:p>
            <w:r>
              <w:t>Information Technology / Business Owners</w:t>
            </w:r>
          </w:p>
        </w:tc>
      </w:tr>
      <w:tr>
        <w:tc>
          <w:tcPr>
            <w:tcW w:type="dxa" w:w="1440"/>
          </w:tcPr>
          <w:p>
            <w:r>
              <w:t>Collaboration platform records</w:t>
            </w:r>
          </w:p>
        </w:tc>
        <w:tc>
          <w:tcPr>
            <w:tcW w:type="dxa" w:w="1440"/>
          </w:tcPr>
          <w:p>
            <w:r>
              <w:t>Chat messages, shared documents, comments, recordings</w:t>
            </w:r>
          </w:p>
        </w:tc>
        <w:tc>
          <w:tcPr>
            <w:tcW w:type="dxa" w:w="1440"/>
          </w:tcPr>
          <w:p>
            <w:r>
              <w:t>Creation date or workspace closure</w:t>
            </w:r>
          </w:p>
        </w:tc>
        <w:tc>
          <w:tcPr>
            <w:tcW w:type="dxa" w:w="1440"/>
          </w:tcPr>
          <w:p>
            <w:r>
              <w:t>[3 years] unless business record retention applies</w:t>
            </w:r>
          </w:p>
        </w:tc>
        <w:tc>
          <w:tcPr>
            <w:tcW w:type="dxa" w:w="1440"/>
          </w:tcPr>
          <w:p>
            <w:r>
              <w:t>Secure deletion</w:t>
            </w:r>
          </w:p>
        </w:tc>
        <w:tc>
          <w:tcPr>
            <w:tcW w:type="dxa" w:w="1440"/>
          </w:tcPr>
          <w:p>
            <w:r>
              <w:t>Information Technology / Business Owners</w:t>
            </w:r>
          </w:p>
        </w:tc>
      </w:tr>
      <w:tr>
        <w:tc>
          <w:tcPr>
            <w:tcW w:type="dxa" w:w="1440"/>
          </w:tcPr>
          <w:p>
            <w:r>
              <w:t>Training and awareness records</w:t>
            </w:r>
          </w:p>
        </w:tc>
        <w:tc>
          <w:tcPr>
            <w:tcW w:type="dxa" w:w="1440"/>
          </w:tcPr>
          <w:p>
            <w:r>
              <w:t>Training completion logs, assessment results, policy acknowledgements</w:t>
            </w:r>
          </w:p>
        </w:tc>
        <w:tc>
          <w:tcPr>
            <w:tcW w:type="dxa" w:w="1440"/>
          </w:tcPr>
          <w:p>
            <w:r>
              <w:t>Completion date or end of employment</w:t>
            </w:r>
          </w:p>
        </w:tc>
        <w:tc>
          <w:tcPr>
            <w:tcW w:type="dxa" w:w="1440"/>
          </w:tcPr>
          <w:p>
            <w:r>
              <w:t>[6 years]</w:t>
            </w:r>
          </w:p>
        </w:tc>
        <w:tc>
          <w:tcPr>
            <w:tcW w:type="dxa" w:w="1440"/>
          </w:tcPr>
          <w:p>
            <w:r>
              <w:t>Secure deletion</w:t>
            </w:r>
          </w:p>
        </w:tc>
        <w:tc>
          <w:tcPr>
            <w:tcW w:type="dxa" w:w="1440"/>
          </w:tcPr>
          <w:p>
            <w:r>
              <w:t>Human Resources / Compliance</w:t>
            </w:r>
          </w:p>
        </w:tc>
      </w:tr>
      <w:tr>
        <w:tc>
          <w:tcPr>
            <w:tcW w:type="dxa" w:w="1440"/>
          </w:tcPr>
          <w:p>
            <w:r>
              <w:t>Audit and compliance records</w:t>
            </w:r>
          </w:p>
        </w:tc>
        <w:tc>
          <w:tcPr>
            <w:tcW w:type="dxa" w:w="1440"/>
          </w:tcPr>
          <w:p>
            <w:r>
              <w:t>Internal audits, control evidence, compliance attestations</w:t>
            </w:r>
          </w:p>
        </w:tc>
        <w:tc>
          <w:tcPr>
            <w:tcW w:type="dxa" w:w="1440"/>
          </w:tcPr>
          <w:p>
            <w:r>
              <w:t>Audit completion date</w:t>
            </w:r>
          </w:p>
        </w:tc>
        <w:tc>
          <w:tcPr>
            <w:tcW w:type="dxa" w:w="1440"/>
          </w:tcPr>
          <w:p>
            <w:r>
              <w:t>[6 years]</w:t>
            </w:r>
          </w:p>
        </w:tc>
        <w:tc>
          <w:tcPr>
            <w:tcW w:type="dxa" w:w="1440"/>
          </w:tcPr>
          <w:p>
            <w:r>
              <w:t>Secure deletion</w:t>
            </w:r>
          </w:p>
        </w:tc>
        <w:tc>
          <w:tcPr>
            <w:tcW w:type="dxa" w:w="1440"/>
          </w:tcPr>
          <w:p>
            <w:r>
              <w:t>Compliance</w:t>
            </w:r>
          </w:p>
        </w:tc>
      </w:tr>
      <w:tr>
        <w:tc>
          <w:tcPr>
            <w:tcW w:type="dxa" w:w="1440"/>
          </w:tcPr>
          <w:p>
            <w:r>
              <w:t>Board and governance records containing personal data</w:t>
            </w:r>
          </w:p>
        </w:tc>
        <w:tc>
          <w:tcPr>
            <w:tcW w:type="dxa" w:w="1440"/>
          </w:tcPr>
          <w:p>
            <w:r>
              <w:t>Meeting packs, minutes, registers, declarations of interest</w:t>
            </w:r>
          </w:p>
        </w:tc>
        <w:tc>
          <w:tcPr>
            <w:tcW w:type="dxa" w:w="1440"/>
          </w:tcPr>
          <w:p>
            <w:r>
              <w:t>Date of record creation</w:t>
            </w:r>
          </w:p>
        </w:tc>
        <w:tc>
          <w:tcPr>
            <w:tcW w:type="dxa" w:w="1440"/>
          </w:tcPr>
          <w:p>
            <w:r>
              <w:t>[10 years] or permanent where approved</w:t>
            </w:r>
          </w:p>
        </w:tc>
        <w:tc>
          <w:tcPr>
            <w:tcW w:type="dxa" w:w="1440"/>
          </w:tcPr>
          <w:p>
            <w:r>
              <w:t>Restricted archive or secure deletion</w:t>
            </w:r>
          </w:p>
        </w:tc>
        <w:tc>
          <w:tcPr>
            <w:tcW w:type="dxa" w:w="1440"/>
          </w:tcPr>
          <w:p>
            <w:r>
              <w:t>Company Secretary / Legal</w:t>
            </w:r>
          </w:p>
        </w:tc>
      </w:tr>
    </w:tbl>
    <w:p>
      <w:pPr>
        <w:pStyle w:val="ListBullet"/>
      </w:pPr>
      <w:r>
        <w:t>Where personal data is anonymised instead of deleted, the anonymisation shall be irreversible in practice and shall remove the organisation’s ability to identify the individual directly or indirectly using reasonably available means.</w:t>
      </w:r>
    </w:p>
    <w:p>
      <w:pPr>
        <w:pStyle w:val="ListBullet"/>
      </w:pPr>
      <w:r>
        <w:t>Pseudonymised data shall remain subject to this policy where re-identification is possible.</w:t>
      </w:r>
    </w:p>
    <w:p>
      <w:pPr>
        <w:pStyle w:val="ListBullet"/>
      </w:pPr>
      <w:r>
        <w:t>The organisation shall maintain an inventory of personal data repositories and shall link each repository to an approved retention category.</w:t>
      </w:r>
    </w:p>
    <w:p>
      <w:pPr>
        <w:pStyle w:val="ListBullet"/>
      </w:pPr>
      <w:r>
        <w:t>New systems, applications, processes, products, or services that process personal data shall not go live until applicable retention requirements have been defined and approved.</w:t>
      </w:r>
    </w:p>
    <w:p>
      <w:pPr>
        <w:pStyle w:val="ListBullet"/>
      </w:pPr>
      <w:r>
        <w:t>Retention requirements shall be incorporated into privacy assessments, procurement reviews, system design, change management, and supplier onboarding activities.</w:t>
      </w:r>
    </w:p>
    <w:p>
      <w:pPr>
        <w:pStyle w:val="ListBullet"/>
      </w:pPr>
      <w:r>
        <w:t>Systems processing personal data shall be configured, where technically feasible, to support automated retention, deletion, archiving, or anonymisation.</w:t>
      </w:r>
    </w:p>
    <w:p>
      <w:pPr>
        <w:pStyle w:val="ListBullet"/>
      </w:pPr>
      <w:r>
        <w:t>Where automated deletion is not technically feasible, the responsible business owner shall operate a documented manual review and deletion process at an approved frequency.</w:t>
      </w:r>
    </w:p>
    <w:p>
      <w:pPr>
        <w:pStyle w:val="ListBullet"/>
      </w:pPr>
      <w:r>
        <w:t>Manual deletion processes shall include evidence of:</w:t>
      </w:r>
    </w:p>
    <w:p>
      <w:pPr>
        <w:pStyle w:val="ListBullet"/>
      </w:pPr>
      <w:r>
        <w:t>Data reviewed.</w:t>
      </w:r>
    </w:p>
    <w:p>
      <w:pPr>
        <w:pStyle w:val="ListBullet"/>
      </w:pPr>
      <w:r>
        <w:t>Applicable retention rule.</w:t>
      </w:r>
    </w:p>
    <w:p>
      <w:pPr>
        <w:pStyle w:val="ListBullet"/>
      </w:pPr>
      <w:r>
        <w:t>Records deleted, anonymised, archived, or retained.</w:t>
      </w:r>
    </w:p>
    <w:p>
      <w:pPr>
        <w:pStyle w:val="ListBullet"/>
      </w:pPr>
      <w:r>
        <w:t>Date of action.</w:t>
      </w:r>
    </w:p>
    <w:p>
      <w:pPr>
        <w:pStyle w:val="ListBullet"/>
      </w:pPr>
      <w:r>
        <w:t>Person performing the action.</w:t>
      </w:r>
    </w:p>
    <w:p>
      <w:pPr>
        <w:pStyle w:val="ListBullet"/>
      </w:pPr>
      <w:r>
        <w:t>Approval where required.</w:t>
      </w:r>
    </w:p>
    <w:p>
      <w:pPr>
        <w:pStyle w:val="ListBullet"/>
      </w:pPr>
      <w:r>
        <w:t>Personal data pending deletion shall be protected against unauthorised access, alteration, loss, disclosure, or inappropriate restoration.</w:t>
      </w:r>
    </w:p>
    <w:p>
      <w:pPr>
        <w:pStyle w:val="ListBullet"/>
      </w:pPr>
      <w:r>
        <w:t>Personal data retained for archival, audit, dispute, or compliance purposes shall be access-restricted and used only for the purpose justifying retention.</w:t>
      </w:r>
    </w:p>
    <w:p>
      <w:pPr>
        <w:pStyle w:val="ListBullet"/>
      </w:pPr>
      <w:r>
        <w:t>Expired records shall not be reused for new purposes, analytics, marketing, profiling, product development, or research unless a lawful basis has been confirmed and the retention schedule has been updated.</w:t>
      </w:r>
    </w:p>
    <w:p>
      <w:pPr>
        <w:pStyle w:val="ListBullet"/>
      </w:pPr>
      <w:r>
        <w:t>The organisation shall use secure disposal methods appropriate to the data type, media, and sensitivity.</w:t>
      </w:r>
    </w:p>
    <w:tbl>
      <w:tblPr>
        <w:tblStyle w:val="TableGrid"/>
        <w:tblW w:type="auto" w:w="0"/>
        <w:tblLook w:firstColumn="1" w:firstRow="1" w:lastColumn="0" w:lastRow="0" w:noHBand="0" w:noVBand="1" w:val="04A0"/>
      </w:tblPr>
      <w:tblGrid>
        <w:gridCol w:w="4320"/>
        <w:gridCol w:w="4320"/>
      </w:tblGrid>
      <w:tr>
        <w:tc>
          <w:tcPr>
            <w:tcW w:type="dxa" w:w="4320"/>
          </w:tcPr>
          <w:p>
            <w:r>
              <w:t>Record or Media Type</w:t>
            </w:r>
          </w:p>
        </w:tc>
        <w:tc>
          <w:tcPr>
            <w:tcW w:type="dxa" w:w="4320"/>
          </w:tcPr>
          <w:p>
            <w:r>
              <w:t>Approved Disposal Method</w:t>
            </w:r>
          </w:p>
        </w:tc>
      </w:tr>
      <w:tr>
        <w:tc>
          <w:tcPr>
            <w:tcW w:type="dxa" w:w="4320"/>
          </w:tcPr>
          <w:p>
            <w:r>
              <w:t>Standard electronic records</w:t>
            </w:r>
          </w:p>
        </w:tc>
        <w:tc>
          <w:tcPr>
            <w:tcW w:type="dxa" w:w="4320"/>
          </w:tcPr>
          <w:p>
            <w:r>
              <w:t>Secure deletion from approved systems, including removal from active storage and scheduled expiry from backups</w:t>
            </w:r>
          </w:p>
        </w:tc>
      </w:tr>
      <w:tr>
        <w:tc>
          <w:tcPr>
            <w:tcW w:type="dxa" w:w="4320"/>
          </w:tcPr>
          <w:p>
            <w:r>
              <w:t>Sensitive electronic records</w:t>
            </w:r>
          </w:p>
        </w:tc>
        <w:tc>
          <w:tcPr>
            <w:tcW w:type="dxa" w:w="4320"/>
          </w:tcPr>
          <w:p>
            <w:r>
              <w:t>Secure deletion using approved tools, cryptographic erasure, or verified destruction process</w:t>
            </w:r>
          </w:p>
        </w:tc>
      </w:tr>
      <w:tr>
        <w:tc>
          <w:tcPr>
            <w:tcW w:type="dxa" w:w="4320"/>
          </w:tcPr>
          <w:p>
            <w:r>
              <w:t>Cloud-hosted records</w:t>
            </w:r>
          </w:p>
        </w:tc>
        <w:tc>
          <w:tcPr>
            <w:tcW w:type="dxa" w:w="4320"/>
          </w:tcPr>
          <w:p>
            <w:r>
              <w:t>Deletion through approved platform controls with confirmation where available</w:t>
            </w:r>
          </w:p>
        </w:tc>
      </w:tr>
      <w:tr>
        <w:tc>
          <w:tcPr>
            <w:tcW w:type="dxa" w:w="4320"/>
          </w:tcPr>
          <w:p>
            <w:r>
              <w:t>Paper records</w:t>
            </w:r>
          </w:p>
        </w:tc>
        <w:tc>
          <w:tcPr>
            <w:tcW w:type="dxa" w:w="4320"/>
          </w:tcPr>
          <w:p>
            <w:r>
              <w:t>Cross-cut shredding, confidential waste service, or secure destruction certificate</w:t>
            </w:r>
          </w:p>
        </w:tc>
      </w:tr>
      <w:tr>
        <w:tc>
          <w:tcPr>
            <w:tcW w:type="dxa" w:w="4320"/>
          </w:tcPr>
          <w:p>
            <w:r>
              <w:t>Removable media</w:t>
            </w:r>
          </w:p>
        </w:tc>
        <w:tc>
          <w:tcPr>
            <w:tcW w:type="dxa" w:w="4320"/>
          </w:tcPr>
          <w:p>
            <w:r>
              <w:t>Secure wipe, degaussing, physical destruction, or approved asset disposal process</w:t>
            </w:r>
          </w:p>
        </w:tc>
      </w:tr>
      <w:tr>
        <w:tc>
          <w:tcPr>
            <w:tcW w:type="dxa" w:w="4320"/>
          </w:tcPr>
          <w:p>
            <w:r>
              <w:t>Mobile devices and laptops</w:t>
            </w:r>
          </w:p>
        </w:tc>
        <w:tc>
          <w:tcPr>
            <w:tcW w:type="dxa" w:w="4320"/>
          </w:tcPr>
          <w:p>
            <w:r>
              <w:t>Secure wipe before reassignment, return, disposal, or repair</w:t>
            </w:r>
          </w:p>
        </w:tc>
      </w:tr>
      <w:tr>
        <w:tc>
          <w:tcPr>
            <w:tcW w:type="dxa" w:w="4320"/>
          </w:tcPr>
          <w:p>
            <w:r>
              <w:t>Backup media</w:t>
            </w:r>
          </w:p>
        </w:tc>
        <w:tc>
          <w:tcPr>
            <w:tcW w:type="dxa" w:w="4320"/>
          </w:tcPr>
          <w:p>
            <w:r>
              <w:t>Expiry, overwrite, secure erasure, or physical destruction in line with backup retention rules</w:t>
            </w:r>
          </w:p>
        </w:tc>
      </w:tr>
      <w:tr>
        <w:tc>
          <w:tcPr>
            <w:tcW w:type="dxa" w:w="4320"/>
          </w:tcPr>
          <w:p>
            <w:r>
              <w:t>Anonymised datasets</w:t>
            </w:r>
          </w:p>
        </w:tc>
        <w:tc>
          <w:tcPr>
            <w:tcW w:type="dxa" w:w="4320"/>
          </w:tcPr>
          <w:p>
            <w:r>
              <w:t>Retention permitted only where re-identification risk remains acceptably low and periodically reviewed</w:t>
            </w:r>
          </w:p>
        </w:tc>
      </w:tr>
    </w:tbl>
    <w:p>
      <w:pPr>
        <w:pStyle w:val="ListBullet"/>
      </w:pPr>
      <w:r>
        <w:t>Paper records containing personal data shall be stored securely during their retention period and disposed of through approved confidential disposal channels.</w:t>
      </w:r>
    </w:p>
    <w:p>
      <w:pPr>
        <w:pStyle w:val="ListBullet"/>
      </w:pPr>
      <w:r>
        <w:t>Personal data shall not be deleted where it is subject to a legal hold, regulatory hold, investigation hold, audit hold, contractual preservation requirement, or unresolved rights request requiring continued retention.</w:t>
      </w:r>
    </w:p>
    <w:p>
      <w:pPr>
        <w:pStyle w:val="ListBullet"/>
      </w:pPr>
      <w:r>
        <w:t>Retention holds shall be authorised by Legal, the Data Protection Officer, Compliance, or another authorised role depending on the reason for the hold.</w:t>
      </w:r>
    </w:p>
    <w:p>
      <w:pPr>
        <w:pStyle w:val="ListBullet"/>
      </w:pPr>
      <w:r>
        <w:t>A retention hold shall specify:</w:t>
      </w:r>
    </w:p>
    <w:p>
      <w:pPr>
        <w:pStyle w:val="ListBullet"/>
      </w:pPr>
      <w:r>
        <w:t>Data or record category affected.</w:t>
      </w:r>
    </w:p>
    <w:p>
      <w:pPr>
        <w:pStyle w:val="ListBullet"/>
      </w:pPr>
      <w:r>
        <w:t>System or location.</w:t>
      </w:r>
    </w:p>
    <w:p>
      <w:pPr>
        <w:pStyle w:val="ListBullet"/>
      </w:pPr>
      <w:r>
        <w:t>Reason for the hold.</w:t>
      </w:r>
    </w:p>
    <w:p>
      <w:pPr>
        <w:pStyle w:val="ListBullet"/>
      </w:pPr>
      <w:r>
        <w:t>Authorising person.</w:t>
      </w:r>
    </w:p>
    <w:p>
      <w:pPr>
        <w:pStyle w:val="ListBullet"/>
      </w:pPr>
      <w:r>
        <w:t>Start date.</w:t>
      </w:r>
    </w:p>
    <w:p>
      <w:pPr>
        <w:pStyle w:val="ListBullet"/>
      </w:pPr>
      <w:r>
        <w:t>Review date.</w:t>
      </w:r>
    </w:p>
    <w:p>
      <w:pPr>
        <w:pStyle w:val="ListBullet"/>
      </w:pPr>
      <w:r>
        <w:t>Conditions for release.</w:t>
      </w:r>
    </w:p>
    <w:p>
      <w:pPr>
        <w:pStyle w:val="ListBullet"/>
      </w:pPr>
      <w:r>
        <w:t>When a retention hold is released, the affected data shall return to the normal retention schedule and be deleted or retained according to the applicable approved rule.</w:t>
      </w:r>
    </w:p>
    <w:p>
      <w:pPr>
        <w:pStyle w:val="ListBullet"/>
      </w:pPr>
      <w:r>
        <w:t>The organisation shall maintain evidence of deletion, anonymisation, destruction, or retention review for records where such evidence is necessary to demonstrate compliance.</w:t>
      </w:r>
    </w:p>
    <w:p>
      <w:pPr>
        <w:pStyle w:val="ListBullet"/>
      </w:pPr>
      <w:r>
        <w:t>Suppliers and processors handling personal data on behalf of the organisation shall apply retention and deletion requirements consistent with this policy and the applicable contract.</w:t>
      </w:r>
    </w:p>
    <w:p>
      <w:pPr>
        <w:pStyle w:val="ListBullet"/>
      </w:pPr>
      <w:r>
        <w:t>Supplier contracts involving personal data shall include requirements for:</w:t>
      </w:r>
    </w:p>
    <w:p>
      <w:pPr>
        <w:pStyle w:val="ListBullet"/>
      </w:pPr>
      <w:r>
        <w:t>Defined retention periods or return/deletion instructions.</w:t>
      </w:r>
    </w:p>
    <w:p>
      <w:pPr>
        <w:pStyle w:val="ListBullet"/>
      </w:pPr>
      <w:r>
        <w:t>Secure deletion at the end of service.</w:t>
      </w:r>
    </w:p>
    <w:p>
      <w:pPr>
        <w:pStyle w:val="ListBullet"/>
      </w:pPr>
      <w:r>
        <w:t>Deletion of copies, extracts, and backups where feasible.</w:t>
      </w:r>
    </w:p>
    <w:p>
      <w:pPr>
        <w:pStyle w:val="ListBullet"/>
      </w:pPr>
      <w:r>
        <w:t>Confirmation of deletion where requested.</w:t>
      </w:r>
    </w:p>
    <w:p>
      <w:pPr>
        <w:pStyle w:val="ListBullet"/>
      </w:pPr>
      <w:r>
        <w:t>Assistance with data subject requests and regulatory obligations.</w:t>
      </w:r>
    </w:p>
    <w:p>
      <w:pPr>
        <w:pStyle w:val="ListBullet"/>
      </w:pPr>
      <w:r>
        <w:t>Restrictions on retaining personal data after contract termination except where required by law.</w:t>
      </w:r>
    </w:p>
    <w:p>
      <w:pPr>
        <w:pStyle w:val="ListBullet"/>
      </w:pPr>
      <w:r>
        <w:t>Suppliers shall not retain organisation personal data for their own purposes unless expressly authorised under a documented lawful arrangement.</w:t>
      </w:r>
    </w:p>
    <w:p>
      <w:pPr>
        <w:pStyle w:val="ListBullet"/>
      </w:pPr>
      <w:r>
        <w:t>Where personal data is transferred to or processed in another jurisdiction, the applicable retention and deletion requirements shall continue to apply.</w:t>
      </w:r>
    </w:p>
    <w:p>
      <w:pPr>
        <w:pStyle w:val="ListBullet"/>
      </w:pPr>
      <w:r>
        <w:t>The organisation shall respect valid requests from individuals for deletion, restriction, objection, or correction, subject to any lawful reason requiring continued retention.</w:t>
      </w:r>
    </w:p>
    <w:p>
      <w:pPr>
        <w:pStyle w:val="ListBullet"/>
      </w:pPr>
      <w:r>
        <w:t>Where deletion cannot be completed due to legal, regulatory, contractual, security, or technical reasons, the organisation shall explain the limitation where required and restrict further processing where appropriate.</w:t>
      </w:r>
    </w:p>
    <w:p>
      <w:pPr>
        <w:pStyle w:val="ListBullet"/>
      </w:pPr>
      <w:r>
        <w:t>Backups shall be managed so that personal data is not retained in backups for longer than necessary for business continuity, disaster recovery, and security purposes.</w:t>
      </w:r>
    </w:p>
    <w:p>
      <w:pPr>
        <w:pStyle w:val="ListBullet"/>
      </w:pPr>
      <w:r>
        <w:t>Personal data deleted from active systems may remain in backups until the backup naturally expires, provided the data is not restored into active use unless a legitimate recovery need exists.</w:t>
      </w:r>
    </w:p>
    <w:p>
      <w:pPr>
        <w:pStyle w:val="ListBullet"/>
      </w:pPr>
      <w:r>
        <w:t>If deleted personal data is restored from backup, the organisation shall reapply applicable deletion requirements promptly where feasible.</w:t>
      </w:r>
    </w:p>
    <w:p>
      <w:pPr>
        <w:pStyle w:val="ListBullet"/>
      </w:pPr>
      <w:r>
        <w:t>The organisation shall not use expired backup data as a substitute archive or to avoid deletion requirements.</w:t>
      </w:r>
    </w:p>
    <w:p>
      <w:pPr>
        <w:pStyle w:val="ListBullet"/>
      </w:pPr>
      <w:r>
        <w:t>System logs containing personal data shall be retained for a defined security, operational, or audit purpose and shall not be retained indefinitely by default.</w:t>
      </w:r>
    </w:p>
    <w:p>
      <w:pPr>
        <w:pStyle w:val="ListBullet"/>
      </w:pPr>
      <w:r>
        <w:t>Test, development, and training environments shall not retain production personal data unless approved, protected, and subject to a defined retention period.</w:t>
      </w:r>
    </w:p>
    <w:p>
      <w:pPr>
        <w:pStyle w:val="ListBullet"/>
      </w:pPr>
      <w:r>
        <w:t>Personal data used for testing, development, analytics, research, or training shall be anonymised or minimised wherever feasible.</w:t>
      </w:r>
    </w:p>
    <w:p>
      <w:pPr>
        <w:pStyle w:val="ListBullet"/>
      </w:pPr>
      <w:r>
        <w:t>Reports, exports, dashboards, and extracts containing personal data shall have defined retention rules and shall be deleted when no longer needed.</w:t>
      </w:r>
    </w:p>
    <w:p>
      <w:pPr>
        <w:pStyle w:val="ListBullet"/>
      </w:pPr>
      <w:r>
        <w:t>Employees shall not download or export personal data unless required for an approved business purpose and shall delete the export once the purpose has been fulfilled.</w:t>
      </w:r>
    </w:p>
    <w:p>
      <w:pPr>
        <w:pStyle w:val="ListBullet"/>
      </w:pPr>
      <w:r>
        <w:t>Departing employees’ files, mailboxes, devices, and collaboration spaces shall be reviewed and managed according to applicable retention and access requirements.</w:t>
      </w:r>
    </w:p>
    <w:p>
      <w:pPr>
        <w:pStyle w:val="ListBullet"/>
      </w:pPr>
      <w:r>
        <w:t>Personal data contained in personal drives, local storage, unmanaged devices, or unapproved repositories shall be migrated to approved repositories or securely deleted.</w:t>
      </w:r>
    </w:p>
    <w:p>
      <w:pPr>
        <w:pStyle w:val="ListBullet"/>
      </w:pPr>
      <w:r>
        <w:t>The organisation shall maintain a deletion and retention review calendar for key systems and record categories.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Activity</w:t>
            </w:r>
          </w:p>
        </w:tc>
        <w:tc>
          <w:tcPr>
            <w:tcW w:type="dxa" w:w="2160"/>
          </w:tcPr>
          <w:p>
            <w:r>
              <w:t>Minimum Frequency</w:t>
            </w:r>
          </w:p>
        </w:tc>
        <w:tc>
          <w:tcPr>
            <w:tcW w:type="dxa" w:w="2160"/>
          </w:tcPr>
          <w:p>
            <w:r>
              <w:t>Responsible Role</w:t>
            </w:r>
          </w:p>
        </w:tc>
        <w:tc>
          <w:tcPr>
            <w:tcW w:type="dxa" w:w="2160"/>
          </w:tcPr>
          <w:p>
            <w:r>
              <w:t>Evidence Required</w:t>
            </w:r>
          </w:p>
        </w:tc>
      </w:tr>
      <w:tr>
        <w:tc>
          <w:tcPr>
            <w:tcW w:type="dxa" w:w="2160"/>
          </w:tcPr>
          <w:p>
            <w:r>
              <w:t>Review retention schedule</w:t>
            </w:r>
          </w:p>
        </w:tc>
        <w:tc>
          <w:tcPr>
            <w:tcW w:type="dxa" w:w="2160"/>
          </w:tcPr>
          <w:p>
            <w:r>
              <w:t>Annually</w:t>
            </w:r>
          </w:p>
        </w:tc>
        <w:tc>
          <w:tcPr>
            <w:tcW w:type="dxa" w:w="2160"/>
          </w:tcPr>
          <w:p>
            <w:r>
              <w:t>Data Protection Officer</w:t>
            </w:r>
          </w:p>
        </w:tc>
        <w:tc>
          <w:tcPr>
            <w:tcW w:type="dxa" w:w="2160"/>
          </w:tcPr>
          <w:p>
            <w:r>
              <w:t>Approved updated schedule or confirmation of no change</w:t>
            </w:r>
          </w:p>
        </w:tc>
      </w:tr>
      <w:tr>
        <w:tc>
          <w:tcPr>
            <w:tcW w:type="dxa" w:w="2160"/>
          </w:tcPr>
          <w:p>
            <w:r>
              <w:t>Review personal data inventory alignment</w:t>
            </w:r>
          </w:p>
        </w:tc>
        <w:tc>
          <w:tcPr>
            <w:tcW w:type="dxa" w:w="2160"/>
          </w:tcPr>
          <w:p>
            <w:r>
              <w:t>Annually</w:t>
            </w:r>
          </w:p>
        </w:tc>
        <w:tc>
          <w:tcPr>
            <w:tcW w:type="dxa" w:w="2160"/>
          </w:tcPr>
          <w:p>
            <w:r>
              <w:t>Data Protection Officer / Business Owners</w:t>
            </w:r>
          </w:p>
        </w:tc>
        <w:tc>
          <w:tcPr>
            <w:tcW w:type="dxa" w:w="2160"/>
          </w:tcPr>
          <w:p>
            <w:r>
              <w:t>Inventory update records</w:t>
            </w:r>
          </w:p>
        </w:tc>
      </w:tr>
      <w:tr>
        <w:tc>
          <w:tcPr>
            <w:tcW w:type="dxa" w:w="2160"/>
          </w:tcPr>
          <w:p>
            <w:r>
              <w:t>Review expired records in key systems</w:t>
            </w:r>
          </w:p>
        </w:tc>
        <w:tc>
          <w:tcPr>
            <w:tcW w:type="dxa" w:w="2160"/>
          </w:tcPr>
          <w:p>
            <w:r>
              <w:t>Quarterly</w:t>
            </w:r>
          </w:p>
        </w:tc>
        <w:tc>
          <w:tcPr>
            <w:tcW w:type="dxa" w:w="2160"/>
          </w:tcPr>
          <w:p>
            <w:r>
              <w:t>Business Owners</w:t>
            </w:r>
          </w:p>
        </w:tc>
        <w:tc>
          <w:tcPr>
            <w:tcW w:type="dxa" w:w="2160"/>
          </w:tcPr>
          <w:p>
            <w:r>
              <w:t>Deletion or retention review log</w:t>
            </w:r>
          </w:p>
        </w:tc>
      </w:tr>
      <w:tr>
        <w:tc>
          <w:tcPr>
            <w:tcW w:type="dxa" w:w="2160"/>
          </w:tcPr>
          <w:p>
            <w:r>
              <w:t>Review legal and regulatory hold register</w:t>
            </w:r>
          </w:p>
        </w:tc>
        <w:tc>
          <w:tcPr>
            <w:tcW w:type="dxa" w:w="2160"/>
          </w:tcPr>
          <w:p>
            <w:r>
              <w:t>Quarterly</w:t>
            </w:r>
          </w:p>
        </w:tc>
        <w:tc>
          <w:tcPr>
            <w:tcW w:type="dxa" w:w="2160"/>
          </w:tcPr>
          <w:p>
            <w:r>
              <w:t>Legal</w:t>
            </w:r>
          </w:p>
        </w:tc>
        <w:tc>
          <w:tcPr>
            <w:tcW w:type="dxa" w:w="2160"/>
          </w:tcPr>
          <w:p>
            <w:r>
              <w:t>Hold status report</w:t>
            </w:r>
          </w:p>
        </w:tc>
      </w:tr>
      <w:tr>
        <w:tc>
          <w:tcPr>
            <w:tcW w:type="dxa" w:w="2160"/>
          </w:tcPr>
          <w:p>
            <w:r>
              <w:t>Review backup retention settings</w:t>
            </w:r>
          </w:p>
        </w:tc>
        <w:tc>
          <w:tcPr>
            <w:tcW w:type="dxa" w:w="2160"/>
          </w:tcPr>
          <w:p>
            <w:r>
              <w:t>Annually</w:t>
            </w:r>
          </w:p>
        </w:tc>
        <w:tc>
          <w:tcPr>
            <w:tcW w:type="dxa" w:w="2160"/>
          </w:tcPr>
          <w:p>
            <w:r>
              <w:t>Information Technology</w:t>
            </w:r>
          </w:p>
        </w:tc>
        <w:tc>
          <w:tcPr>
            <w:tcW w:type="dxa" w:w="2160"/>
          </w:tcPr>
          <w:p>
            <w:r>
              <w:t>Backup configuration evidence</w:t>
            </w:r>
          </w:p>
        </w:tc>
      </w:tr>
      <w:tr>
        <w:tc>
          <w:tcPr>
            <w:tcW w:type="dxa" w:w="2160"/>
          </w:tcPr>
          <w:p>
            <w:r>
              <w:t>Review supplier deletion compliance</w:t>
            </w:r>
          </w:p>
        </w:tc>
        <w:tc>
          <w:tcPr>
            <w:tcW w:type="dxa" w:w="2160"/>
          </w:tcPr>
          <w:p>
            <w:r>
              <w:t>At contract end and as needed</w:t>
            </w:r>
          </w:p>
        </w:tc>
        <w:tc>
          <w:tcPr>
            <w:tcW w:type="dxa" w:w="2160"/>
          </w:tcPr>
          <w:p>
            <w:r>
              <w:t>Procurement / Contract Owner</w:t>
            </w:r>
          </w:p>
        </w:tc>
        <w:tc>
          <w:tcPr>
            <w:tcW w:type="dxa" w:w="2160"/>
          </w:tcPr>
          <w:p>
            <w:r>
              <w:t>Deletion confirmation or contract record</w:t>
            </w:r>
          </w:p>
        </w:tc>
      </w:tr>
      <w:tr>
        <w:tc>
          <w:tcPr>
            <w:tcW w:type="dxa" w:w="2160"/>
          </w:tcPr>
          <w:p>
            <w:r>
              <w:t>Review high-risk repositories</w:t>
            </w:r>
          </w:p>
        </w:tc>
        <w:tc>
          <w:tcPr>
            <w:tcW w:type="dxa" w:w="2160"/>
          </w:tcPr>
          <w:p>
            <w:r>
              <w:t>Semi-annually</w:t>
            </w:r>
          </w:p>
        </w:tc>
        <w:tc>
          <w:tcPr>
            <w:tcW w:type="dxa" w:w="2160"/>
          </w:tcPr>
          <w:p>
            <w:r>
              <w:t>Information Security / Business Owners</w:t>
            </w:r>
          </w:p>
        </w:tc>
        <w:tc>
          <w:tcPr>
            <w:tcW w:type="dxa" w:w="2160"/>
          </w:tcPr>
          <w:p>
            <w:r>
              <w:t>Access and retention review evidence</w:t>
            </w:r>
          </w:p>
        </w:tc>
      </w:tr>
      <w:tr>
        <w:tc>
          <w:tcPr>
            <w:tcW w:type="dxa" w:w="2160"/>
          </w:tcPr>
          <w:p>
            <w:r>
              <w:t>Test secure deletion capability</w:t>
            </w:r>
          </w:p>
        </w:tc>
        <w:tc>
          <w:tcPr>
            <w:tcW w:type="dxa" w:w="2160"/>
          </w:tcPr>
          <w:p>
            <w:r>
              <w:t>Annually</w:t>
            </w:r>
          </w:p>
        </w:tc>
        <w:tc>
          <w:tcPr>
            <w:tcW w:type="dxa" w:w="2160"/>
          </w:tcPr>
          <w:p>
            <w:r>
              <w:t>Information Technology</w:t>
            </w:r>
          </w:p>
        </w:tc>
        <w:tc>
          <w:tcPr>
            <w:tcW w:type="dxa" w:w="2160"/>
          </w:tcPr>
          <w:p>
            <w:r>
              <w:t>Test results and remediation actions</w:t>
            </w:r>
          </w:p>
        </w:tc>
      </w:tr>
    </w:tbl>
    <w:p>
      <w:pPr>
        <w:pStyle w:val="ListBullet"/>
      </w:pPr>
      <w:r>
        <w:t>Retention periods shall be reviewed whenever:</w:t>
      </w:r>
    </w:p>
    <w:p>
      <w:pPr>
        <w:pStyle w:val="ListBullet"/>
      </w:pPr>
      <w:r>
        <w:t>A new law, regulation, contractual requirement, or business obligation is identified.</w:t>
      </w:r>
    </w:p>
    <w:p>
      <w:pPr>
        <w:pStyle w:val="ListBullet"/>
      </w:pPr>
      <w:r>
        <w:t>A new system or processing activity is introduced.</w:t>
      </w:r>
    </w:p>
    <w:p>
      <w:pPr>
        <w:pStyle w:val="ListBullet"/>
      </w:pPr>
      <w:r>
        <w:t>A data protection assessment identifies a retention risk.</w:t>
      </w:r>
    </w:p>
    <w:p>
      <w:pPr>
        <w:pStyle w:val="ListBullet"/>
      </w:pPr>
      <w:r>
        <w:t>A data breach or audit finding relates to excessive retention.</w:t>
      </w:r>
    </w:p>
    <w:p>
      <w:pPr>
        <w:pStyle w:val="ListBullet"/>
      </w:pPr>
      <w:r>
        <w:t>A business process changes materially.</w:t>
      </w:r>
    </w:p>
    <w:p>
      <w:pPr>
        <w:pStyle w:val="ListBullet"/>
      </w:pPr>
      <w:r>
        <w:t>A supplier arrangement changes.</w:t>
      </w:r>
    </w:p>
    <w:p>
      <w:pPr>
        <w:pStyle w:val="ListBullet"/>
      </w:pPr>
      <w:r>
        <w:t>The organisation enters a new market or jurisdiction.</w:t>
      </w:r>
    </w:p>
    <w:p>
      <w:pPr>
        <w:pStyle w:val="ListBullet"/>
      </w:pPr>
      <w:r>
        <w:t>Retention decisions shall be documented and approved before implementation.</w:t>
      </w:r>
    </w:p>
    <w:p>
      <w:pPr>
        <w:pStyle w:val="ListBullet"/>
      </w:pPr>
      <w:r>
        <w:t>Where there is uncertainty about the correct retention period, the matter shall be referred to the Data Protection Officer and Legal before records are deleted or retained beyond the standard period.</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 Senior Management</w:t>
            </w:r>
          </w:p>
        </w:tc>
        <w:tc>
          <w:tcPr>
            <w:tcW w:type="dxa" w:w="4320"/>
          </w:tcPr>
          <w:p>
            <w:r>
              <w:t>Approves the organisation’s commitment to responsible data retention and ensures adequate resources are available to implement this policy.</w:t>
            </w:r>
          </w:p>
        </w:tc>
      </w:tr>
      <w:tr>
        <w:tc>
          <w:tcPr>
            <w:tcW w:type="dxa" w:w="4320"/>
          </w:tcPr>
          <w:p>
            <w:r>
              <w:t>Data Protection Officer</w:t>
            </w:r>
          </w:p>
        </w:tc>
        <w:tc>
          <w:tcPr>
            <w:tcW w:type="dxa" w:w="4320"/>
          </w:tcPr>
          <w:p>
            <w:r>
              <w:t>Owns this policy; advises on privacy requirements; maintains the retention schedule with business input; reviews retention risks; supports data subject requests; monitors compliance.</w:t>
            </w:r>
          </w:p>
        </w:tc>
      </w:tr>
      <w:tr>
        <w:tc>
          <w:tcPr>
            <w:tcW w:type="dxa" w:w="4320"/>
          </w:tcPr>
          <w:p>
            <w:r>
              <w:t>Legal</w:t>
            </w:r>
          </w:p>
        </w:tc>
        <w:tc>
          <w:tcPr>
            <w:tcW w:type="dxa" w:w="4320"/>
          </w:tcPr>
          <w:p>
            <w:r>
              <w:t>Advises on statutory, contractual, regulatory, litigation, and claims-related retention requirements; issues and releases legal holds; approves retention for legal matters.</w:t>
            </w:r>
          </w:p>
        </w:tc>
      </w:tr>
      <w:tr>
        <w:tc>
          <w:tcPr>
            <w:tcW w:type="dxa" w:w="4320"/>
          </w:tcPr>
          <w:p>
            <w:r>
              <w:t>Compliance</w:t>
            </w:r>
          </w:p>
        </w:tc>
        <w:tc>
          <w:tcPr>
            <w:tcW w:type="dxa" w:w="4320"/>
          </w:tcPr>
          <w:p>
            <w:r>
              <w:t>Supports monitoring activities; coordinates audit evidence; tracks remediation actions related to retention compliance.</w:t>
            </w:r>
          </w:p>
        </w:tc>
      </w:tr>
      <w:tr>
        <w:tc>
          <w:tcPr>
            <w:tcW w:type="dxa" w:w="4320"/>
          </w:tcPr>
          <w:p>
            <w:r>
              <w:t>Information Technology</w:t>
            </w:r>
          </w:p>
        </w:tc>
        <w:tc>
          <w:tcPr>
            <w:tcW w:type="dxa" w:w="4320"/>
          </w:tcPr>
          <w:p>
            <w:r>
              <w:t>Implements technical retention, archiving, backup, deletion, and secure disposal controls; supports system configuration; maintains evidence of technical deletion where required.</w:t>
            </w:r>
          </w:p>
        </w:tc>
      </w:tr>
      <w:tr>
        <w:tc>
          <w:tcPr>
            <w:tcW w:type="dxa" w:w="4320"/>
          </w:tcPr>
          <w:p>
            <w:r>
              <w:t>Information Security</w:t>
            </w:r>
          </w:p>
        </w:tc>
        <w:tc>
          <w:tcPr>
            <w:tcW w:type="dxa" w:w="4320"/>
          </w:tcPr>
          <w:p>
            <w:r>
              <w:t>Advises on secure disposal, access restrictions, logging, storage protection, and security risks associated with retained data.</w:t>
            </w:r>
          </w:p>
        </w:tc>
      </w:tr>
      <w:tr>
        <w:tc>
          <w:tcPr>
            <w:tcW w:type="dxa" w:w="4320"/>
          </w:tcPr>
          <w:p>
            <w:r>
              <w:t>Business Owners</w:t>
            </w:r>
          </w:p>
        </w:tc>
        <w:tc>
          <w:tcPr>
            <w:tcW w:type="dxa" w:w="4320"/>
          </w:tcPr>
          <w:p>
            <w:r>
              <w:t>Define business retention needs for their processes; ensure records are stored in approved repositories; perform periodic retention reviews; approve deletion actions where required.</w:t>
            </w:r>
          </w:p>
        </w:tc>
      </w:tr>
      <w:tr>
        <w:tc>
          <w:tcPr>
            <w:tcW w:type="dxa" w:w="4320"/>
          </w:tcPr>
          <w:p>
            <w:r>
              <w:t>Human Resources</w:t>
            </w:r>
          </w:p>
        </w:tc>
        <w:tc>
          <w:tcPr>
            <w:tcW w:type="dxa" w:w="4320"/>
          </w:tcPr>
          <w:p>
            <w:r>
              <w:t>Applies retention requirements to employee, worker, applicant, payroll-related, training, and occupational records in coordination with Legal and the Data Protection Officer.</w:t>
            </w:r>
          </w:p>
        </w:tc>
      </w:tr>
      <w:tr>
        <w:tc>
          <w:tcPr>
            <w:tcW w:type="dxa" w:w="4320"/>
          </w:tcPr>
          <w:p>
            <w:r>
              <w:t>Finance</w:t>
            </w:r>
          </w:p>
        </w:tc>
        <w:tc>
          <w:tcPr>
            <w:tcW w:type="dxa" w:w="4320"/>
          </w:tcPr>
          <w:p>
            <w:r>
              <w:t>Applies retention requirements to financial, accounting, invoicing, tax, payment, and transaction records.</w:t>
            </w:r>
          </w:p>
        </w:tc>
      </w:tr>
      <w:tr>
        <w:tc>
          <w:tcPr>
            <w:tcW w:type="dxa" w:w="4320"/>
          </w:tcPr>
          <w:p>
            <w:r>
              <w:t>Procurement / Vendor Management</w:t>
            </w:r>
          </w:p>
        </w:tc>
        <w:tc>
          <w:tcPr>
            <w:tcW w:type="dxa" w:w="4320"/>
          </w:tcPr>
          <w:p>
            <w:r>
              <w:t>Ensures supplier contracts include appropriate retention and deletion obligations; obtains supplier deletion confirmations where required.</w:t>
            </w:r>
          </w:p>
        </w:tc>
      </w:tr>
      <w:tr>
        <w:tc>
          <w:tcPr>
            <w:tcW w:type="dxa" w:w="4320"/>
          </w:tcPr>
          <w:p>
            <w:r>
              <w:t>Facilities / Physical Security</w:t>
            </w:r>
          </w:p>
        </w:tc>
        <w:tc>
          <w:tcPr>
            <w:tcW w:type="dxa" w:w="4320"/>
          </w:tcPr>
          <w:p>
            <w:r>
              <w:t>Manages retention and disposal of visitor records, access logs, CCTV, and physical security records.</w:t>
            </w:r>
          </w:p>
        </w:tc>
      </w:tr>
      <w:tr>
        <w:tc>
          <w:tcPr>
            <w:tcW w:type="dxa" w:w="4320"/>
          </w:tcPr>
          <w:p>
            <w:r>
              <w:t>Employees and Contractors</w:t>
            </w:r>
          </w:p>
        </w:tc>
        <w:tc>
          <w:tcPr>
            <w:tcW w:type="dxa" w:w="4320"/>
          </w:tcPr>
          <w:p>
            <w:r>
              <w:t>Store personal data only in approved locations; follow retention and disposal rules; delete unnecessary copies; report retention concerns or unmanaged repositories.</w:t>
            </w:r>
          </w:p>
        </w:tc>
      </w:tr>
      <w:tr>
        <w:tc>
          <w:tcPr>
            <w:tcW w:type="dxa" w:w="4320"/>
          </w:tcPr>
          <w:p>
            <w:r>
              <w:t>Internal Audit</w:t>
            </w:r>
          </w:p>
        </w:tc>
        <w:tc>
          <w:tcPr>
            <w:tcW w:type="dxa" w:w="4320"/>
          </w:tcPr>
          <w:p>
            <w:r>
              <w:t>Independently assesses compliance with this policy according to the approved audit plan.</w:t>
            </w:r>
          </w:p>
        </w:tc>
      </w:tr>
    </w:tbl>
    <w:p>
      <w:pPr>
        <w:pStyle w:val="Heading2"/>
      </w:pPr>
      <w:r>
        <w:t>Compliance, Monitoring &amp; Enforcement</w:t>
      </w:r>
    </w:p>
    <w:p>
      <w:r>
        <w:t>Compliance with this policy is mandatory. The organisation shall monitor adherence through a combination of technical controls, management review, audit activity, supplier assurance, and evidence-based retention reviews.</w:t>
      </w:r>
    </w:p>
    <w:p>
      <w:r>
        <w:t>Monitoring activities may include:</w:t>
      </w:r>
    </w:p>
    <w:p>
      <w:pPr>
        <w:pStyle w:val="ListBullet"/>
      </w:pPr>
      <w:r>
        <w:t>Review of system retention configurations.</w:t>
      </w:r>
    </w:p>
    <w:p>
      <w:pPr>
        <w:pStyle w:val="ListBullet"/>
      </w:pPr>
      <w:r>
        <w:t>Sampling of records against approved retention periods.</w:t>
      </w:r>
    </w:p>
    <w:p>
      <w:pPr>
        <w:pStyle w:val="ListBullet"/>
      </w:pPr>
      <w:r>
        <w:t>Review of shared drives, collaboration spaces, and email retention practices.</w:t>
      </w:r>
    </w:p>
    <w:p>
      <w:pPr>
        <w:pStyle w:val="ListBullet"/>
      </w:pPr>
      <w:r>
        <w:t>Assessment of deletion logs and destruction certificates.</w:t>
      </w:r>
    </w:p>
    <w:p>
      <w:pPr>
        <w:pStyle w:val="ListBullet"/>
      </w:pPr>
      <w:r>
        <w:t>Supplier compliance reviews.</w:t>
      </w:r>
    </w:p>
    <w:p>
      <w:pPr>
        <w:pStyle w:val="ListBullet"/>
      </w:pPr>
      <w:r>
        <w:t>Review of backup expiry settings.</w:t>
      </w:r>
    </w:p>
    <w:p>
      <w:pPr>
        <w:pStyle w:val="ListBullet"/>
      </w:pPr>
      <w:r>
        <w:t>Review of legal hold registers.</w:t>
      </w:r>
    </w:p>
    <w:p>
      <w:pPr>
        <w:pStyle w:val="ListBullet"/>
      </w:pPr>
      <w:r>
        <w:t>Audit of records retained beyond approved periods.</w:t>
      </w:r>
    </w:p>
    <w:p>
      <w:pPr>
        <w:pStyle w:val="ListBullet"/>
      </w:pPr>
      <w:r>
        <w:t>Investigation of excessive retention identified through privacy assessments, incidents, or data subject requests.</w:t>
      </w:r>
    </w:p>
    <w:p>
      <w:r>
        <w:t>Non-compliance with this policy may result in:</w:t>
      </w:r>
    </w:p>
    <w:p>
      <w:pPr>
        <w:pStyle w:val="ListBullet"/>
      </w:pPr>
      <w:r>
        <w:t>Required deletion or remediation of retained data.</w:t>
      </w:r>
    </w:p>
    <w:p>
      <w:pPr>
        <w:pStyle w:val="ListBullet"/>
      </w:pPr>
      <w:r>
        <w:t>Suspension of processing activities.</w:t>
      </w:r>
    </w:p>
    <w:p>
      <w:pPr>
        <w:pStyle w:val="ListBullet"/>
      </w:pPr>
      <w:r>
        <w:t>Additional training or supervision.</w:t>
      </w:r>
    </w:p>
    <w:p>
      <w:pPr>
        <w:pStyle w:val="ListBullet"/>
      </w:pPr>
      <w:r>
        <w:t>Withdrawal of system access.</w:t>
      </w:r>
    </w:p>
    <w:p>
      <w:pPr>
        <w:pStyle w:val="ListBullet"/>
      </w:pPr>
      <w:r>
        <w:t>Supplier remediation or contract action.</w:t>
      </w:r>
    </w:p>
    <w:p>
      <w:pPr>
        <w:pStyle w:val="ListBullet"/>
      </w:pPr>
      <w:r>
        <w:t>Disciplinary action in accordance with the organisation’s HR policies.</w:t>
      </w:r>
    </w:p>
    <w:p>
      <w:pPr>
        <w:pStyle w:val="ListBullet"/>
      </w:pPr>
      <w:r>
        <w:t>Escalation to senior management, Legal, or the Data Protection Officer.</w:t>
      </w:r>
    </w:p>
    <w:p>
      <w:r>
        <w:t>Intentional destruction, concealment, alteration, or deletion of records subject to a legal hold, investigation, audit, regulatory requirement, or approved preservation instruction is strictly prohibited and may result in disciplinary action and legal consequences.</w:t>
      </w:r>
    </w:p>
    <w:p>
      <w:r>
        <w:t>All suspected or confirmed breaches of this policy shall be reported promptly to the Data Protection Officer, Information Security, Legal, or [Reporting Channel].</w:t>
      </w:r>
    </w:p>
    <w:p>
      <w:pPr>
        <w:pStyle w:val="Heading2"/>
      </w:pPr>
      <w:r>
        <w:t>Exceptions</w:t>
      </w:r>
    </w:p>
    <w:p>
      <w:r>
        <w:t>Exceptions to this policy shall be permitted only where there is a documented and approved business, legal, regulatory, technical, or operational justification.</w:t>
      </w:r>
    </w:p>
    <w:p>
      <w:r>
        <w:t>Exception requests shall include:</w:t>
      </w:r>
    </w:p>
    <w:tbl>
      <w:tblPr>
        <w:tblStyle w:val="TableGrid"/>
        <w:tblW w:type="auto" w:w="0"/>
        <w:tblLook w:firstColumn="1" w:firstRow="1" w:lastColumn="0" w:lastRow="0" w:noHBand="0" w:noVBand="1" w:val="04A0"/>
      </w:tblPr>
      <w:tblGrid>
        <w:gridCol w:w="4320"/>
        <w:gridCol w:w="4320"/>
      </w:tblGrid>
      <w:tr>
        <w:tc>
          <w:tcPr>
            <w:tcW w:type="dxa" w:w="4320"/>
          </w:tcPr>
          <w:p>
            <w:r>
              <w:t>Requirement</w:t>
            </w:r>
          </w:p>
        </w:tc>
        <w:tc>
          <w:tcPr>
            <w:tcW w:type="dxa" w:w="4320"/>
          </w:tcPr>
          <w:p>
            <w:r>
              <w:t>Description</w:t>
            </w:r>
          </w:p>
        </w:tc>
      </w:tr>
      <w:tr>
        <w:tc>
          <w:tcPr>
            <w:tcW w:type="dxa" w:w="4320"/>
          </w:tcPr>
          <w:p>
            <w:r>
              <w:t>Requestor</w:t>
            </w:r>
          </w:p>
        </w:tc>
        <w:tc>
          <w:tcPr>
            <w:tcW w:type="dxa" w:w="4320"/>
          </w:tcPr>
          <w:p>
            <w:r>
              <w:t>Name, role, and business area requesting the exception</w:t>
            </w:r>
          </w:p>
        </w:tc>
      </w:tr>
      <w:tr>
        <w:tc>
          <w:tcPr>
            <w:tcW w:type="dxa" w:w="4320"/>
          </w:tcPr>
          <w:p>
            <w:r>
              <w:t>Data category</w:t>
            </w:r>
          </w:p>
        </w:tc>
        <w:tc>
          <w:tcPr>
            <w:tcW w:type="dxa" w:w="4320"/>
          </w:tcPr>
          <w:p>
            <w:r>
              <w:t>Type of personal data affected</w:t>
            </w:r>
          </w:p>
        </w:tc>
      </w:tr>
      <w:tr>
        <w:tc>
          <w:tcPr>
            <w:tcW w:type="dxa" w:w="4320"/>
          </w:tcPr>
          <w:p>
            <w:r>
              <w:t>System or location</w:t>
            </w:r>
          </w:p>
        </w:tc>
        <w:tc>
          <w:tcPr>
            <w:tcW w:type="dxa" w:w="4320"/>
          </w:tcPr>
          <w:p>
            <w:r>
              <w:t>Repository where the data is stored</w:t>
            </w:r>
          </w:p>
        </w:tc>
      </w:tr>
      <w:tr>
        <w:tc>
          <w:tcPr>
            <w:tcW w:type="dxa" w:w="4320"/>
          </w:tcPr>
          <w:p>
            <w:r>
              <w:t>Requested exception</w:t>
            </w:r>
          </w:p>
        </w:tc>
        <w:tc>
          <w:tcPr>
            <w:tcW w:type="dxa" w:w="4320"/>
          </w:tcPr>
          <w:p>
            <w:r>
              <w:t>Retention extension, retention reduction, delayed deletion, alternative disposal method, or other deviation</w:t>
            </w:r>
          </w:p>
        </w:tc>
      </w:tr>
      <w:tr>
        <w:tc>
          <w:tcPr>
            <w:tcW w:type="dxa" w:w="4320"/>
          </w:tcPr>
          <w:p>
            <w:r>
              <w:t>Justification</w:t>
            </w:r>
          </w:p>
        </w:tc>
        <w:tc>
          <w:tcPr>
            <w:tcW w:type="dxa" w:w="4320"/>
          </w:tcPr>
          <w:p>
            <w:r>
              <w:t>Business, legal, regulatory, contractual, technical, or operational reason</w:t>
            </w:r>
          </w:p>
        </w:tc>
      </w:tr>
      <w:tr>
        <w:tc>
          <w:tcPr>
            <w:tcW w:type="dxa" w:w="4320"/>
          </w:tcPr>
          <w:p>
            <w:r>
              <w:t>Risk assessment</w:t>
            </w:r>
          </w:p>
        </w:tc>
        <w:tc>
          <w:tcPr>
            <w:tcW w:type="dxa" w:w="4320"/>
          </w:tcPr>
          <w:p>
            <w:r>
              <w:t>Privacy, security, legal, and operational risks</w:t>
            </w:r>
          </w:p>
        </w:tc>
      </w:tr>
      <w:tr>
        <w:tc>
          <w:tcPr>
            <w:tcW w:type="dxa" w:w="4320"/>
          </w:tcPr>
          <w:p>
            <w:r>
              <w:t>Compensating controls</w:t>
            </w:r>
          </w:p>
        </w:tc>
        <w:tc>
          <w:tcPr>
            <w:tcW w:type="dxa" w:w="4320"/>
          </w:tcPr>
          <w:p>
            <w:r>
              <w:t>Measures to reduce risk during the exception period</w:t>
            </w:r>
          </w:p>
        </w:tc>
      </w:tr>
      <w:tr>
        <w:tc>
          <w:tcPr>
            <w:tcW w:type="dxa" w:w="4320"/>
          </w:tcPr>
          <w:p>
            <w:r>
              <w:t>Duration</w:t>
            </w:r>
          </w:p>
        </w:tc>
        <w:tc>
          <w:tcPr>
            <w:tcW w:type="dxa" w:w="4320"/>
          </w:tcPr>
          <w:p>
            <w:r>
              <w:t>Start date, end date, and review date</w:t>
            </w:r>
          </w:p>
        </w:tc>
      </w:tr>
      <w:tr>
        <w:tc>
          <w:tcPr>
            <w:tcW w:type="dxa" w:w="4320"/>
          </w:tcPr>
          <w:p>
            <w:r>
              <w:t>Approvals</w:t>
            </w:r>
          </w:p>
        </w:tc>
        <w:tc>
          <w:tcPr>
            <w:tcW w:type="dxa" w:w="4320"/>
          </w:tcPr>
          <w:p>
            <w:r>
              <w:t>Required approvals from the Data Protection Officer, Legal, business owner, and Information Security where applicable</w:t>
            </w:r>
          </w:p>
        </w:tc>
      </w:tr>
    </w:tbl>
    <w:p>
      <w:r>
        <w:t>Exceptions shall be:</w:t>
      </w:r>
    </w:p>
    <w:p>
      <w:pPr>
        <w:pStyle w:val="ListBullet"/>
      </w:pPr>
      <w:r>
        <w:t>Time-bound.</w:t>
      </w:r>
    </w:p>
    <w:p>
      <w:pPr>
        <w:pStyle w:val="ListBullet"/>
      </w:pPr>
      <w:r>
        <w:t>Risk-assessed.</w:t>
      </w:r>
    </w:p>
    <w:p>
      <w:pPr>
        <w:pStyle w:val="ListBullet"/>
      </w:pPr>
      <w:r>
        <w:t>Approved before implementation.</w:t>
      </w:r>
    </w:p>
    <w:p>
      <w:pPr>
        <w:pStyle w:val="ListBullet"/>
      </w:pPr>
      <w:r>
        <w:t>Recorded in the exceptions register.</w:t>
      </w:r>
    </w:p>
    <w:p>
      <w:pPr>
        <w:pStyle w:val="ListBullet"/>
      </w:pPr>
      <w:r>
        <w:t>Reviewed at defined intervals.</w:t>
      </w:r>
    </w:p>
    <w:p>
      <w:pPr>
        <w:pStyle w:val="ListBullet"/>
      </w:pPr>
      <w:r>
        <w:t>Removed when no longer justified.</w:t>
      </w:r>
    </w:p>
    <w:p>
      <w:r>
        <w:t>Permanent exceptions shall not be permitted unless approved by senior management, Legal, and the Data Protection Officer with a documented justification and periodic review.</w:t>
      </w:r>
    </w:p>
    <w:p>
      <w:r>
        <w:t>Emergency exceptions may be approved verbally or by expedited written approval where immediate action is required, but shall be documented retrospectively within [5 business days].</w:t>
      </w:r>
    </w:p>
    <w:p>
      <w:pPr>
        <w:pStyle w:val="Heading2"/>
      </w:pPr>
      <w:r>
        <w:t>Review &amp; Maintenance</w:t>
      </w:r>
    </w:p>
    <w:p>
      <w:r>
        <w:t>This policy shall be reviewed at least annually and whenever there is a material change to:</w:t>
      </w:r>
    </w:p>
    <w:p>
      <w:pPr>
        <w:pStyle w:val="ListBullet"/>
      </w:pPr>
      <w:r>
        <w:t>Applicable privacy, employment, tax, corporate, regulatory, or sector-specific requirements.</w:t>
      </w:r>
    </w:p>
    <w:p>
      <w:pPr>
        <w:pStyle w:val="ListBullet"/>
      </w:pPr>
      <w:r>
        <w:t>Business processes involving personal data.</w:t>
      </w:r>
    </w:p>
    <w:p>
      <w:pPr>
        <w:pStyle w:val="ListBullet"/>
      </w:pPr>
      <w:r>
        <w:t>Systems, applications, cloud platforms, or data storage locations.</w:t>
      </w:r>
    </w:p>
    <w:p>
      <w:pPr>
        <w:pStyle w:val="ListBullet"/>
      </w:pPr>
      <w:r>
        <w:t>Supplier or processor arrangements.</w:t>
      </w:r>
    </w:p>
    <w:p>
      <w:pPr>
        <w:pStyle w:val="ListBullet"/>
      </w:pPr>
      <w:r>
        <w:t>Data protection risk profile.</w:t>
      </w:r>
    </w:p>
    <w:p>
      <w:pPr>
        <w:pStyle w:val="ListBullet"/>
      </w:pPr>
      <w:r>
        <w:t>Records management practices.</w:t>
      </w:r>
    </w:p>
    <w:p>
      <w:pPr>
        <w:pStyle w:val="ListBullet"/>
      </w:pPr>
      <w:r>
        <w:t>Organisational structure or operating model.</w:t>
      </w:r>
    </w:p>
    <w:p>
      <w:pPr>
        <w:pStyle w:val="ListBullet"/>
      </w:pPr>
      <w:r>
        <w:t>Audit findings, incidents, complaints, or regulatory feedback.</w:t>
      </w:r>
    </w:p>
    <w:p>
      <w:r>
        <w:t>The Data Protection Officer is responsible for coordinating the review of this policy and the retention schedule with Legal, Information Technology, Information Security, Compliance, and relevant business owners.</w:t>
      </w:r>
    </w:p>
    <w:p>
      <w:r>
        <w:t>Changes to the retention schedule shall be approved before implementation and communicated to affected teams. Material changes shall be reflected in related procedures, privacy notices, data inventories, supplier instructions, training materials, and system configurations.</w:t>
      </w:r>
    </w:p>
    <w:p>
      <w:r>
        <w:t>The current approved version of this policy shall be stored in [Policy Repository]. Superseded versions shall be retained in accordance with the organisation’s document control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