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Anti-Phishing &amp; Anti-Malware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[POL-SEC-ANTI-PHISHING-MALWARE]</w:t>
            </w:r>
          </w:p>
        </w:tc>
        <w:tc>
          <w:tcPr>
            <w:tcW w:type="dxa" w:w="1440"/>
          </w:tcPr>
          <w:p>
            <w:r>
              <w:t>1.0</w:t>
            </w:r>
          </w:p>
        </w:tc>
        <w:tc>
          <w:tcPr>
            <w:tcW w:type="dxa" w:w="1440"/>
          </w:tcPr>
          <w:p>
            <w:r>
              <w:t>[Information Security / CISO]</w:t>
            </w:r>
          </w:p>
        </w:tc>
        <w:tc>
          <w:tcPr>
            <w:tcW w:type="dxa" w:w="1440"/>
          </w:tcPr>
          <w:p>
            <w:r>
              <w:t>[YYYY-MM-DD]</w:t>
            </w:r>
          </w:p>
        </w:tc>
        <w:tc>
          <w:tcPr>
            <w:tcW w:type="dxa" w:w="1440"/>
          </w:tcPr>
          <w:p>
            <w:r>
              <w:t>PCI DSS v4.0.1</w:t>
            </w:r>
          </w:p>
        </w:tc>
        <w:tc>
          <w:tcPr>
            <w:tcW w:type="dxa" w:w="1440"/>
          </w:tcPr>
          <w:p>
            <w:r>
              <w:t>Internal</w:t>
            </w:r>
          </w:p>
        </w:tc>
      </w:tr>
    </w:tbl>
    <w:p>
      <w:pPr>
        <w:pStyle w:val="Heading2"/>
      </w:pPr>
      <w:r>
        <w:t>Purpose</w:t>
      </w:r>
    </w:p>
    <w:p>
      <w:r>
        <w:t>The purpose of this policy is to define mandatory requirements for protecting the organisation from phishing, spoofing, malicious email, malware, ransomware, spyware, trojans, viruses, and other malicious software that could compromise systems, data, users, or the security of the cardholder data environment.</w:t>
      </w:r>
    </w:p>
    <w:p>
      <w:r>
        <w:t>This policy establishes requirements for:</w:t>
      </w:r>
    </w:p>
    <w:p>
      <w:pPr>
        <w:pStyle w:val="ListBullet"/>
      </w:pPr>
      <w:r>
        <w:t>Anti-phishing controls, including email authentication, spoofing prevention, and malicious message detection.</w:t>
      </w:r>
    </w:p>
    <w:p>
      <w:pPr>
        <w:pStyle w:val="ListBullet"/>
      </w:pPr>
      <w:r>
        <w:t>Anti-malware technologies on systems commonly affected by malware.</w:t>
      </w:r>
    </w:p>
    <w:p>
      <w:pPr>
        <w:pStyle w:val="ListBullet"/>
      </w:pPr>
      <w:r>
        <w:t>Malware prevention, detection, alerting, quarantine, investigation, and recovery.</w:t>
      </w:r>
    </w:p>
    <w:p>
      <w:pPr>
        <w:pStyle w:val="ListBullet"/>
      </w:pPr>
      <w:r>
        <w:t>Ongoing monitoring and maintenance of anti-phishing and anti-malware protections.</w:t>
      </w:r>
    </w:p>
    <w:p>
      <w:pPr>
        <w:pStyle w:val="ListBullet"/>
      </w:pPr>
      <w:r>
        <w:t>Security awareness expectations related to phishing and malware risk.</w:t>
      </w:r>
    </w:p>
    <w:p>
      <w:pPr>
        <w:pStyle w:val="Heading2"/>
      </w:pPr>
      <w:r>
        <w:t>Scope</w:t>
      </w:r>
    </w:p>
    <w:p>
      <w:r>
        <w:t>This policy applies to:</w:t>
      </w:r>
    </w:p>
    <w:p>
      <w:pPr>
        <w:pStyle w:val="ListBullet"/>
      </w:pPr>
      <w:r>
        <w:t>All employees, contractors, temporary workers, third-party users, service providers, and other personnel who access organisational systems, email, networks, or data.</w:t>
      </w:r>
    </w:p>
    <w:p>
      <w:pPr>
        <w:pStyle w:val="ListBullet"/>
      </w:pPr>
      <w:r>
        <w:t>All systems, endpoints, servers, virtual machines, cloud workloads, containers, email services, collaboration platforms, and network segments owned, managed, or used by the organisation.</w:t>
      </w:r>
    </w:p>
    <w:p>
      <w:pPr>
        <w:pStyle w:val="ListBullet"/>
      </w:pPr>
      <w:r>
        <w:t>All systems that store, process, transmit, or can impact the security of cardholder data.</w:t>
      </w:r>
    </w:p>
    <w:p>
      <w:pPr>
        <w:pStyle w:val="ListBullet"/>
      </w:pPr>
      <w:r>
        <w:t>All email domains owned or operated by the organisation, including primary domains, subdomains, parked domains, and domains used for marketing, customer communication, authentication, or system-generated messaging.</w:t>
      </w:r>
    </w:p>
    <w:p>
      <w:pPr>
        <w:pStyle w:val="ListBullet"/>
      </w:pPr>
      <w:r>
        <w:t>All removable media, file transfer mechanisms, internet downloads, software repositories, administrative tools, and other channels through which malicious software may enter the environment.</w:t>
      </w:r>
    </w:p>
    <w:p>
      <w:r>
        <w:t>This policy applies whether systems are hosted on-premises, in cloud environments, by managed service providers, or through software-as-a-service platforms.</w:t>
      </w:r>
    </w:p>
    <w:p>
      <w:r>
        <w:t>Out of scope are personal devices and personal email accounts that do not access organisational systems, networks, or data. Where personal devices are permitted to access organisational resources, they must comply with this policy and related endpoint security requirements.</w:t>
      </w:r>
    </w:p>
    <w:p>
      <w:pPr>
        <w:pStyle w:val="Heading2"/>
      </w:pPr>
      <w:r>
        <w:t>Policy Statements</w:t>
      </w:r>
    </w:p>
    <w:p>
      <w:pPr>
        <w:pStyle w:val="ListBullet"/>
      </w:pPr>
      <w:r>
        <w:t>The organisation shall implement and maintain anti-phishing and anti-malware controls appropriate to the risk, function, and exposure of each system and business process.</w:t>
      </w:r>
    </w:p>
    <w:p>
      <w:pPr>
        <w:pStyle w:val="ListBullet"/>
      </w:pPr>
      <w:r>
        <w:t>Systems that are commonly affected by malware shall be protected by anti-malware technology that is active, current, and configured to detect, prevent, block, quarantine, or remove malicious software.</w:t>
      </w:r>
    </w:p>
    <w:p>
      <w:pPr>
        <w:pStyle w:val="ListBullet"/>
      </w:pPr>
      <w:r>
        <w:t>Anti-malware protection shall be deployed to endpoints, servers, virtual desktops, remote access devices, administrative workstations, and other systems where malware risk exists, unless a documented risk assessment supports an approved exception.</w:t>
      </w:r>
    </w:p>
    <w:p>
      <w:pPr>
        <w:pStyle w:val="ListBullet"/>
      </w:pPr>
      <w:r>
        <w:t>Anti-malware controls shall be configured to run automatically and shall not rely on end-user action for routine protection, scanning, update, alerting, or quarantine.</w:t>
      </w:r>
    </w:p>
    <w:p>
      <w:pPr>
        <w:pStyle w:val="ListBullet"/>
      </w:pPr>
      <w:r>
        <w:t>Anti-malware software shall be configured to receive automatic updates for detection signatures, behavioural rules, reputation data, machine-learning models, scanning engines, and related protection components.</w:t>
      </w:r>
    </w:p>
    <w:p>
      <w:pPr>
        <w:pStyle w:val="ListBullet"/>
      </w:pPr>
      <w:r>
        <w:t>Anti-malware update failures shall generate alerts and shall be investigated and resolved within defined operational timeframes.</w:t>
      </w:r>
    </w:p>
    <w:p>
      <w:pPr>
        <w:pStyle w:val="ListBullet"/>
      </w:pPr>
      <w:r>
        <w:t>Anti-malware controls shall be configured to perform real-time protection where technically supported, including scanning of files at access, execution, download, creation, modification, or transfer.</w:t>
      </w:r>
    </w:p>
    <w:p>
      <w:pPr>
        <w:pStyle w:val="ListBullet"/>
      </w:pPr>
      <w:r>
        <w:t>Scheduled anti-malware scans shall be performed on systems where scheduled scanning is appropriate and technically feasible.</w:t>
      </w:r>
    </w:p>
    <w:p>
      <w:pPr>
        <w:pStyle w:val="ListBullet"/>
      </w:pPr>
      <w:r>
        <w:t>Anti-malware protections shall not be disabled, bypassed, uninstalled, paused, or materially reconfigured without prior authorisation from Information Security.</w:t>
      </w:r>
    </w:p>
    <w:p>
      <w:pPr>
        <w:pStyle w:val="ListBullet"/>
      </w:pPr>
      <w:r>
        <w:t>Where anti-malware protection must be temporarily disabled for maintenance, troubleshooting, or compatibility testing, the period of disabling shall be time-bound, approved, documented, monitored, and followed by verification that protection has been restored.</w:t>
      </w:r>
    </w:p>
    <w:p>
      <w:pPr>
        <w:pStyle w:val="ListBullet"/>
      </w:pPr>
      <w:r>
        <w:t>Anti-malware alerts classified as high risk, confirmed malicious, or potentially impacting the cardholder data environment shall be investigated promptly by authorised security or technology personnel.</w:t>
      </w:r>
    </w:p>
    <w:p>
      <w:pPr>
        <w:pStyle w:val="ListBullet"/>
      </w:pPr>
      <w:r>
        <w:t>Malware detections shall be contained to prevent spread, including quarantine, network isolation, account suspension, blocking of indicators, or other appropriate response actions.</w:t>
      </w:r>
    </w:p>
    <w:p>
      <w:pPr>
        <w:pStyle w:val="ListBullet"/>
      </w:pPr>
      <w:r>
        <w:t>Systems with confirmed malware infection shall not be returned to production use until remediation has been completed and security validation confirms that the system is safe to reconnect or use.</w:t>
      </w:r>
    </w:p>
    <w:p>
      <w:pPr>
        <w:pStyle w:val="ListBullet"/>
      </w:pPr>
      <w:r>
        <w:t>The organisation shall maintain procedures for malware response, including triage, containment, eradication, recovery, evidence preservation, and escalation.</w:t>
      </w:r>
    </w:p>
    <w:p>
      <w:pPr>
        <w:pStyle w:val="ListBullet"/>
      </w:pPr>
      <w:r>
        <w:t>Anti-malware logs and alerts shall be retained in accordance with the organisation’s security logging, monitoring, and retention requirements.</w:t>
      </w:r>
    </w:p>
    <w:p>
      <w:pPr>
        <w:pStyle w:val="ListBullet"/>
      </w:pPr>
      <w:r>
        <w:t>Anti-malware events relevant to the cardholder data environment shall be integrated with central monitoring or alerting capabilities where technically feasible.</w:t>
      </w:r>
    </w:p>
    <w:p>
      <w:pPr>
        <w:pStyle w:val="ListBullet"/>
      </w:pPr>
      <w:r>
        <w:t>The organisation shall regularly review systems and platforms to determine whether they are commonly affected by malware and whether anti-malware controls are required.</w:t>
      </w:r>
    </w:p>
    <w:p>
      <w:pPr>
        <w:pStyle w:val="ListBullet"/>
      </w:pPr>
      <w:r>
        <w:t>Systems not commonly affected by malware shall still be assessed periodically for malware risk, including changes in threat landscape, platform usage, exposure, installed software, integration points, and available security controls.</w:t>
      </w:r>
    </w:p>
    <w:p>
      <w:pPr>
        <w:pStyle w:val="ListBullet"/>
      </w:pPr>
      <w:r>
        <w:t>The organisation shall implement email authentication controls for organisational domains to reduce phishing, spoofing, and impersonation risk.</w:t>
      </w:r>
    </w:p>
    <w:p>
      <w:pPr>
        <w:pStyle w:val="ListBullet"/>
      </w:pPr>
      <w:r>
        <w:t>The organisation shall publish and maintain SPF records for domains used to send email, identifying authorised sending sources and restricting unauthorised senders.</w:t>
      </w:r>
    </w:p>
    <w:p>
      <w:pPr>
        <w:pStyle w:val="ListBullet"/>
      </w:pPr>
      <w:r>
        <w:t>The organisation shall implement DKIM signing for outbound email where supported by email platforms, marketing tools, customer communication systems, ticketing systems, and other authorised sending services.</w:t>
      </w:r>
    </w:p>
    <w:p>
      <w:pPr>
        <w:pStyle w:val="ListBullet"/>
      </w:pPr>
      <w:r>
        <w:t>The organisation shall implement DMARC for organisational domains used to send or receive email, with monitoring, reporting, and enforcement appropriate to domain maturity and business risk.</w:t>
      </w:r>
    </w:p>
    <w:p>
      <w:pPr>
        <w:pStyle w:val="ListBullet"/>
      </w:pPr>
      <w:r>
        <w:t>DMARC policy enforcement shall be progressively strengthened for active sending domains after legitimate senders are identified, validated, and aligned.</w:t>
      </w:r>
    </w:p>
    <w:p>
      <w:pPr>
        <w:pStyle w:val="ListBullet"/>
      </w:pPr>
      <w:r>
        <w:t>Domains that do not send email, including parked, defensive, or unused domains, shall be configured to reject unauthorised email where technically feasible.</w:t>
      </w:r>
    </w:p>
    <w:p>
      <w:pPr>
        <w:pStyle w:val="ListBullet"/>
      </w:pPr>
      <w:r>
        <w:t>Email authentication records shall be reviewed after onboarding, modifying, or decommissioning any email-sending service.</w:t>
      </w:r>
    </w:p>
    <w:p>
      <w:pPr>
        <w:pStyle w:val="ListBullet"/>
      </w:pPr>
      <w:r>
        <w:t>The organisation shall maintain an inventory of authorised email-sending services and associated domains.</w:t>
      </w:r>
    </w:p>
    <w:p>
      <w:pPr>
        <w:pStyle w:val="ListBullet"/>
      </w:pPr>
      <w:r>
        <w:t>Third-party services that send email on behalf of the organisation shall be formally authorised, configured to support email authentication, and reviewed before production use.</w:t>
      </w:r>
    </w:p>
    <w:p>
      <w:pPr>
        <w:pStyle w:val="ListBullet"/>
      </w:pPr>
      <w:r>
        <w:t>Business units shall not procure or activate third-party email-sending services using organisational domains without review and approval by Information Security and the responsible technology owner.</w:t>
      </w:r>
    </w:p>
    <w:p>
      <w:pPr>
        <w:pStyle w:val="ListBullet"/>
      </w:pPr>
      <w:r>
        <w:t>Email security controls shall be implemented to detect, block, quarantine, tag, or warn users about phishing, malicious attachments, malicious links, impersonation, suspicious sender behaviour, and known malicious infrastructure.</w:t>
      </w:r>
    </w:p>
    <w:p>
      <w:pPr>
        <w:pStyle w:val="ListBullet"/>
      </w:pPr>
      <w:r>
        <w:t>Email attachments shall be scanned for malware before delivery where technically supported.</w:t>
      </w:r>
    </w:p>
    <w:p>
      <w:pPr>
        <w:pStyle w:val="ListBullet"/>
      </w:pPr>
      <w:r>
        <w:t>URLs in email shall be inspected or protected using appropriate controls such as reputation checking, rewriting, detonation, sandboxing, or safe browsing technology where technically feasible.</w:t>
      </w:r>
    </w:p>
    <w:p>
      <w:pPr>
        <w:pStyle w:val="ListBullet"/>
      </w:pPr>
      <w:r>
        <w:t>Messages suspected of phishing, spoofing, impersonation, or malware delivery shall be quarantined, blocked, or flagged according to risk.</w:t>
      </w:r>
    </w:p>
    <w:p>
      <w:pPr>
        <w:pStyle w:val="ListBullet"/>
      </w:pPr>
      <w:r>
        <w:t>External email messages shall be clearly identifiable to users where technically feasible, such as through banners, labels, or equivalent mechanisms.</w:t>
      </w:r>
    </w:p>
    <w:p>
      <w:pPr>
        <w:pStyle w:val="ListBullet"/>
      </w:pPr>
      <w:r>
        <w:t>The organisation shall implement controls to reduce executive impersonation, supplier impersonation, payment redirection fraud, credential harvesting, and business email compromise risk.</w:t>
      </w:r>
    </w:p>
    <w:p>
      <w:pPr>
        <w:pStyle w:val="ListBullet"/>
      </w:pPr>
      <w:r>
        <w:t>Users shall be provided with a simple and approved method to report suspected phishing or malicious email.</w:t>
      </w:r>
    </w:p>
    <w:p>
      <w:pPr>
        <w:pStyle w:val="ListBullet"/>
      </w:pPr>
      <w:r>
        <w:t>Reported phishing messages shall be reviewed, triaged, and actioned by authorised personnel or an approved security service.</w:t>
      </w:r>
    </w:p>
    <w:p>
      <w:pPr>
        <w:pStyle w:val="ListBullet"/>
      </w:pPr>
      <w:r>
        <w:t>Confirmed phishing campaigns shall be investigated to determine scope, affected recipients, credential exposure, malware execution, data exposure, and required containment actions.</w:t>
      </w:r>
    </w:p>
    <w:p>
      <w:pPr>
        <w:pStyle w:val="ListBullet"/>
      </w:pPr>
      <w:r>
        <w:t>The organisation shall conduct phishing awareness and malware prevention training for users at onboarding and periodically thereafter.</w:t>
      </w:r>
    </w:p>
    <w:p>
      <w:pPr>
        <w:pStyle w:val="ListBullet"/>
      </w:pPr>
      <w:r>
        <w:t>Users with privileged access, payment responsibilities, customer support responsibilities, or access to sensitive data shall receive risk-appropriate security awareness content.</w:t>
      </w:r>
    </w:p>
    <w:p>
      <w:pPr>
        <w:pStyle w:val="ListBullet"/>
      </w:pPr>
      <w:r>
        <w:t>Users shall not open suspicious attachments, click suspicious links, approve unexpected authentication prompts, enable macros from untrusted sources, or enter credentials into unverified websites.</w:t>
      </w:r>
    </w:p>
    <w:p>
      <w:pPr>
        <w:pStyle w:val="ListBullet"/>
      </w:pPr>
      <w:r>
        <w:t>Users shall promptly report suspected phishing, malware warnings, unusual system behaviour, unexpected pop-ups, credential prompts, or suspected compromise.</w:t>
      </w:r>
    </w:p>
    <w:p>
      <w:pPr>
        <w:pStyle w:val="ListBullet"/>
      </w:pPr>
      <w:r>
        <w:t>Software installation shall be restricted to authorised sources and approved methods.</w:t>
      </w:r>
    </w:p>
    <w:p>
      <w:pPr>
        <w:pStyle w:val="ListBullet"/>
      </w:pPr>
      <w:r>
        <w:t>The organisation shall prevent or restrict execution of unauthorised scripts, macros, executables, and software where technically feasible and risk-appropriate.</w:t>
      </w:r>
    </w:p>
    <w:p>
      <w:pPr>
        <w:pStyle w:val="ListBullet"/>
      </w:pPr>
      <w:r>
        <w:t>Removable media shall be controlled and scanned for malware before use where removable media is permitted.</w:t>
      </w:r>
    </w:p>
    <w:p>
      <w:pPr>
        <w:pStyle w:val="ListBullet"/>
      </w:pPr>
      <w:r>
        <w:t>Systems shall be configured to reduce malware execution risk through secure configuration, patching, least privilege, application control, browser protection, and restriction of unnecessary services.</w:t>
      </w:r>
    </w:p>
    <w:p>
      <w:pPr>
        <w:pStyle w:val="ListBullet"/>
      </w:pPr>
      <w:r>
        <w:t>Administrator workstations and accounts shall be subject to enhanced anti-malware, anti-phishing, and monitoring controls due to elevated risk.</w:t>
      </w:r>
    </w:p>
    <w:p>
      <w:pPr>
        <w:pStyle w:val="ListBullet"/>
      </w:pPr>
      <w:r>
        <w:t>Remote access systems shall be protected against phishing and malware threats, including use of strong authentication, endpoint security validation where applicable, and monitoring for suspicious activity.</w:t>
      </w:r>
    </w:p>
    <w:p>
      <w:pPr>
        <w:pStyle w:val="ListBullet"/>
      </w:pPr>
      <w:r>
        <w:t>Anti-phishing and anti-malware capabilities shall be tested or validated periodically to confirm that required controls are deployed, active, updated, and operating as intended.</w:t>
      </w:r>
    </w:p>
    <w:p>
      <w:pPr>
        <w:pStyle w:val="ListBullet"/>
      </w:pPr>
      <w:r>
        <w:t>Security tooling configuration changes that materially affect anti-phishing or anti-malware effectiveness shall be approved, documented, and reviewed.</w:t>
      </w:r>
    </w:p>
    <w:p>
      <w:pPr>
        <w:pStyle w:val="ListBullet"/>
      </w:pPr>
      <w:r>
        <w:t>Metrics related to anti-phishing and anti-malware performance shall be maintained and reviewed by Information Security and relevant technology owners.</w:t>
      </w:r>
    </w:p>
    <w:p>
      <w:pPr>
        <w:pStyle w:val="ListBullet"/>
      </w:pPr>
      <w:r>
        <w:t>The following minimum operational timelines shall apply unless more stringent requirements are defined by incident severity or regulatory obligation:</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Minimum Requirement</w:t>
            </w:r>
          </w:p>
        </w:tc>
      </w:tr>
      <w:tr>
        <w:tc>
          <w:tcPr>
            <w:tcW w:type="dxa" w:w="4320"/>
          </w:tcPr>
          <w:p>
            <w:r>
              <w:t>Anti-malware engine and detection updates</w:t>
            </w:r>
          </w:p>
        </w:tc>
        <w:tc>
          <w:tcPr>
            <w:tcW w:type="dxa" w:w="4320"/>
          </w:tcPr>
          <w:p>
            <w:r>
              <w:t>Automatic updates enabled; failures investigated within [1 business day]</w:t>
            </w:r>
          </w:p>
        </w:tc>
      </w:tr>
      <w:tr>
        <w:tc>
          <w:tcPr>
            <w:tcW w:type="dxa" w:w="4320"/>
          </w:tcPr>
          <w:p>
            <w:r>
              <w:t>High-risk malware alert triage</w:t>
            </w:r>
          </w:p>
        </w:tc>
        <w:tc>
          <w:tcPr>
            <w:tcW w:type="dxa" w:w="4320"/>
          </w:tcPr>
          <w:p>
            <w:r>
              <w:t>Initiated within [4 hours] of detection or notification</w:t>
            </w:r>
          </w:p>
        </w:tc>
      </w:tr>
      <w:tr>
        <w:tc>
          <w:tcPr>
            <w:tcW w:type="dxa" w:w="4320"/>
          </w:tcPr>
          <w:p>
            <w:r>
              <w:t>Confirmed malware containment</w:t>
            </w:r>
          </w:p>
        </w:tc>
        <w:tc>
          <w:tcPr>
            <w:tcW w:type="dxa" w:w="4320"/>
          </w:tcPr>
          <w:p>
            <w:r>
              <w:t>As soon as practicable, with priority based on risk and system criticality</w:t>
            </w:r>
          </w:p>
        </w:tc>
      </w:tr>
      <w:tr>
        <w:tc>
          <w:tcPr>
            <w:tcW w:type="dxa" w:w="4320"/>
          </w:tcPr>
          <w:p>
            <w:r>
              <w:t>Anti-malware coverage review</w:t>
            </w:r>
          </w:p>
        </w:tc>
        <w:tc>
          <w:tcPr>
            <w:tcW w:type="dxa" w:w="4320"/>
          </w:tcPr>
          <w:p>
            <w:r>
              <w:t>At least quarterly</w:t>
            </w:r>
          </w:p>
        </w:tc>
      </w:tr>
      <w:tr>
        <w:tc>
          <w:tcPr>
            <w:tcW w:type="dxa" w:w="4320"/>
          </w:tcPr>
          <w:p>
            <w:r>
              <w:t>Email authentication record review</w:t>
            </w:r>
          </w:p>
        </w:tc>
        <w:tc>
          <w:tcPr>
            <w:tcW w:type="dxa" w:w="4320"/>
          </w:tcPr>
          <w:p>
            <w:r>
              <w:t>At least quarterly and after any email service change</w:t>
            </w:r>
          </w:p>
        </w:tc>
      </w:tr>
      <w:tr>
        <w:tc>
          <w:tcPr>
            <w:tcW w:type="dxa" w:w="4320"/>
          </w:tcPr>
          <w:p>
            <w:r>
              <w:t>DMARC reporting review</w:t>
            </w:r>
          </w:p>
        </w:tc>
        <w:tc>
          <w:tcPr>
            <w:tcW w:type="dxa" w:w="4320"/>
          </w:tcPr>
          <w:p>
            <w:r>
              <w:t>At least monthly for monitored domains</w:t>
            </w:r>
          </w:p>
        </w:tc>
      </w:tr>
      <w:tr>
        <w:tc>
          <w:tcPr>
            <w:tcW w:type="dxa" w:w="4320"/>
          </w:tcPr>
          <w:p>
            <w:r>
              <w:t>Phishing reports triage</w:t>
            </w:r>
          </w:p>
        </w:tc>
        <w:tc>
          <w:tcPr>
            <w:tcW w:type="dxa" w:w="4320"/>
          </w:tcPr>
          <w:p>
            <w:r>
              <w:t>Within [1 business day], or faster for suspected active compromise</w:t>
            </w:r>
          </w:p>
        </w:tc>
      </w:tr>
      <w:tr>
        <w:tc>
          <w:tcPr>
            <w:tcW w:type="dxa" w:w="4320"/>
          </w:tcPr>
          <w:p>
            <w:r>
              <w:t>User phishing and malware awareness training</w:t>
            </w:r>
          </w:p>
        </w:tc>
        <w:tc>
          <w:tcPr>
            <w:tcW w:type="dxa" w:w="4320"/>
          </w:tcPr>
          <w:p>
            <w:r>
              <w:t>At onboarding and at least annually</w:t>
            </w:r>
          </w:p>
        </w:tc>
      </w:tr>
      <w:tr>
        <w:tc>
          <w:tcPr>
            <w:tcW w:type="dxa" w:w="4320"/>
          </w:tcPr>
          <w:p>
            <w:r>
              <w:t>Policy review</w:t>
            </w:r>
          </w:p>
        </w:tc>
        <w:tc>
          <w:tcPr>
            <w:tcW w:type="dxa" w:w="4320"/>
          </w:tcPr>
          <w:p>
            <w:r>
              <w:t>At least annually</w:t>
            </w:r>
          </w:p>
        </w:tc>
      </w:tr>
    </w:tbl>
    <w:p>
      <w:pPr>
        <w:pStyle w:val="ListBullet"/>
      </w:pPr>
      <w:r>
        <w:t>The organisation shall maintain records demonstrating compliance with this policy, including technology configurations, coverage reports, alert records, investigation notes, exception approvals, training completion, and review evidence.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security risk management, including anti-phishing and anti-malware capabilities necessary to protect payment environments and business operations.</w:t>
            </w:r>
          </w:p>
        </w:tc>
      </w:tr>
      <w:tr>
        <w:tc>
          <w:tcPr>
            <w:tcW w:type="dxa" w:w="4320"/>
          </w:tcPr>
          <w:p>
            <w:r>
              <w:t>Chief Information Security Officer / Information Security Owner</w:t>
            </w:r>
          </w:p>
        </w:tc>
        <w:tc>
          <w:tcPr>
            <w:tcW w:type="dxa" w:w="4320"/>
          </w:tcPr>
          <w:p>
            <w:r>
              <w:t>Own this policy; define security requirements; approve exceptions; oversee anti-phishing and anti-malware strategy; ensure monitoring, testing, and reporting are in place.</w:t>
            </w:r>
          </w:p>
        </w:tc>
      </w:tr>
      <w:tr>
        <w:tc>
          <w:tcPr>
            <w:tcW w:type="dxa" w:w="4320"/>
          </w:tcPr>
          <w:p>
            <w:r>
              <w:t>Information Security Team</w:t>
            </w:r>
          </w:p>
        </w:tc>
        <w:tc>
          <w:tcPr>
            <w:tcW w:type="dxa" w:w="4320"/>
          </w:tcPr>
          <w:p>
            <w:r>
              <w:t>Configure, monitor, and assess anti-phishing and anti-malware controls; investigate alerts; respond to phishing and malware incidents; review email authentication; maintain security metrics and evidence.</w:t>
            </w:r>
          </w:p>
        </w:tc>
      </w:tr>
      <w:tr>
        <w:tc>
          <w:tcPr>
            <w:tcW w:type="dxa" w:w="4320"/>
          </w:tcPr>
          <w:p>
            <w:r>
              <w:t>IT Operations</w:t>
            </w:r>
          </w:p>
        </w:tc>
        <w:tc>
          <w:tcPr>
            <w:tcW w:type="dxa" w:w="4320"/>
          </w:tcPr>
          <w:p>
            <w:r>
              <w:t>Deploy and maintain endpoint, server, network, email, and cloud security tools; ensure agents are installed, active, updated, and reporting; remediate coverage gaps and configuration issues.</w:t>
            </w:r>
          </w:p>
        </w:tc>
      </w:tr>
      <w:tr>
        <w:tc>
          <w:tcPr>
            <w:tcW w:type="dxa" w:w="4320"/>
          </w:tcPr>
          <w:p>
            <w:r>
              <w:t>Email / Messaging Administrators</w:t>
            </w:r>
          </w:p>
        </w:tc>
        <w:tc>
          <w:tcPr>
            <w:tcW w:type="dxa" w:w="4320"/>
          </w:tcPr>
          <w:p>
            <w:r>
              <w:t>Maintain email security gateways, filtering, domain authentication, authorised sender configurations, quarantine handling, and mail-flow security controls.</w:t>
            </w:r>
          </w:p>
        </w:tc>
      </w:tr>
      <w:tr>
        <w:tc>
          <w:tcPr>
            <w:tcW w:type="dxa" w:w="4320"/>
          </w:tcPr>
          <w:p>
            <w:r>
              <w:t>Domain / DNS Administrators</w:t>
            </w:r>
          </w:p>
        </w:tc>
        <w:tc>
          <w:tcPr>
            <w:tcW w:type="dxa" w:w="4320"/>
          </w:tcPr>
          <w:p>
            <w:r>
              <w:t>Publish and maintain SPF, DKIM, DMARC, and related DNS records as approved by Information Security and email service owners.</w:t>
            </w:r>
          </w:p>
        </w:tc>
      </w:tr>
      <w:tr>
        <w:tc>
          <w:tcPr>
            <w:tcW w:type="dxa" w:w="4320"/>
          </w:tcPr>
          <w:p>
            <w:r>
              <w:t>System Owners</w:t>
            </w:r>
          </w:p>
        </w:tc>
        <w:tc>
          <w:tcPr>
            <w:tcW w:type="dxa" w:w="4320"/>
          </w:tcPr>
          <w:p>
            <w:r>
              <w:t>Ensure systems under their ownership comply with this policy; support malware risk assessments; remediate identified gaps; approve business impact decisions during containment and recovery.</w:t>
            </w:r>
          </w:p>
        </w:tc>
      </w:tr>
      <w:tr>
        <w:tc>
          <w:tcPr>
            <w:tcW w:type="dxa" w:w="4320"/>
          </w:tcPr>
          <w:p>
            <w:r>
              <w:t>Application Owners</w:t>
            </w:r>
          </w:p>
        </w:tc>
        <w:tc>
          <w:tcPr>
            <w:tcW w:type="dxa" w:w="4320"/>
          </w:tcPr>
          <w:p>
            <w:r>
              <w:t>Ensure applications and services that send email are authorised, authenticated, and reviewed before use; coordinate with Information Security when onboarding or changing email-sending providers.</w:t>
            </w:r>
          </w:p>
        </w:tc>
      </w:tr>
      <w:tr>
        <w:tc>
          <w:tcPr>
            <w:tcW w:type="dxa" w:w="4320"/>
          </w:tcPr>
          <w:p>
            <w:r>
              <w:t>Procurement / Vendor Management</w:t>
            </w:r>
          </w:p>
        </w:tc>
        <w:tc>
          <w:tcPr>
            <w:tcW w:type="dxa" w:w="4320"/>
          </w:tcPr>
          <w:p>
            <w:r>
              <w:t>Ensure third-party email, endpoint, managed security, and cloud services are reviewed for security requirements before contract execution or renewal.</w:t>
            </w:r>
          </w:p>
        </w:tc>
      </w:tr>
      <w:tr>
        <w:tc>
          <w:tcPr>
            <w:tcW w:type="dxa" w:w="4320"/>
          </w:tcPr>
          <w:p>
            <w:r>
              <w:t>Human Resources / Training Function</w:t>
            </w:r>
          </w:p>
        </w:tc>
        <w:tc>
          <w:tcPr>
            <w:tcW w:type="dxa" w:w="4320"/>
          </w:tcPr>
          <w:p>
            <w:r>
              <w:t>Support delivery, tracking, and enforcement of security awareness training related to phishing and malware prevention.</w:t>
            </w:r>
          </w:p>
        </w:tc>
      </w:tr>
      <w:tr>
        <w:tc>
          <w:tcPr>
            <w:tcW w:type="dxa" w:w="4320"/>
          </w:tcPr>
          <w:p>
            <w:r>
              <w:t>Service Desk</w:t>
            </w:r>
          </w:p>
        </w:tc>
        <w:tc>
          <w:tcPr>
            <w:tcW w:type="dxa" w:w="4320"/>
          </w:tcPr>
          <w:p>
            <w:r>
              <w:t>Receive and route user reports of suspected phishing, malware, suspicious links, endpoint warnings, and related security events according to approved procedures.</w:t>
            </w:r>
          </w:p>
        </w:tc>
      </w:tr>
      <w:tr>
        <w:tc>
          <w:tcPr>
            <w:tcW w:type="dxa" w:w="4320"/>
          </w:tcPr>
          <w:p>
            <w:r>
              <w:t>Users</w:t>
            </w:r>
          </w:p>
        </w:tc>
        <w:tc>
          <w:tcPr>
            <w:tcW w:type="dxa" w:w="4320"/>
          </w:tcPr>
          <w:p>
            <w:r>
              <w:t>Follow this policy, complete required training, report suspicious activity promptly, and avoid actions that increase phishing or malware risk.</w:t>
            </w:r>
          </w:p>
        </w:tc>
      </w:tr>
      <w:tr>
        <w:tc>
          <w:tcPr>
            <w:tcW w:type="dxa" w:w="4320"/>
          </w:tcPr>
          <w:p>
            <w:r>
              <w:t>Third Parties and Service Providers</w:t>
            </w:r>
          </w:p>
        </w:tc>
        <w:tc>
          <w:tcPr>
            <w:tcW w:type="dxa" w:w="4320"/>
          </w:tcPr>
          <w:p>
            <w:r>
              <w:t>Comply with contractual anti-phishing and anti-malware obligations; report relevant security events; support investigations and provide evidence of control operation when requested.</w:t>
            </w:r>
          </w:p>
        </w:tc>
      </w:tr>
    </w:tbl>
    <w:p>
      <w:pPr>
        <w:pStyle w:val="Heading2"/>
      </w:pPr>
      <w:r>
        <w:t>Compliance, Monitoring &amp; Enforcement</w:t>
      </w:r>
    </w:p>
    <w:p>
      <w:r>
        <w:t>Compliance with this policy shall be monitored through technical, operational, and governance activities, including:</w:t>
      </w:r>
    </w:p>
    <w:p>
      <w:pPr>
        <w:pStyle w:val="ListBullet"/>
      </w:pPr>
      <w:r>
        <w:t>Anti-malware coverage reporting.</w:t>
      </w:r>
    </w:p>
    <w:p>
      <w:pPr>
        <w:pStyle w:val="ListBullet"/>
      </w:pPr>
      <w:r>
        <w:t>Endpoint and server protection status reviews.</w:t>
      </w:r>
    </w:p>
    <w:p>
      <w:pPr>
        <w:pStyle w:val="ListBullet"/>
      </w:pPr>
      <w:r>
        <w:t>Alert and incident review.</w:t>
      </w:r>
    </w:p>
    <w:p>
      <w:pPr>
        <w:pStyle w:val="ListBullet"/>
      </w:pPr>
      <w:r>
        <w:t>Email security gateway reporting.</w:t>
      </w:r>
    </w:p>
    <w:p>
      <w:pPr>
        <w:pStyle w:val="ListBullet"/>
      </w:pPr>
      <w:r>
        <w:t>DMARC aggregate and forensic reporting where available and appropriate.</w:t>
      </w:r>
    </w:p>
    <w:p>
      <w:pPr>
        <w:pStyle w:val="ListBullet"/>
      </w:pPr>
      <w:r>
        <w:t>DNS record review for SPF, DKIM, and DMARC.</w:t>
      </w:r>
    </w:p>
    <w:p>
      <w:pPr>
        <w:pStyle w:val="ListBullet"/>
      </w:pPr>
      <w:r>
        <w:t>Phishing reporting and simulation metrics.</w:t>
      </w:r>
    </w:p>
    <w:p>
      <w:pPr>
        <w:pStyle w:val="ListBullet"/>
      </w:pPr>
      <w:r>
        <w:t>Vulnerability and configuration reviews.</w:t>
      </w:r>
    </w:p>
    <w:p>
      <w:pPr>
        <w:pStyle w:val="ListBullet"/>
      </w:pPr>
      <w:r>
        <w:t>Security incident post-incident reviews.</w:t>
      </w:r>
    </w:p>
    <w:p>
      <w:pPr>
        <w:pStyle w:val="ListBullet"/>
      </w:pPr>
      <w:r>
        <w:t>Internal control testing and audit evidence collection.</w:t>
      </w:r>
    </w:p>
    <w:p>
      <w:pPr>
        <w:pStyle w:val="ListBullet"/>
      </w:pPr>
      <w:r>
        <w:t>Third-party service reviews.</w:t>
      </w:r>
    </w:p>
    <w:p>
      <w:r>
        <w:t>The organisation shall maintain measurable indicators to assess the effectiveness of anti-phishing and anti-malware controls. Metrics may include: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Expected Use</w:t>
            </w:r>
          </w:p>
        </w:tc>
      </w:tr>
      <w:tr>
        <w:tc>
          <w:tcPr>
            <w:tcW w:type="dxa" w:w="4320"/>
          </w:tcPr>
          <w:p>
            <w:r>
              <w:t>Percentage of in-scope systems with active anti-malware protection</w:t>
            </w:r>
          </w:p>
        </w:tc>
        <w:tc>
          <w:tcPr>
            <w:tcW w:type="dxa" w:w="4320"/>
          </w:tcPr>
          <w:p>
            <w:r>
              <w:t>Confirm coverage and identify gaps</w:t>
            </w:r>
          </w:p>
        </w:tc>
      </w:tr>
      <w:tr>
        <w:tc>
          <w:tcPr>
            <w:tcW w:type="dxa" w:w="4320"/>
          </w:tcPr>
          <w:p>
            <w:r>
              <w:t>Percentage of systems with current anti-malware updates</w:t>
            </w:r>
          </w:p>
        </w:tc>
        <w:tc>
          <w:tcPr>
            <w:tcW w:type="dxa" w:w="4320"/>
          </w:tcPr>
          <w:p>
            <w:r>
              <w:t>Confirm operational health</w:t>
            </w:r>
          </w:p>
        </w:tc>
      </w:tr>
      <w:tr>
        <w:tc>
          <w:tcPr>
            <w:tcW w:type="dxa" w:w="4320"/>
          </w:tcPr>
          <w:p>
            <w:r>
              <w:t>Number of high-risk malware detections</w:t>
            </w:r>
          </w:p>
        </w:tc>
        <w:tc>
          <w:tcPr>
            <w:tcW w:type="dxa" w:w="4320"/>
          </w:tcPr>
          <w:p>
            <w:r>
              <w:t>Identify threat trends and recurring exposure</w:t>
            </w:r>
          </w:p>
        </w:tc>
      </w:tr>
      <w:tr>
        <w:tc>
          <w:tcPr>
            <w:tcW w:type="dxa" w:w="4320"/>
          </w:tcPr>
          <w:p>
            <w:r>
              <w:t>Mean time to triage malware alerts</w:t>
            </w:r>
          </w:p>
        </w:tc>
        <w:tc>
          <w:tcPr>
            <w:tcW w:type="dxa" w:w="4320"/>
          </w:tcPr>
          <w:p>
            <w:r>
              <w:t>Assess response effectiveness</w:t>
            </w:r>
          </w:p>
        </w:tc>
      </w:tr>
      <w:tr>
        <w:tc>
          <w:tcPr>
            <w:tcW w:type="dxa" w:w="4320"/>
          </w:tcPr>
          <w:p>
            <w:r>
              <w:t>Number of reported phishing messages</w:t>
            </w:r>
          </w:p>
        </w:tc>
        <w:tc>
          <w:tcPr>
            <w:tcW w:type="dxa" w:w="4320"/>
          </w:tcPr>
          <w:p>
            <w:r>
              <w:t>Monitor user reporting culture and campaign activity</w:t>
            </w:r>
          </w:p>
        </w:tc>
      </w:tr>
      <w:tr>
        <w:tc>
          <w:tcPr>
            <w:tcW w:type="dxa" w:w="4320"/>
          </w:tcPr>
          <w:p>
            <w:r>
              <w:t>Number of confirmed phishing messages delivered to users</w:t>
            </w:r>
          </w:p>
        </w:tc>
        <w:tc>
          <w:tcPr>
            <w:tcW w:type="dxa" w:w="4320"/>
          </w:tcPr>
          <w:p>
            <w:r>
              <w:t>Assess email filtering effectiveness</w:t>
            </w:r>
          </w:p>
        </w:tc>
      </w:tr>
      <w:tr>
        <w:tc>
          <w:tcPr>
            <w:tcW w:type="dxa" w:w="4320"/>
          </w:tcPr>
          <w:p>
            <w:r>
              <w:t>DMARC alignment and failure rates</w:t>
            </w:r>
          </w:p>
        </w:tc>
        <w:tc>
          <w:tcPr>
            <w:tcW w:type="dxa" w:w="4320"/>
          </w:tcPr>
          <w:p>
            <w:r>
              <w:t>Identify unauthorised senders and misconfigurations</w:t>
            </w:r>
          </w:p>
        </w:tc>
      </w:tr>
      <w:tr>
        <w:tc>
          <w:tcPr>
            <w:tcW w:type="dxa" w:w="4320"/>
          </w:tcPr>
          <w:p>
            <w:r>
              <w:t>Domains with enforced email authentication policy</w:t>
            </w:r>
          </w:p>
        </w:tc>
        <w:tc>
          <w:tcPr>
            <w:tcW w:type="dxa" w:w="4320"/>
          </w:tcPr>
          <w:p>
            <w:r>
              <w:t>Track spoofing resistance</w:t>
            </w:r>
          </w:p>
        </w:tc>
      </w:tr>
      <w:tr>
        <w:tc>
          <w:tcPr>
            <w:tcW w:type="dxa" w:w="4320"/>
          </w:tcPr>
          <w:p>
            <w:r>
              <w:t>Phishing simulation failure and reporting rates</w:t>
            </w:r>
          </w:p>
        </w:tc>
        <w:tc>
          <w:tcPr>
            <w:tcW w:type="dxa" w:w="4320"/>
          </w:tcPr>
          <w:p>
            <w:r>
              <w:t>Guide awareness improvements</w:t>
            </w:r>
          </w:p>
        </w:tc>
      </w:tr>
      <w:tr>
        <w:tc>
          <w:tcPr>
            <w:tcW w:type="dxa" w:w="4320"/>
          </w:tcPr>
          <w:p>
            <w:r>
              <w:t>Number of exceptions and overdue exception reviews</w:t>
            </w:r>
          </w:p>
        </w:tc>
        <w:tc>
          <w:tcPr>
            <w:tcW w:type="dxa" w:w="4320"/>
          </w:tcPr>
          <w:p>
            <w:r>
              <w:t>Monitor risk acceptance discipline</w:t>
            </w:r>
          </w:p>
        </w:tc>
      </w:tr>
    </w:tbl>
    <w:p>
      <w:r>
        <w:t>Non-compliance with this policy may result in one or more of the following actions:</w:t>
      </w:r>
    </w:p>
    <w:p>
      <w:pPr>
        <w:pStyle w:val="ListBullet"/>
      </w:pPr>
      <w:r>
        <w:t>Mandatory remediation by the responsible owner.</w:t>
      </w:r>
    </w:p>
    <w:p>
      <w:pPr>
        <w:pStyle w:val="ListBullet"/>
      </w:pPr>
      <w:r>
        <w:t>Temporary removal of network, email, system, or application access.</w:t>
      </w:r>
    </w:p>
    <w:p>
      <w:pPr>
        <w:pStyle w:val="ListBullet"/>
      </w:pPr>
      <w:r>
        <w:t>Isolation of affected systems.</w:t>
      </w:r>
    </w:p>
    <w:p>
      <w:pPr>
        <w:pStyle w:val="ListBullet"/>
      </w:pPr>
      <w:r>
        <w:t>Blocking of unauthorised email-sending services.</w:t>
      </w:r>
    </w:p>
    <w:p>
      <w:pPr>
        <w:pStyle w:val="ListBullet"/>
      </w:pPr>
      <w:r>
        <w:t>Revocation of administrative privileges.</w:t>
      </w:r>
    </w:p>
    <w:p>
      <w:pPr>
        <w:pStyle w:val="ListBullet"/>
      </w:pPr>
      <w:r>
        <w:t>Escalation to management.</w:t>
      </w:r>
    </w:p>
    <w:p>
      <w:pPr>
        <w:pStyle w:val="ListBullet"/>
      </w:pPr>
      <w:r>
        <w:t>Supplier corrective action or contractual remedies.</w:t>
      </w:r>
    </w:p>
    <w:p>
      <w:pPr>
        <w:pStyle w:val="ListBullet"/>
      </w:pPr>
      <w:r>
        <w:t>Disciplinary action in accordance with organisational policies.</w:t>
      </w:r>
    </w:p>
    <w:p>
      <w:pPr>
        <w:pStyle w:val="ListBullet"/>
      </w:pPr>
      <w:r>
        <w:t>Incident response activation where compromise is suspected.</w:t>
      </w:r>
    </w:p>
    <w:p>
      <w:r>
        <w:t>Intentional disabling, bypassing, or tampering with anti-phishing or anti-malware controls without approval is prohibited and may be treated as a serious security violation.</w:t>
      </w:r>
    </w:p>
    <w:p>
      <w:pPr>
        <w:pStyle w:val="Heading2"/>
      </w:pPr>
      <w:r>
        <w:t>Exceptions</w:t>
      </w:r>
    </w:p>
    <w:p>
      <w:r>
        <w:t>Exceptions to this policy shall be permitted only where there is a documented business or technical justification and the resulting risk has been assessed and approved.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requesting the exception</w:t>
            </w:r>
          </w:p>
        </w:tc>
      </w:tr>
      <w:tr>
        <w:tc>
          <w:tcPr>
            <w:tcW w:type="dxa" w:w="4320"/>
          </w:tcPr>
          <w:p>
            <w:r>
              <w:t>Business owner</w:t>
            </w:r>
          </w:p>
        </w:tc>
        <w:tc>
          <w:tcPr>
            <w:tcW w:type="dxa" w:w="4320"/>
          </w:tcPr>
          <w:p>
            <w:r>
              <w:t>Accountable owner accepting the business risk</w:t>
            </w:r>
          </w:p>
        </w:tc>
      </w:tr>
      <w:tr>
        <w:tc>
          <w:tcPr>
            <w:tcW w:type="dxa" w:w="4320"/>
          </w:tcPr>
          <w:p>
            <w:r>
              <w:t>System, domain, service, or process</w:t>
            </w:r>
          </w:p>
        </w:tc>
        <w:tc>
          <w:tcPr>
            <w:tcW w:type="dxa" w:w="4320"/>
          </w:tcPr>
          <w:p>
            <w:r>
              <w:t>Specific asset or activity affected</w:t>
            </w:r>
          </w:p>
        </w:tc>
      </w:tr>
      <w:tr>
        <w:tc>
          <w:tcPr>
            <w:tcW w:type="dxa" w:w="4320"/>
          </w:tcPr>
          <w:p>
            <w:r>
              <w:t>Policy requirement affected</w:t>
            </w:r>
          </w:p>
        </w:tc>
        <w:tc>
          <w:tcPr>
            <w:tcW w:type="dxa" w:w="4320"/>
          </w:tcPr>
          <w:p>
            <w:r>
              <w:t>Description of the requirement that cannot be met</w:t>
            </w:r>
          </w:p>
        </w:tc>
      </w:tr>
      <w:tr>
        <w:tc>
          <w:tcPr>
            <w:tcW w:type="dxa" w:w="4320"/>
          </w:tcPr>
          <w:p>
            <w:r>
              <w:t>Business or technical justification</w:t>
            </w:r>
          </w:p>
        </w:tc>
        <w:tc>
          <w:tcPr>
            <w:tcW w:type="dxa" w:w="4320"/>
          </w:tcPr>
          <w:p>
            <w:r>
              <w:t>Reason the exception is necessary</w:t>
            </w:r>
          </w:p>
        </w:tc>
      </w:tr>
      <w:tr>
        <w:tc>
          <w:tcPr>
            <w:tcW w:type="dxa" w:w="4320"/>
          </w:tcPr>
          <w:p>
            <w:r>
              <w:t>Risk assessment</w:t>
            </w:r>
          </w:p>
        </w:tc>
        <w:tc>
          <w:tcPr>
            <w:tcW w:type="dxa" w:w="4320"/>
          </w:tcPr>
          <w:p>
            <w:r>
              <w:t>Security impact, likelihood, and potential consequences</w:t>
            </w:r>
          </w:p>
        </w:tc>
      </w:tr>
      <w:tr>
        <w:tc>
          <w:tcPr>
            <w:tcW w:type="dxa" w:w="4320"/>
          </w:tcPr>
          <w:p>
            <w:r>
              <w:t>Compensating controls</w:t>
            </w:r>
          </w:p>
        </w:tc>
        <w:tc>
          <w:tcPr>
            <w:tcW w:type="dxa" w:w="4320"/>
          </w:tcPr>
          <w:p>
            <w:r>
              <w:t>Measures that reduce the risk during the exception period</w:t>
            </w:r>
          </w:p>
        </w:tc>
      </w:tr>
      <w:tr>
        <w:tc>
          <w:tcPr>
            <w:tcW w:type="dxa" w:w="4320"/>
          </w:tcPr>
          <w:p>
            <w:r>
              <w:t>Start date and expiry date</w:t>
            </w:r>
          </w:p>
        </w:tc>
        <w:tc>
          <w:tcPr>
            <w:tcW w:type="dxa" w:w="4320"/>
          </w:tcPr>
          <w:p>
            <w:r>
              <w:t>Time-bound duration of the exception</w:t>
            </w:r>
          </w:p>
        </w:tc>
      </w:tr>
      <w:tr>
        <w:tc>
          <w:tcPr>
            <w:tcW w:type="dxa" w:w="4320"/>
          </w:tcPr>
          <w:p>
            <w:r>
              <w:t>Review frequency</w:t>
            </w:r>
          </w:p>
        </w:tc>
        <w:tc>
          <w:tcPr>
            <w:tcW w:type="dxa" w:w="4320"/>
          </w:tcPr>
          <w:p>
            <w:r>
              <w:t>Required interval for reassessment</w:t>
            </w:r>
          </w:p>
        </w:tc>
      </w:tr>
      <w:tr>
        <w:tc>
          <w:tcPr>
            <w:tcW w:type="dxa" w:w="4320"/>
          </w:tcPr>
          <w:p>
            <w:r>
              <w:t>Approval</w:t>
            </w:r>
          </w:p>
        </w:tc>
        <w:tc>
          <w:tcPr>
            <w:tcW w:type="dxa" w:w="4320"/>
          </w:tcPr>
          <w:p>
            <w:r>
              <w:t>Authorised approval by Information Security and relevant business owner</w:t>
            </w:r>
          </w:p>
        </w:tc>
      </w:tr>
    </w:tbl>
    <w:p>
      <w:r>
        <w:t>Exceptions shall be:</w:t>
      </w:r>
    </w:p>
    <w:p>
      <w:pPr>
        <w:pStyle w:val="ListBullet"/>
      </w:pPr>
      <w:r>
        <w:t>Time-limited.</w:t>
      </w:r>
    </w:p>
    <w:p>
      <w:pPr>
        <w:pStyle w:val="ListBullet"/>
      </w:pPr>
      <w:r>
        <w:t>Reviewed before expiry.</w:t>
      </w:r>
    </w:p>
    <w:p>
      <w:pPr>
        <w:pStyle w:val="ListBullet"/>
      </w:pPr>
      <w:r>
        <w:t>Revoked when no longer required.</w:t>
      </w:r>
    </w:p>
    <w:p>
      <w:pPr>
        <w:pStyle w:val="ListBullet"/>
      </w:pPr>
      <w:r>
        <w:t>Recorded in the organisation’s exception register.</w:t>
      </w:r>
    </w:p>
    <w:p>
      <w:pPr>
        <w:pStyle w:val="ListBullet"/>
      </w:pPr>
      <w:r>
        <w:t>Subject to additional monitoring where appropriate.</w:t>
      </w:r>
    </w:p>
    <w:p>
      <w:r>
        <w:t>Exceptions shall not be used to permanently avoid implementing required security controls. Long-term exceptions shall require senior risk acceptance and a documented remediation plan.</w:t>
      </w:r>
    </w:p>
    <w:p>
      <w:pPr>
        <w:pStyle w:val="Heading2"/>
      </w:pPr>
      <w:r>
        <w:t>Review &amp; Maintenance</w:t>
      </w:r>
    </w:p>
    <w:p>
      <w:r>
        <w:t>This policy shall be reviewed at least annually and whenever significant changes occur that may affect phishing or malware risk, including:</w:t>
      </w:r>
    </w:p>
    <w:p>
      <w:pPr>
        <w:pStyle w:val="ListBullet"/>
      </w:pPr>
      <w:r>
        <w:t>Changes to the cardholder data environment.</w:t>
      </w:r>
    </w:p>
    <w:p>
      <w:pPr>
        <w:pStyle w:val="ListBullet"/>
      </w:pPr>
      <w:r>
        <w:t>Introduction of new email domains or email-sending services.</w:t>
      </w:r>
    </w:p>
    <w:p>
      <w:pPr>
        <w:pStyle w:val="ListBullet"/>
      </w:pPr>
      <w:r>
        <w:t>Changes to email hosting, security gateways, or DNS providers.</w:t>
      </w:r>
    </w:p>
    <w:p>
      <w:pPr>
        <w:pStyle w:val="ListBullet"/>
      </w:pPr>
      <w:r>
        <w:t>Deployment of new endpoint, server, cloud, or container platforms.</w:t>
      </w:r>
    </w:p>
    <w:p>
      <w:pPr>
        <w:pStyle w:val="ListBullet"/>
      </w:pPr>
      <w:r>
        <w:t>Major malware, ransomware, phishing, or business email compromise incidents.</w:t>
      </w:r>
    </w:p>
    <w:p>
      <w:pPr>
        <w:pStyle w:val="ListBullet"/>
      </w:pPr>
      <w:r>
        <w:t>Material changes in threat intelligence or attack techniques.</w:t>
      </w:r>
    </w:p>
    <w:p>
      <w:pPr>
        <w:pStyle w:val="ListBullet"/>
      </w:pPr>
      <w:r>
        <w:t>Audit findings, control failures, or recurring non-compliance.</w:t>
      </w:r>
    </w:p>
    <w:p>
      <w:pPr>
        <w:pStyle w:val="ListBullet"/>
      </w:pPr>
      <w:r>
        <w:t>Significant organisational, legal, contractual, or regulatory changes.</w:t>
      </w:r>
    </w:p>
    <w:p>
      <w:r>
        <w:t>The policy owner shall ensure that:</w:t>
      </w:r>
    </w:p>
    <w:p>
      <w:pPr>
        <w:pStyle w:val="ListBullet"/>
      </w:pPr>
      <w:r>
        <w:t>Policy content remains aligned with business risk and security obligations.</w:t>
      </w:r>
    </w:p>
    <w:p>
      <w:pPr>
        <w:pStyle w:val="ListBullet"/>
      </w:pPr>
      <w:r>
        <w:t>Supporting standards, procedures, and technical configurations remain current.</w:t>
      </w:r>
    </w:p>
    <w:p>
      <w:pPr>
        <w:pStyle w:val="ListBullet"/>
      </w:pPr>
      <w:r>
        <w:t>Roles and responsibilities remain accurate.</w:t>
      </w:r>
    </w:p>
    <w:p>
      <w:pPr>
        <w:pStyle w:val="ListBullet"/>
      </w:pPr>
      <w:r>
        <w:t>Exceptions and compensating controls are reviewed.</w:t>
      </w:r>
    </w:p>
    <w:p>
      <w:pPr>
        <w:pStyle w:val="ListBullet"/>
      </w:pPr>
      <w:r>
        <w:t>Evidence of review and approval is retained.</w:t>
      </w:r>
    </w:p>
    <w:p>
      <w:r>
        <w:t>Policy changes shall be approved by [CISO / Information Security Governance Committee] and communicated to affected personnel and service providers as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