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Type 1 vs Type 2 Decision Document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[SOC2-POL-001]</w:t>
            </w:r>
          </w:p>
        </w:tc>
        <w:tc>
          <w:tcPr>
            <w:tcW w:type="dxa" w:w="1440"/>
          </w:tcPr>
          <w:p>
            <w:r>
              <w:t>1.0</w:t>
            </w:r>
          </w:p>
        </w:tc>
        <w:tc>
          <w:tcPr>
            <w:tcW w:type="dxa" w:w="1440"/>
          </w:tcPr>
          <w:p>
            <w:r>
              <w:t>[Compliance Owner / GRC Lead]</w:t>
            </w:r>
          </w:p>
        </w:tc>
        <w:tc>
          <w:tcPr>
            <w:tcW w:type="dxa" w:w="1440"/>
          </w:tcPr>
          <w:p>
            <w:r>
              <w:t>[Effective Date]</w:t>
            </w:r>
          </w:p>
        </w:tc>
        <w:tc>
          <w:tcPr>
            <w:tcW w:type="dxa" w:w="1440"/>
          </w:tcPr>
          <w:p>
            <w:r>
              <w:t>SOC 2</w:t>
            </w:r>
          </w:p>
        </w:tc>
        <w:tc>
          <w:tcPr>
            <w:tcW w:type="dxa" w:w="1440"/>
          </w:tcPr>
          <w:p>
            <w:r>
              <w:t>Internal</w:t>
            </w:r>
          </w:p>
        </w:tc>
      </w:tr>
    </w:tbl>
    <w:p>
      <w:pPr>
        <w:pStyle w:val="Heading2"/>
      </w:pPr>
      <w:r>
        <w:t>Purpose</w:t>
      </w:r>
    </w:p>
    <w:p>
      <w:r>
        <w:t>This Policy establishes the mandatory requirements for selecting, approving, and maintaining the organisation’s SOC 2 report type and audit period. It ensures that decisions between a Type 1 and Type 2 SOC 2 examination are made consistently, based on business need, customer commitments, service maturity, control readiness, and audit feasibility.</w:t>
      </w:r>
    </w:p>
    <w:p>
      <w:r>
        <w:t>The Policy is intended to support credible assurance over the organisation’s system, services, controls, and commitments to customers and other stakeholders. It defines when a Type 1 report is appropriate, when a Type 2 report is required, and how the audit period for a Type 2 examination shall be determined.</w:t>
      </w:r>
    </w:p>
    <w:p>
      <w:pPr>
        <w:pStyle w:val="Heading2"/>
      </w:pPr>
      <w:r>
        <w:t>Scope</w:t>
      </w:r>
    </w:p>
    <w:p>
      <w:r>
        <w:t>This Policy applies to:</w:t>
      </w:r>
    </w:p>
    <w:p>
      <w:pPr>
        <w:pStyle w:val="ListBullet"/>
      </w:pPr>
      <w:r>
        <w:t>All SOC 2 examinations undertaken by the organisation.</w:t>
      </w:r>
    </w:p>
    <w:p>
      <w:pPr>
        <w:pStyle w:val="ListBullet"/>
      </w:pPr>
      <w:r>
        <w:t>All services, products, platforms, systems, processes, and business units included or proposed for inclusion in the SOC 2 system description.</w:t>
      </w:r>
    </w:p>
    <w:p>
      <w:pPr>
        <w:pStyle w:val="ListBullet"/>
      </w:pPr>
      <w:r>
        <w:t>All Trust Services Criteria selected for the SOC 2 examination, including security and any additional categories such as availability, confidentiality, processing integrity, or privacy.</w:t>
      </w:r>
    </w:p>
    <w:p>
      <w:pPr>
        <w:pStyle w:val="ListBullet"/>
      </w:pPr>
      <w:r>
        <w:t>All personnel, contractors, service owners, control owners, executive sponsors, and third-party service providers involved in SOC 2 readiness, audit planning, evidence collection, control operation, or customer assurance.</w:t>
      </w:r>
    </w:p>
    <w:p>
      <w:pPr>
        <w:pStyle w:val="ListBullet"/>
      </w:pPr>
      <w:r>
        <w:t>All decisions relating to:</w:t>
      </w:r>
    </w:p>
    <w:p>
      <w:pPr>
        <w:pStyle w:val="ListBullet"/>
      </w:pPr>
      <w:r>
        <w:t>Initial SOC 2 report type selection.</w:t>
      </w:r>
    </w:p>
    <w:p>
      <w:pPr>
        <w:pStyle w:val="ListBullet"/>
      </w:pPr>
      <w:r>
        <w:t>Transition from Type 1 to Type 2.</w:t>
      </w:r>
    </w:p>
    <w:p>
      <w:pPr>
        <w:pStyle w:val="ListBullet"/>
      </w:pPr>
      <w:r>
        <w:t>Type 2 audit period length.</w:t>
      </w:r>
    </w:p>
    <w:p>
      <w:pPr>
        <w:pStyle w:val="ListBullet"/>
      </w:pPr>
      <w:r>
        <w:t>Changes to the audit period.</w:t>
      </w:r>
    </w:p>
    <w:p>
      <w:pPr>
        <w:pStyle w:val="ListBullet"/>
      </w:pPr>
      <w:r>
        <w:t>Re-performance of a Type 1 examination.</w:t>
      </w:r>
    </w:p>
    <w:p>
      <w:pPr>
        <w:pStyle w:val="ListBullet"/>
      </w:pPr>
      <w:r>
        <w:t>Deferral, cancellation, or modification of a SOC 2 examination.</w:t>
      </w:r>
    </w:p>
    <w:p>
      <w:r>
        <w:t>This Policy does not define detailed SOC 2 control operating procedures, evidence collection steps, auditor testing methods, or customer-facing distribution rules. Those requirements are addressed in supporting procedures, control documentation, and report distribution guidance.</w:t>
      </w:r>
    </w:p>
    <w:p>
      <w:pPr>
        <w:pStyle w:val="Heading2"/>
      </w:pPr>
      <w:r>
        <w:t>Policy Statements</w:t>
      </w:r>
    </w:p>
    <w:p>
      <w:pPr>
        <w:pStyle w:val="ListBullet"/>
      </w:pPr>
      <w:r>
        <w:t>The organisation shall formally determine whether a SOC 2 Type 1 or Type 2 examination is required before engaging an independent auditor for each SOC 2 reporting cycle.</w:t>
      </w:r>
    </w:p>
    <w:p>
      <w:pPr>
        <w:pStyle w:val="ListBullet"/>
      </w:pPr>
      <w:r>
        <w:t>The organisation shall document the decision rationale for the selected report type, including business drivers, customer requirements, control maturity, audit readiness, service scope, timing constraints, and any known limitations.</w:t>
      </w:r>
    </w:p>
    <w:p>
      <w:pPr>
        <w:pStyle w:val="ListBullet"/>
      </w:pPr>
      <w:r>
        <w:t>The organisation shall use a SOC 2 Type 1 examination when the primary objective is to provide assurance that controls are suitably designed and implemented at a specific point in time.</w:t>
      </w:r>
    </w:p>
    <w:p>
      <w:pPr>
        <w:pStyle w:val="ListBullet"/>
      </w:pPr>
      <w:r>
        <w:t>The organisation shall not use a Type 1 report as a substitute for ongoing operating effectiveness assurance when customers, contractual obligations, market expectations, or risk levels require evidence that controls operated over a defined period.</w:t>
      </w:r>
    </w:p>
    <w:p>
      <w:pPr>
        <w:pStyle w:val="ListBullet"/>
      </w:pPr>
      <w:r>
        <w:t>The organisation shall use a SOC 2 Type 2 examination when the primary objective is to provide assurance that controls are suitably designed, implemented, and operating effectively over a defined review period.</w:t>
      </w:r>
    </w:p>
    <w:p>
      <w:pPr>
        <w:pStyle w:val="ListBullet"/>
      </w:pPr>
      <w:r>
        <w:t>The organisation shall maintain Type 2 reporting as the default long-term SOC 2 assurance position for mature in-scope services that are commercially offered to customers or relied upon for customer data processing.</w:t>
      </w:r>
    </w:p>
    <w:p>
      <w:pPr>
        <w:pStyle w:val="ListBullet"/>
      </w:pPr>
      <w:r>
        <w:t>The organisation shall consider a Type 1 examination appropriate only where one or more of the following conditions apply:</w:t>
      </w:r>
    </w:p>
    <w:tbl>
      <w:tblPr>
        <w:tblStyle w:val="TableGrid"/>
        <w:tblW w:type="auto" w:w="0"/>
        <w:tblLook w:firstColumn="1" w:firstRow="1" w:lastColumn="0" w:lastRow="0" w:noHBand="0" w:noVBand="1" w:val="04A0"/>
      </w:tblPr>
      <w:tblGrid>
        <w:gridCol w:w="4320"/>
        <w:gridCol w:w="4320"/>
      </w:tblGrid>
      <w:tr>
        <w:tc>
          <w:tcPr>
            <w:tcW w:type="dxa" w:w="4320"/>
          </w:tcPr>
          <w:p>
            <w:r>
              <w:t>Condition</w:t>
            </w:r>
          </w:p>
        </w:tc>
        <w:tc>
          <w:tcPr>
            <w:tcW w:type="dxa" w:w="4320"/>
          </w:tcPr>
          <w:p>
            <w:r>
              <w:t>Type 1 Use Case</w:t>
            </w:r>
          </w:p>
        </w:tc>
      </w:tr>
      <w:tr>
        <w:tc>
          <w:tcPr>
            <w:tcW w:type="dxa" w:w="4320"/>
          </w:tcPr>
          <w:p>
            <w:r>
              <w:t>First-time SOC 2 examination</w:t>
            </w:r>
          </w:p>
        </w:tc>
        <w:tc>
          <w:tcPr>
            <w:tcW w:type="dxa" w:w="4320"/>
          </w:tcPr>
          <w:p>
            <w:r>
              <w:t>The organisation has not previously completed a SOC 2 examination and requires an initial independent assessment of control design and implementation.</w:t>
            </w:r>
          </w:p>
        </w:tc>
      </w:tr>
      <w:tr>
        <w:tc>
          <w:tcPr>
            <w:tcW w:type="dxa" w:w="4320"/>
          </w:tcPr>
          <w:p>
            <w:r>
              <w:t>Newly launched service</w:t>
            </w:r>
          </w:p>
        </w:tc>
        <w:tc>
          <w:tcPr>
            <w:tcW w:type="dxa" w:w="4320"/>
          </w:tcPr>
          <w:p>
            <w:r>
              <w:t>The in-scope system, platform, or service has been recently launched and has not operated long enough to support a Type 2 period.</w:t>
            </w:r>
          </w:p>
        </w:tc>
      </w:tr>
      <w:tr>
        <w:tc>
          <w:tcPr>
            <w:tcW w:type="dxa" w:w="4320"/>
          </w:tcPr>
          <w:p>
            <w:r>
              <w:t>Material control redesign</w:t>
            </w:r>
          </w:p>
        </w:tc>
        <w:tc>
          <w:tcPr>
            <w:tcW w:type="dxa" w:w="4320"/>
          </w:tcPr>
          <w:p>
            <w:r>
              <w:t>Significant changes have been made to controls, architecture, or business processes, and the organisation requires point-in-time assurance before a Type 2 period begins.</w:t>
            </w:r>
          </w:p>
        </w:tc>
      </w:tr>
      <w:tr>
        <w:tc>
          <w:tcPr>
            <w:tcW w:type="dxa" w:w="4320"/>
          </w:tcPr>
          <w:p>
            <w:r>
              <w:t>Customer interim assurance</w:t>
            </w:r>
          </w:p>
        </w:tc>
        <w:tc>
          <w:tcPr>
            <w:tcW w:type="dxa" w:w="4320"/>
          </w:tcPr>
          <w:p>
            <w:r>
              <w:t>A customer requires a SOC 2 report before sufficient operating history exists for a Type 2 examination.</w:t>
            </w:r>
          </w:p>
        </w:tc>
      </w:tr>
      <w:tr>
        <w:tc>
          <w:tcPr>
            <w:tcW w:type="dxa" w:w="4320"/>
          </w:tcPr>
          <w:p>
            <w:r>
              <w:t>Acquisition or integration</w:t>
            </w:r>
          </w:p>
        </w:tc>
        <w:tc>
          <w:tcPr>
            <w:tcW w:type="dxa" w:w="4320"/>
          </w:tcPr>
          <w:p>
            <w:r>
              <w:t>A newly acquired or integrated service requires baseline assurance before being added to the recurring Type 2 scope.</w:t>
            </w:r>
          </w:p>
        </w:tc>
      </w:tr>
      <w:tr>
        <w:tc>
          <w:tcPr>
            <w:tcW w:type="dxa" w:w="4320"/>
          </w:tcPr>
          <w:p>
            <w:r>
              <w:t>Readiness validation</w:t>
            </w:r>
          </w:p>
        </w:tc>
        <w:tc>
          <w:tcPr>
            <w:tcW w:type="dxa" w:w="4320"/>
          </w:tcPr>
          <w:p>
            <w:r>
              <w:t>Management requires independent confirmation that the control environment is ready before committing to a Type 2 audit period.</w:t>
            </w:r>
          </w:p>
        </w:tc>
      </w:tr>
    </w:tbl>
    <w:p>
      <w:pPr>
        <w:pStyle w:val="ListBullet"/>
      </w:pPr>
      <w:r>
        <w:t>The organisation shall consider a Type 2 examination required where one or more of the following conditions apply:</w:t>
      </w:r>
    </w:p>
    <w:tbl>
      <w:tblPr>
        <w:tblStyle w:val="TableGrid"/>
        <w:tblW w:type="auto" w:w="0"/>
        <w:tblLook w:firstColumn="1" w:firstRow="1" w:lastColumn="0" w:lastRow="0" w:noHBand="0" w:noVBand="1" w:val="04A0"/>
      </w:tblPr>
      <w:tblGrid>
        <w:gridCol w:w="4320"/>
        <w:gridCol w:w="4320"/>
      </w:tblGrid>
      <w:tr>
        <w:tc>
          <w:tcPr>
            <w:tcW w:type="dxa" w:w="4320"/>
          </w:tcPr>
          <w:p>
            <w:r>
              <w:t>Condition</w:t>
            </w:r>
          </w:p>
        </w:tc>
        <w:tc>
          <w:tcPr>
            <w:tcW w:type="dxa" w:w="4320"/>
          </w:tcPr>
          <w:p>
            <w:r>
              <w:t>Type 2 Requirement</w:t>
            </w:r>
          </w:p>
        </w:tc>
      </w:tr>
      <w:tr>
        <w:tc>
          <w:tcPr>
            <w:tcW w:type="dxa" w:w="4320"/>
          </w:tcPr>
          <w:p>
            <w:r>
              <w:t>Customer or contract requirement</w:t>
            </w:r>
          </w:p>
        </w:tc>
        <w:tc>
          <w:tcPr>
            <w:tcW w:type="dxa" w:w="4320"/>
          </w:tcPr>
          <w:p>
            <w:r>
              <w:t>Customer agreements, procurement processes, or due diligence requests require evidence of control operating effectiveness.</w:t>
            </w:r>
          </w:p>
        </w:tc>
      </w:tr>
      <w:tr>
        <w:tc>
          <w:tcPr>
            <w:tcW w:type="dxa" w:w="4320"/>
          </w:tcPr>
          <w:p>
            <w:r>
              <w:t>Established production service</w:t>
            </w:r>
          </w:p>
        </w:tc>
        <w:tc>
          <w:tcPr>
            <w:tcW w:type="dxa" w:w="4320"/>
          </w:tcPr>
          <w:p>
            <w:r>
              <w:t>The in-scope service has operated in production long enough to support testing over an audit period.</w:t>
            </w:r>
          </w:p>
        </w:tc>
      </w:tr>
      <w:tr>
        <w:tc>
          <w:tcPr>
            <w:tcW w:type="dxa" w:w="4320"/>
          </w:tcPr>
          <w:p>
            <w:r>
              <w:t>Recurring assurance commitment</w:t>
            </w:r>
          </w:p>
        </w:tc>
        <w:tc>
          <w:tcPr>
            <w:tcW w:type="dxa" w:w="4320"/>
          </w:tcPr>
          <w:p>
            <w:r>
              <w:t>The organisation has committed to periodic SOC 2 reporting for customers, partners, regulators, or internal governance.</w:t>
            </w:r>
          </w:p>
        </w:tc>
      </w:tr>
      <w:tr>
        <w:tc>
          <w:tcPr>
            <w:tcW w:type="dxa" w:w="4320"/>
          </w:tcPr>
          <w:p>
            <w:r>
              <w:t>Elevated risk profile</w:t>
            </w:r>
          </w:p>
        </w:tc>
        <w:tc>
          <w:tcPr>
            <w:tcW w:type="dxa" w:w="4320"/>
          </w:tcPr>
          <w:p>
            <w:r>
              <w:t>The service processes sensitive customer data, supports critical customer operations, or has significant availability, confidentiality, privacy, or integrity commitments.</w:t>
            </w:r>
          </w:p>
        </w:tc>
      </w:tr>
      <w:tr>
        <w:tc>
          <w:tcPr>
            <w:tcW w:type="dxa" w:w="4320"/>
          </w:tcPr>
          <w:p>
            <w:r>
              <w:t>Prior Type 1 completion</w:t>
            </w:r>
          </w:p>
        </w:tc>
        <w:tc>
          <w:tcPr>
            <w:tcW w:type="dxa" w:w="4320"/>
          </w:tcPr>
          <w:p>
            <w:r>
              <w:t>A Type 1 examination has been completed and management has committed to progressing to operating effectiveness assurance.</w:t>
            </w:r>
          </w:p>
        </w:tc>
      </w:tr>
      <w:tr>
        <w:tc>
          <w:tcPr>
            <w:tcW w:type="dxa" w:w="4320"/>
          </w:tcPr>
          <w:p>
            <w:r>
              <w:t>Market expectation</w:t>
            </w:r>
          </w:p>
        </w:tc>
        <w:tc>
          <w:tcPr>
            <w:tcW w:type="dxa" w:w="4320"/>
          </w:tcPr>
          <w:p>
            <w:r>
              <w:t>Prospective customers or industry norms reasonably expect a Type 2 report for the service being offered.</w:t>
            </w:r>
          </w:p>
        </w:tc>
      </w:tr>
    </w:tbl>
    <w:p>
      <w:pPr>
        <w:pStyle w:val="ListBullet"/>
      </w:pPr>
      <w:r>
        <w:t>The organisation shall not commence a Type 2 audit period unless management has concluded that key controls are implemented, control owners are assigned, evidence generation is operating, and known control gaps have been assessed.</w:t>
      </w:r>
    </w:p>
    <w:p>
      <w:pPr>
        <w:pStyle w:val="ListBullet"/>
      </w:pPr>
      <w:r>
        <w:t>The organisation shall select a Type 2 audit period that is long enough to demonstrate consistent control operation and appropriate for the assurance expectations of customers and stakeholders.</w:t>
      </w:r>
    </w:p>
    <w:p>
      <w:pPr>
        <w:pStyle w:val="ListBullet"/>
      </w:pPr>
      <w:r>
        <w:t>The organisation shall use an audit period of at least six months for a Type 2 examination unless a shorter period is formally approved as an exception.</w:t>
      </w:r>
    </w:p>
    <w:p>
      <w:pPr>
        <w:pStyle w:val="ListBullet"/>
      </w:pPr>
      <w:r>
        <w:t>The organisation shall use an audit period of twelve months for recurring Type 2 examinations once the SOC 2 programme has reached steady-state maturity, unless a different period is justified and approved.</w:t>
      </w:r>
    </w:p>
    <w:p>
      <w:pPr>
        <w:pStyle w:val="ListBullet"/>
      </w:pPr>
      <w:r>
        <w:t>The organisation shall define the Type 2 audit period before the period starts, unless the examination is specifically planned as a retrospective audit based on sufficient existing evidence and auditor agreement.</w:t>
      </w:r>
    </w:p>
    <w:p>
      <w:pPr>
        <w:pStyle w:val="ListBullet"/>
      </w:pPr>
      <w:r>
        <w:t>The organisation shall not select a Type 2 audit period based solely on convenience, sales timelines, or customer pressure where doing so would compromise the reliability, completeness, or credibility of the examination.</w:t>
      </w:r>
    </w:p>
    <w:p>
      <w:pPr>
        <w:pStyle w:val="ListBullet"/>
      </w:pPr>
      <w:r>
        <w:t>The organisation shall consider the following factors when selecting the Type 2 audit period:</w:t>
      </w:r>
    </w:p>
    <w:tbl>
      <w:tblPr>
        <w:tblStyle w:val="TableGrid"/>
        <w:tblW w:type="auto" w:w="0"/>
        <w:tblLook w:firstColumn="1" w:firstRow="1" w:lastColumn="0" w:lastRow="0" w:noHBand="0" w:noVBand="1" w:val="04A0"/>
      </w:tblPr>
      <w:tblGrid>
        <w:gridCol w:w="4320"/>
        <w:gridCol w:w="4320"/>
      </w:tblGrid>
      <w:tr>
        <w:tc>
          <w:tcPr>
            <w:tcW w:type="dxa" w:w="4320"/>
          </w:tcPr>
          <w:p>
            <w:r>
              <w:t>Factor</w:t>
            </w:r>
          </w:p>
        </w:tc>
        <w:tc>
          <w:tcPr>
            <w:tcW w:type="dxa" w:w="4320"/>
          </w:tcPr>
          <w:p>
            <w:r>
              <w:t>Requirement</w:t>
            </w:r>
          </w:p>
        </w:tc>
      </w:tr>
      <w:tr>
        <w:tc>
          <w:tcPr>
            <w:tcW w:type="dxa" w:w="4320"/>
          </w:tcPr>
          <w:p>
            <w:r>
              <w:t>Control frequency</w:t>
            </w:r>
          </w:p>
        </w:tc>
        <w:tc>
          <w:tcPr>
            <w:tcW w:type="dxa" w:w="4320"/>
          </w:tcPr>
          <w:p>
            <w:r>
              <w:t>The audit period shall allow recurring controls to operate enough times for meaningful testing.</w:t>
            </w:r>
          </w:p>
        </w:tc>
      </w:tr>
      <w:tr>
        <w:tc>
          <w:tcPr>
            <w:tcW w:type="dxa" w:w="4320"/>
          </w:tcPr>
          <w:p>
            <w:r>
              <w:t>Service maturity</w:t>
            </w:r>
          </w:p>
        </w:tc>
        <w:tc>
          <w:tcPr>
            <w:tcW w:type="dxa" w:w="4320"/>
          </w:tcPr>
          <w:p>
            <w:r>
              <w:t>The period shall reflect how long the in-scope service has been stable in production.</w:t>
            </w:r>
          </w:p>
        </w:tc>
      </w:tr>
      <w:tr>
        <w:tc>
          <w:tcPr>
            <w:tcW w:type="dxa" w:w="4320"/>
          </w:tcPr>
          <w:p>
            <w:r>
              <w:t>Evidence availability</w:t>
            </w:r>
          </w:p>
        </w:tc>
        <w:tc>
          <w:tcPr>
            <w:tcW w:type="dxa" w:w="4320"/>
          </w:tcPr>
          <w:p>
            <w:r>
              <w:t>Evidence shall be generated and retained for the full period or otherwise be supportable through reliable records.</w:t>
            </w:r>
          </w:p>
        </w:tc>
      </w:tr>
      <w:tr>
        <w:tc>
          <w:tcPr>
            <w:tcW w:type="dxa" w:w="4320"/>
          </w:tcPr>
          <w:p>
            <w:r>
              <w:t>Customer expectations</w:t>
            </w:r>
          </w:p>
        </w:tc>
        <w:tc>
          <w:tcPr>
            <w:tcW w:type="dxa" w:w="4320"/>
          </w:tcPr>
          <w:p>
            <w:r>
              <w:t>The period shall align with customer assurance needs and contractual commitments.</w:t>
            </w:r>
          </w:p>
        </w:tc>
      </w:tr>
      <w:tr>
        <w:tc>
          <w:tcPr>
            <w:tcW w:type="dxa" w:w="4320"/>
          </w:tcPr>
          <w:p>
            <w:r>
              <w:t>Prior audit history</w:t>
            </w:r>
          </w:p>
        </w:tc>
        <w:tc>
          <w:tcPr>
            <w:tcW w:type="dxa" w:w="4320"/>
          </w:tcPr>
          <w:p>
            <w:r>
              <w:t>Prior Type 1 or Type 2 results shall be considered when determining period length.</w:t>
            </w:r>
          </w:p>
        </w:tc>
      </w:tr>
      <w:tr>
        <w:tc>
          <w:tcPr>
            <w:tcW w:type="dxa" w:w="4320"/>
          </w:tcPr>
          <w:p>
            <w:r>
              <w:t>Control changes</w:t>
            </w:r>
          </w:p>
        </w:tc>
        <w:tc>
          <w:tcPr>
            <w:tcW w:type="dxa" w:w="4320"/>
          </w:tcPr>
          <w:p>
            <w:r>
              <w:t>Major changes during the period shall be assessed for impact on audit scope and control testing.</w:t>
            </w:r>
          </w:p>
        </w:tc>
      </w:tr>
      <w:tr>
        <w:tc>
          <w:tcPr>
            <w:tcW w:type="dxa" w:w="4320"/>
          </w:tcPr>
          <w:p>
            <w:r>
              <w:t>Auditor feasibility</w:t>
            </w:r>
          </w:p>
        </w:tc>
        <w:tc>
          <w:tcPr>
            <w:tcW w:type="dxa" w:w="4320"/>
          </w:tcPr>
          <w:p>
            <w:r>
              <w:t>The independent auditor shall be able to perform appropriate testing over the selected period.</w:t>
            </w:r>
          </w:p>
        </w:tc>
      </w:tr>
      <w:tr>
        <w:tc>
          <w:tcPr>
            <w:tcW w:type="dxa" w:w="4320"/>
          </w:tcPr>
          <w:p>
            <w:r>
              <w:t>Reporting deadline</w:t>
            </w:r>
          </w:p>
        </w:tc>
        <w:tc>
          <w:tcPr>
            <w:tcW w:type="dxa" w:w="4320"/>
          </w:tcPr>
          <w:p>
            <w:r>
              <w:t>The period shall allow sufficient time for management review, auditor testing, report drafting, and final issuance.</w:t>
            </w:r>
          </w:p>
        </w:tc>
      </w:tr>
    </w:tbl>
    <w:p>
      <w:pPr>
        <w:pStyle w:val="ListBullet"/>
      </w:pPr>
      <w:r>
        <w:t>The organisation shall apply the following standard decision model unless an exception is approved:</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Required Decision</w:t>
            </w:r>
          </w:p>
        </w:tc>
      </w:tr>
      <w:tr>
        <w:tc>
          <w:tcPr>
            <w:tcW w:type="dxa" w:w="4320"/>
          </w:tcPr>
          <w:p>
            <w:r>
              <w:t>First SOC 2 examination and controls recently implemented</w:t>
            </w:r>
          </w:p>
        </w:tc>
        <w:tc>
          <w:tcPr>
            <w:tcW w:type="dxa" w:w="4320"/>
          </w:tcPr>
          <w:p>
            <w:r>
              <w:t>Type 1, followed by Type 2 after a defined operating period.</w:t>
            </w:r>
          </w:p>
        </w:tc>
      </w:tr>
      <w:tr>
        <w:tc>
          <w:tcPr>
            <w:tcW w:type="dxa" w:w="4320"/>
          </w:tcPr>
          <w:p>
            <w:r>
              <w:t>First SOC 2 examination and controls have operated reliably for at least six months</w:t>
            </w:r>
          </w:p>
        </w:tc>
        <w:tc>
          <w:tcPr>
            <w:tcW w:type="dxa" w:w="4320"/>
          </w:tcPr>
          <w:p>
            <w:r>
              <w:t>Type 2 may be selected if evidence is complete and auditor-ready.</w:t>
            </w:r>
          </w:p>
        </w:tc>
      </w:tr>
      <w:tr>
        <w:tc>
          <w:tcPr>
            <w:tcW w:type="dxa" w:w="4320"/>
          </w:tcPr>
          <w:p>
            <w:r>
              <w:t>Existing Type 1 report with customer demand for operating effectiveness</w:t>
            </w:r>
          </w:p>
        </w:tc>
        <w:tc>
          <w:tcPr>
            <w:tcW w:type="dxa" w:w="4320"/>
          </w:tcPr>
          <w:p>
            <w:r>
              <w:t>Type 2 shall be planned as the next examination.</w:t>
            </w:r>
          </w:p>
        </w:tc>
      </w:tr>
      <w:tr>
        <w:tc>
          <w:tcPr>
            <w:tcW w:type="dxa" w:w="4320"/>
          </w:tcPr>
          <w:p>
            <w:r>
              <w:t>Existing Type 2 programme with no material scope change</w:t>
            </w:r>
          </w:p>
        </w:tc>
        <w:tc>
          <w:tcPr>
            <w:tcW w:type="dxa" w:w="4320"/>
          </w:tcPr>
          <w:p>
            <w:r>
              <w:t>Annual Type 2 shall be maintained.</w:t>
            </w:r>
          </w:p>
        </w:tc>
      </w:tr>
      <w:tr>
        <w:tc>
          <w:tcPr>
            <w:tcW w:type="dxa" w:w="4320"/>
          </w:tcPr>
          <w:p>
            <w:r>
              <w:t>New product added to mature SOC 2 programme</w:t>
            </w:r>
          </w:p>
        </w:tc>
        <w:tc>
          <w:tcPr>
            <w:tcW w:type="dxa" w:w="4320"/>
          </w:tcPr>
          <w:p>
            <w:r>
              <w:t>Management shall decide whether to include it in the next Type 2 period or obtain separate Type 1 assurance first.</w:t>
            </w:r>
          </w:p>
        </w:tc>
      </w:tr>
      <w:tr>
        <w:tc>
          <w:tcPr>
            <w:tcW w:type="dxa" w:w="4320"/>
          </w:tcPr>
          <w:p>
            <w:r>
              <w:t>Material platform or control redesign</w:t>
            </w:r>
          </w:p>
        </w:tc>
        <w:tc>
          <w:tcPr>
            <w:tcW w:type="dxa" w:w="4320"/>
          </w:tcPr>
          <w:p>
            <w:r>
              <w:t>Management shall assess whether a Type 1 reset, bridge communication, modified Type 2 period, or scoped exclusion is required.</w:t>
            </w:r>
          </w:p>
        </w:tc>
      </w:tr>
      <w:tr>
        <w:tc>
          <w:tcPr>
            <w:tcW w:type="dxa" w:w="4320"/>
          </w:tcPr>
          <w:p>
            <w:r>
              <w:t>Significant evidence gaps during planned Type 2 period</w:t>
            </w:r>
          </w:p>
        </w:tc>
        <w:tc>
          <w:tcPr>
            <w:tcW w:type="dxa" w:w="4320"/>
          </w:tcPr>
          <w:p>
            <w:r>
              <w:t>Management shall assess whether to remediate and continue, shorten the period by exception, delay the report, or revert to Type 1.</w:t>
            </w:r>
          </w:p>
        </w:tc>
      </w:tr>
    </w:tbl>
    <w:p>
      <w:pPr>
        <w:pStyle w:val="ListBullet"/>
      </w:pPr>
      <w:r>
        <w:t>The organisation shall obtain approval from the Executive Sponsor, Compliance Owner, and relevant service leadership before finalising the report type and audit period.</w:t>
      </w:r>
    </w:p>
    <w:p>
      <w:pPr>
        <w:pStyle w:val="ListBullet"/>
      </w:pPr>
      <w:r>
        <w:t>The organisation shall consult the independent auditor before confirming the audit period to validate that the proposed period, scope, and evidence approach are suitable for examination.</w:t>
      </w:r>
    </w:p>
    <w:p>
      <w:pPr>
        <w:pStyle w:val="ListBullet"/>
      </w:pPr>
      <w:r>
        <w:t>The organisation shall document the approved report type and audit period in a SOC 2 Decision Record before audit planning activities are finalised.</w:t>
      </w:r>
    </w:p>
    <w:p>
      <w:pPr>
        <w:pStyle w:val="ListBullet"/>
      </w:pPr>
      <w:r>
        <w:t>The SOC 2 Decision Record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Decision Record Field</w:t>
            </w:r>
          </w:p>
        </w:tc>
        <w:tc>
          <w:tcPr>
            <w:tcW w:type="dxa" w:w="4320"/>
          </w:tcPr>
          <w:p>
            <w:r>
              <w:t>Required Content</w:t>
            </w:r>
          </w:p>
        </w:tc>
      </w:tr>
      <w:tr>
        <w:tc>
          <w:tcPr>
            <w:tcW w:type="dxa" w:w="4320"/>
          </w:tcPr>
          <w:p>
            <w:r>
              <w:t>Service or system name</w:t>
            </w:r>
          </w:p>
        </w:tc>
        <w:tc>
          <w:tcPr>
            <w:tcW w:type="dxa" w:w="4320"/>
          </w:tcPr>
          <w:p>
            <w:r>
              <w:t>Name of the in-scope service, platform, or system.</w:t>
            </w:r>
          </w:p>
        </w:tc>
      </w:tr>
      <w:tr>
        <w:tc>
          <w:tcPr>
            <w:tcW w:type="dxa" w:w="4320"/>
          </w:tcPr>
          <w:p>
            <w:r>
              <w:t>Report type</w:t>
            </w:r>
          </w:p>
        </w:tc>
        <w:tc>
          <w:tcPr>
            <w:tcW w:type="dxa" w:w="4320"/>
          </w:tcPr>
          <w:p>
            <w:r>
              <w:t>Type 1 or Type 2.</w:t>
            </w:r>
          </w:p>
        </w:tc>
      </w:tr>
      <w:tr>
        <w:tc>
          <w:tcPr>
            <w:tcW w:type="dxa" w:w="4320"/>
          </w:tcPr>
          <w:p>
            <w:r>
              <w:t>Reporting period</w:t>
            </w:r>
          </w:p>
        </w:tc>
        <w:tc>
          <w:tcPr>
            <w:tcW w:type="dxa" w:w="4320"/>
          </w:tcPr>
          <w:p>
            <w:r>
              <w:t>Point-in-time date for Type 1 or start and end dates for Type 2.</w:t>
            </w:r>
          </w:p>
        </w:tc>
      </w:tr>
      <w:tr>
        <w:tc>
          <w:tcPr>
            <w:tcW w:type="dxa" w:w="4320"/>
          </w:tcPr>
          <w:p>
            <w:r>
              <w:t>Selected Trust Services Categories</w:t>
            </w:r>
          </w:p>
        </w:tc>
        <w:tc>
          <w:tcPr>
            <w:tcW w:type="dxa" w:w="4320"/>
          </w:tcPr>
          <w:p>
            <w:r>
              <w:t>Categories included in the examination.</w:t>
            </w:r>
          </w:p>
        </w:tc>
      </w:tr>
      <w:tr>
        <w:tc>
          <w:tcPr>
            <w:tcW w:type="dxa" w:w="4320"/>
          </w:tcPr>
          <w:p>
            <w:r>
              <w:t>Business rationale</w:t>
            </w:r>
          </w:p>
        </w:tc>
        <w:tc>
          <w:tcPr>
            <w:tcW w:type="dxa" w:w="4320"/>
          </w:tcPr>
          <w:p>
            <w:r>
              <w:t>Reason the selected report type meets current assurance needs.</w:t>
            </w:r>
          </w:p>
        </w:tc>
      </w:tr>
      <w:tr>
        <w:tc>
          <w:tcPr>
            <w:tcW w:type="dxa" w:w="4320"/>
          </w:tcPr>
          <w:p>
            <w:r>
              <w:t>Customer or contractual drivers</w:t>
            </w:r>
          </w:p>
        </w:tc>
        <w:tc>
          <w:tcPr>
            <w:tcW w:type="dxa" w:w="4320"/>
          </w:tcPr>
          <w:p>
            <w:r>
              <w:t>Relevant customer commitments, sales requirements, or contract obligations.</w:t>
            </w:r>
          </w:p>
        </w:tc>
      </w:tr>
      <w:tr>
        <w:tc>
          <w:tcPr>
            <w:tcW w:type="dxa" w:w="4320"/>
          </w:tcPr>
          <w:p>
            <w:r>
              <w:t>Control readiness assessment</w:t>
            </w:r>
          </w:p>
        </w:tc>
        <w:tc>
          <w:tcPr>
            <w:tcW w:type="dxa" w:w="4320"/>
          </w:tcPr>
          <w:p>
            <w:r>
              <w:t>Summary of control implementation and operating maturity.</w:t>
            </w:r>
          </w:p>
        </w:tc>
      </w:tr>
      <w:tr>
        <w:tc>
          <w:tcPr>
            <w:tcW w:type="dxa" w:w="4320"/>
          </w:tcPr>
          <w:p>
            <w:r>
              <w:t>Evidence readiness</w:t>
            </w:r>
          </w:p>
        </w:tc>
        <w:tc>
          <w:tcPr>
            <w:tcW w:type="dxa" w:w="4320"/>
          </w:tcPr>
          <w:p>
            <w:r>
              <w:t>Confirmation that evidence is available or will be generated for the required period.</w:t>
            </w:r>
          </w:p>
        </w:tc>
      </w:tr>
      <w:tr>
        <w:tc>
          <w:tcPr>
            <w:tcW w:type="dxa" w:w="4320"/>
          </w:tcPr>
          <w:p>
            <w:r>
              <w:t>Known limitations</w:t>
            </w:r>
          </w:p>
        </w:tc>
        <w:tc>
          <w:tcPr>
            <w:tcW w:type="dxa" w:w="4320"/>
          </w:tcPr>
          <w:p>
            <w:r>
              <w:t>Any exclusions, constraints, unresolved gaps, or scope caveats.</w:t>
            </w:r>
          </w:p>
        </w:tc>
      </w:tr>
      <w:tr>
        <w:tc>
          <w:tcPr>
            <w:tcW w:type="dxa" w:w="4320"/>
          </w:tcPr>
          <w:p>
            <w:r>
              <w:t>Auditor consultation</w:t>
            </w:r>
          </w:p>
        </w:tc>
        <w:tc>
          <w:tcPr>
            <w:tcW w:type="dxa" w:w="4320"/>
          </w:tcPr>
          <w:p>
            <w:r>
              <w:t>Confirmation that the auditor has been consulted on feasibility.</w:t>
            </w:r>
          </w:p>
        </w:tc>
      </w:tr>
      <w:tr>
        <w:tc>
          <w:tcPr>
            <w:tcW w:type="dxa" w:w="4320"/>
          </w:tcPr>
          <w:p>
            <w:r>
              <w:t>Approvals</w:t>
            </w:r>
          </w:p>
        </w:tc>
        <w:tc>
          <w:tcPr>
            <w:tcW w:type="dxa" w:w="4320"/>
          </w:tcPr>
          <w:p>
            <w:r>
              <w:t>Required management approvals and approval dates.</w:t>
            </w:r>
          </w:p>
        </w:tc>
      </w:tr>
    </w:tbl>
    <w:p>
      <w:pPr>
        <w:pStyle w:val="ListBullet"/>
      </w:pPr>
      <w:r>
        <w:t>The organisation shall maintain a SOC 2 audit planning timeline for each reporting cycle.</w:t>
      </w:r>
    </w:p>
    <w:p>
      <w:pPr>
        <w:pStyle w:val="ListBullet"/>
      </w:pPr>
      <w:r>
        <w:t>The SOC 2 audit planning timeline shall include realistic milestones for readiness, period start, evidence collection, audit fieldwork, management review, report issuance, and customer availability.</w:t>
      </w:r>
    </w:p>
    <w:p>
      <w:pPr>
        <w:pStyle w:val="ListBullet"/>
      </w:pPr>
      <w:r>
        <w:t>The organisation shall use the following planning baseline unless an alternative timeline is approved:</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Type 1 Baseline</w:t>
            </w:r>
          </w:p>
        </w:tc>
        <w:tc>
          <w:tcPr>
            <w:tcW w:type="dxa" w:w="2880"/>
          </w:tcPr>
          <w:p>
            <w:r>
              <w:t>Type 2 Baseline</w:t>
            </w:r>
          </w:p>
        </w:tc>
      </w:tr>
      <w:tr>
        <w:tc>
          <w:tcPr>
            <w:tcW w:type="dxa" w:w="2880"/>
          </w:tcPr>
          <w:p>
            <w:r>
              <w:t>Confirm report scope and categories</w:t>
            </w:r>
          </w:p>
        </w:tc>
        <w:tc>
          <w:tcPr>
            <w:tcW w:type="dxa" w:w="2880"/>
          </w:tcPr>
          <w:p>
            <w:r>
              <w:t>8-12 weeks before target report date</w:t>
            </w:r>
          </w:p>
        </w:tc>
        <w:tc>
          <w:tcPr>
            <w:tcW w:type="dxa" w:w="2880"/>
          </w:tcPr>
          <w:p>
            <w:r>
              <w:t>4-8 weeks before audit period start</w:t>
            </w:r>
          </w:p>
        </w:tc>
      </w:tr>
      <w:tr>
        <w:tc>
          <w:tcPr>
            <w:tcW w:type="dxa" w:w="2880"/>
          </w:tcPr>
          <w:p>
            <w:r>
              <w:t>Complete readiness assessment</w:t>
            </w:r>
          </w:p>
        </w:tc>
        <w:tc>
          <w:tcPr>
            <w:tcW w:type="dxa" w:w="2880"/>
          </w:tcPr>
          <w:p>
            <w:r>
              <w:t>6-10 weeks before target report date</w:t>
            </w:r>
          </w:p>
        </w:tc>
        <w:tc>
          <w:tcPr>
            <w:tcW w:type="dxa" w:w="2880"/>
          </w:tcPr>
          <w:p>
            <w:r>
              <w:t>Before audit period start</w:t>
            </w:r>
          </w:p>
        </w:tc>
      </w:tr>
      <w:tr>
        <w:tc>
          <w:tcPr>
            <w:tcW w:type="dxa" w:w="2880"/>
          </w:tcPr>
          <w:p>
            <w:r>
              <w:t>Finalise auditor engagement</w:t>
            </w:r>
          </w:p>
        </w:tc>
        <w:tc>
          <w:tcPr>
            <w:tcW w:type="dxa" w:w="2880"/>
          </w:tcPr>
          <w:p>
            <w:r>
              <w:t>6-8 weeks before target report date</w:t>
            </w:r>
          </w:p>
        </w:tc>
        <w:tc>
          <w:tcPr>
            <w:tcW w:type="dxa" w:w="2880"/>
          </w:tcPr>
          <w:p>
            <w:r>
              <w:t>Before audit period start</w:t>
            </w:r>
          </w:p>
        </w:tc>
      </w:tr>
      <w:tr>
        <w:tc>
          <w:tcPr>
            <w:tcW w:type="dxa" w:w="2880"/>
          </w:tcPr>
          <w:p>
            <w:r>
              <w:t>Confirm system description owner</w:t>
            </w:r>
          </w:p>
        </w:tc>
        <w:tc>
          <w:tcPr>
            <w:tcW w:type="dxa" w:w="2880"/>
          </w:tcPr>
          <w:p>
            <w:r>
              <w:t>4-6 weeks before target report date</w:t>
            </w:r>
          </w:p>
        </w:tc>
        <w:tc>
          <w:tcPr>
            <w:tcW w:type="dxa" w:w="2880"/>
          </w:tcPr>
          <w:p>
            <w:r>
              <w:t>Before audit period start</w:t>
            </w:r>
          </w:p>
        </w:tc>
      </w:tr>
      <w:tr>
        <w:tc>
          <w:tcPr>
            <w:tcW w:type="dxa" w:w="2880"/>
          </w:tcPr>
          <w:p>
            <w:r>
              <w:t>Begin audit period</w:t>
            </w:r>
          </w:p>
        </w:tc>
        <w:tc>
          <w:tcPr>
            <w:tcW w:type="dxa" w:w="2880"/>
          </w:tcPr>
          <w:p>
            <w:r>
              <w:t>Not applicable</w:t>
            </w:r>
          </w:p>
        </w:tc>
        <w:tc>
          <w:tcPr>
            <w:tcW w:type="dxa" w:w="2880"/>
          </w:tcPr>
          <w:p>
            <w:r>
              <w:t>Approved audit period start date</w:t>
            </w:r>
          </w:p>
        </w:tc>
      </w:tr>
      <w:tr>
        <w:tc>
          <w:tcPr>
            <w:tcW w:type="dxa" w:w="2880"/>
          </w:tcPr>
          <w:p>
            <w:r>
              <w:t>Perform evidence quality checks</w:t>
            </w:r>
          </w:p>
        </w:tc>
        <w:tc>
          <w:tcPr>
            <w:tcW w:type="dxa" w:w="2880"/>
          </w:tcPr>
          <w:p>
            <w:r>
              <w:t>3-4 weeks before fieldwork</w:t>
            </w:r>
          </w:p>
        </w:tc>
        <w:tc>
          <w:tcPr>
            <w:tcW w:type="dxa" w:w="2880"/>
          </w:tcPr>
          <w:p>
            <w:r>
              <w:t>Monthly or quarterly during audit period</w:t>
            </w:r>
          </w:p>
        </w:tc>
      </w:tr>
      <w:tr>
        <w:tc>
          <w:tcPr>
            <w:tcW w:type="dxa" w:w="2880"/>
          </w:tcPr>
          <w:p>
            <w:r>
              <w:t>Complete fieldwork</w:t>
            </w:r>
          </w:p>
        </w:tc>
        <w:tc>
          <w:tcPr>
            <w:tcW w:type="dxa" w:w="2880"/>
          </w:tcPr>
          <w:p>
            <w:r>
              <w:t>As scheduled with auditor</w:t>
            </w:r>
          </w:p>
        </w:tc>
        <w:tc>
          <w:tcPr>
            <w:tcW w:type="dxa" w:w="2880"/>
          </w:tcPr>
          <w:p>
            <w:r>
              <w:t>After audit period end</w:t>
            </w:r>
          </w:p>
        </w:tc>
      </w:tr>
      <w:tr>
        <w:tc>
          <w:tcPr>
            <w:tcW w:type="dxa" w:w="2880"/>
          </w:tcPr>
          <w:p>
            <w:r>
              <w:t>Management review of draft report</w:t>
            </w:r>
          </w:p>
        </w:tc>
        <w:tc>
          <w:tcPr>
            <w:tcW w:type="dxa" w:w="2880"/>
          </w:tcPr>
          <w:p>
            <w:r>
              <w:t>Before final issuance</w:t>
            </w:r>
          </w:p>
        </w:tc>
        <w:tc>
          <w:tcPr>
            <w:tcW w:type="dxa" w:w="2880"/>
          </w:tcPr>
          <w:p>
            <w:r>
              <w:t>Before final issuance</w:t>
            </w:r>
          </w:p>
        </w:tc>
      </w:tr>
      <w:tr>
        <w:tc>
          <w:tcPr>
            <w:tcW w:type="dxa" w:w="2880"/>
          </w:tcPr>
          <w:p>
            <w:r>
              <w:t>Final report issuance</w:t>
            </w:r>
          </w:p>
        </w:tc>
        <w:tc>
          <w:tcPr>
            <w:tcW w:type="dxa" w:w="2880"/>
          </w:tcPr>
          <w:p>
            <w:r>
              <w:t>Target date approved by management</w:t>
            </w:r>
          </w:p>
        </w:tc>
        <w:tc>
          <w:tcPr>
            <w:tcW w:type="dxa" w:w="2880"/>
          </w:tcPr>
          <w:p>
            <w:r>
              <w:t>Target date approved by management</w:t>
            </w:r>
          </w:p>
        </w:tc>
      </w:tr>
    </w:tbl>
    <w:p>
      <w:pPr>
        <w:pStyle w:val="ListBullet"/>
      </w:pPr>
      <w:r>
        <w:t>The organisation shall not represent a SOC 2 examination as covering controls, systems, services, locations, entities, or time periods that are not included in the approved audit scope.</w:t>
      </w:r>
    </w:p>
    <w:p>
      <w:pPr>
        <w:pStyle w:val="ListBullet"/>
      </w:pPr>
      <w:r>
        <w:t>The organisation shall ensure that customer-facing statements about SOC 2 report type, audit period, status, or expected issuance date are accurate, approved, and not misleading.</w:t>
      </w:r>
    </w:p>
    <w:p>
      <w:pPr>
        <w:pStyle w:val="ListBullet"/>
      </w:pPr>
      <w:r>
        <w:t>The organisation shall not commit to providing a Type 2 report to customers unless the audit period, report scope, auditor engagement, and expected issuance timeline have been approved by authorised management.</w:t>
      </w:r>
    </w:p>
    <w:p>
      <w:pPr>
        <w:pStyle w:val="ListBullet"/>
      </w:pPr>
      <w:r>
        <w:t>The organisation shall maintain evidence supporting the report type and audit period decision for each SOC 2 reporting cycle.</w:t>
      </w:r>
    </w:p>
    <w:p>
      <w:pPr>
        <w:pStyle w:val="ListBullet"/>
      </w:pPr>
      <w:r>
        <w:t>The organisation shall retain approved SOC 2 Decision Records, audit planning materials, management approvals, auditor communications, readiness results, and related evidence in the designated compliance repository.</w:t>
      </w:r>
    </w:p>
    <w:p>
      <w:pPr>
        <w:pStyle w:val="ListBullet"/>
      </w:pPr>
      <w:r>
        <w:t>The organisation shall review material changes to the in-scope system during a Type 2 audit period to determine whether the audit period, report scope, or report type remains appropriate.</w:t>
      </w:r>
    </w:p>
    <w:p>
      <w:pPr>
        <w:pStyle w:val="ListBullet"/>
      </w:pPr>
      <w:r>
        <w:t>The organisation shall escalate any event that may materially affect the SOC 2 report type, audit period, audit scope, or issuance timeline to the Executive Sponsor and Compliance Owner within a reasonable timeframe.</w:t>
      </w:r>
    </w:p>
    <w:p>
      <w:pPr>
        <w:pStyle w:val="ListBullet"/>
      </w:pPr>
      <w:r>
        <w:t>The organisation shall assess whether bridge letters, customer notices, modified reporting timelines, or additional assurance activities are required when there is a gap between SOC 2 report periods or a delay in report issuance.</w:t>
      </w:r>
    </w:p>
    <w:p>
      <w:pPr>
        <w:pStyle w:val="ListBullet"/>
      </w:pPr>
      <w:r>
        <w:t>The organisation shall not rely on bridge letters as a permanent replacement for timely Type 2 reporting.</w:t>
      </w:r>
    </w:p>
    <w:p>
      <w:pPr>
        <w:pStyle w:val="ListBullet"/>
      </w:pPr>
      <w:r>
        <w:t>The organisation shall ensure that Type 2 report periods are planned to minimise assurance gaps between reporting cycles wherever commercially and operationally feasible.</w:t>
      </w:r>
    </w:p>
    <w:p>
      <w:pPr>
        <w:pStyle w:val="ListBullet"/>
      </w:pPr>
      <w:r>
        <w:t>The organisation shall document any decision to delay, cancel, shorten, extend, or materially modify a SOC 2 examination.</w:t>
      </w:r>
    </w:p>
    <w:p>
      <w:pPr>
        <w:pStyle w:val="ListBullet"/>
      </w:pPr>
      <w:r>
        <w:t>The organisation shall ensure that SOC 2 report type and audit period decisions are aligned with the organisation’s risk appetite, customer assurance strategy, contractual commitments, and control maturity.</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Sponsor</w:t>
            </w:r>
          </w:p>
        </w:tc>
        <w:tc>
          <w:tcPr>
            <w:tcW w:type="dxa" w:w="4320"/>
          </w:tcPr>
          <w:p>
            <w:r>
              <w:t>Provides executive ownership for SOC 2 reporting strategy; approves the selected report type and audit period; resolves conflicts involving customer commitments, resources, timing, or risk acceptance.</w:t>
            </w:r>
          </w:p>
        </w:tc>
      </w:tr>
      <w:tr>
        <w:tc>
          <w:tcPr>
            <w:tcW w:type="dxa" w:w="4320"/>
          </w:tcPr>
          <w:p>
            <w:r>
              <w:t>Compliance Owner / GRC Lead</w:t>
            </w:r>
          </w:p>
        </w:tc>
        <w:tc>
          <w:tcPr>
            <w:tcW w:type="dxa" w:w="4320"/>
          </w:tcPr>
          <w:p>
            <w:r>
              <w:t>Owns this Policy; coordinates SOC 2 decision-making; prepares the SOC 2 Decision Record; validates readiness inputs; maintains audit planning documentation; coordinates with the independent auditor.</w:t>
            </w:r>
          </w:p>
        </w:tc>
      </w:tr>
      <w:tr>
        <w:tc>
          <w:tcPr>
            <w:tcW w:type="dxa" w:w="4320"/>
          </w:tcPr>
          <w:p>
            <w:r>
              <w:t>Security Leader</w:t>
            </w:r>
          </w:p>
        </w:tc>
        <w:tc>
          <w:tcPr>
            <w:tcW w:type="dxa" w:w="4320"/>
          </w:tcPr>
          <w:p>
            <w:r>
              <w:t>Confirms security control readiness; identifies material control gaps; assesses the impact of security incidents, control changes, and technical risks on the selected report type and audit period.</w:t>
            </w:r>
          </w:p>
        </w:tc>
      </w:tr>
      <w:tr>
        <w:tc>
          <w:tcPr>
            <w:tcW w:type="dxa" w:w="4320"/>
          </w:tcPr>
          <w:p>
            <w:r>
              <w:t>Privacy Leader</w:t>
            </w:r>
          </w:p>
        </w:tc>
        <w:tc>
          <w:tcPr>
            <w:tcW w:type="dxa" w:w="4320"/>
          </w:tcPr>
          <w:p>
            <w:r>
              <w:t>Provides input where privacy commitments are included in scope; confirms readiness of privacy-related controls, notices, data handling processes, and evidence.</w:t>
            </w:r>
          </w:p>
        </w:tc>
      </w:tr>
      <w:tr>
        <w:tc>
          <w:tcPr>
            <w:tcW w:type="dxa" w:w="4320"/>
          </w:tcPr>
          <w:p>
            <w:r>
              <w:t>Engineering / Technology Leader</w:t>
            </w:r>
          </w:p>
        </w:tc>
        <w:tc>
          <w:tcPr>
            <w:tcW w:type="dxa" w:w="4320"/>
          </w:tcPr>
          <w:p>
            <w:r>
              <w:t>Confirms platform and infrastructure readiness; identifies material system changes; ensures technical evidence is available for the audit period.</w:t>
            </w:r>
          </w:p>
        </w:tc>
      </w:tr>
      <w:tr>
        <w:tc>
          <w:tcPr>
            <w:tcW w:type="dxa" w:w="4320"/>
          </w:tcPr>
          <w:p>
            <w:r>
              <w:t>Product or Service Owner</w:t>
            </w:r>
          </w:p>
        </w:tc>
        <w:tc>
          <w:tcPr>
            <w:tcW w:type="dxa" w:w="4320"/>
          </w:tcPr>
          <w:p>
            <w:r>
              <w:t>Defines the in-scope service boundaries; confirms production status, customer commitments, service changes, and customer-facing assurance needs.</w:t>
            </w:r>
          </w:p>
        </w:tc>
      </w:tr>
      <w:tr>
        <w:tc>
          <w:tcPr>
            <w:tcW w:type="dxa" w:w="4320"/>
          </w:tcPr>
          <w:p>
            <w:r>
              <w:t>Legal / Contracts</w:t>
            </w:r>
          </w:p>
        </w:tc>
        <w:tc>
          <w:tcPr>
            <w:tcW w:type="dxa" w:w="4320"/>
          </w:tcPr>
          <w:p>
            <w:r>
              <w:t>Reviews customer contractual obligations, report commitments, confidentiality restrictions, and customer communications relating to SOC 2 report availability.</w:t>
            </w:r>
          </w:p>
        </w:tc>
      </w:tr>
      <w:tr>
        <w:tc>
          <w:tcPr>
            <w:tcW w:type="dxa" w:w="4320"/>
          </w:tcPr>
          <w:p>
            <w:r>
              <w:t>Sales / Customer Success</w:t>
            </w:r>
          </w:p>
        </w:tc>
        <w:tc>
          <w:tcPr>
            <w:tcW w:type="dxa" w:w="4320"/>
          </w:tcPr>
          <w:p>
            <w:r>
              <w:t>Provides customer assurance requirements and deadlines; ensures customer-facing commitments are aligned with approved SOC 2 decisions.</w:t>
            </w:r>
          </w:p>
        </w:tc>
      </w:tr>
      <w:tr>
        <w:tc>
          <w:tcPr>
            <w:tcW w:type="dxa" w:w="4320"/>
          </w:tcPr>
          <w:p>
            <w:r>
              <w:t>Control Owners</w:t>
            </w:r>
          </w:p>
        </w:tc>
        <w:tc>
          <w:tcPr>
            <w:tcW w:type="dxa" w:w="4320"/>
          </w:tcPr>
          <w:p>
            <w:r>
              <w:t>Operate assigned controls; maintain evidence; notify the Compliance Owner of control failures, delays, or changes affecting SOC 2 readiness.</w:t>
            </w:r>
          </w:p>
        </w:tc>
      </w:tr>
      <w:tr>
        <w:tc>
          <w:tcPr>
            <w:tcW w:type="dxa" w:w="4320"/>
          </w:tcPr>
          <w:p>
            <w:r>
              <w:t>Internal Audit or Risk Function, where applicable</w:t>
            </w:r>
          </w:p>
        </w:tc>
        <w:tc>
          <w:tcPr>
            <w:tcW w:type="dxa" w:w="4320"/>
          </w:tcPr>
          <w:p>
            <w:r>
              <w:t>Provides independent challenge or advisory input on readiness, risk, and governance of SOC 2 decisions.</w:t>
            </w:r>
          </w:p>
        </w:tc>
      </w:tr>
      <w:tr>
        <w:tc>
          <w:tcPr>
            <w:tcW w:type="dxa" w:w="4320"/>
          </w:tcPr>
          <w:p>
            <w:r>
              <w:t>Independent Auditor</w:t>
            </w:r>
          </w:p>
        </w:tc>
        <w:tc>
          <w:tcPr>
            <w:tcW w:type="dxa" w:w="4320"/>
          </w:tcPr>
          <w:p>
            <w:r>
              <w:t>Provides professional input on audit feasibility, report type implications, evidence expectations, and audit period suitability. The auditor does not approve management’s business decision.</w:t>
            </w:r>
          </w:p>
        </w:tc>
      </w:tr>
      <w:tr>
        <w:tc>
          <w:tcPr>
            <w:tcW w:type="dxa" w:w="4320"/>
          </w:tcPr>
          <w:p>
            <w:r>
              <w:t>Senior Management</w:t>
            </w:r>
          </w:p>
        </w:tc>
        <w:tc>
          <w:tcPr>
            <w:tcW w:type="dxa" w:w="4320"/>
          </w:tcPr>
          <w:p>
            <w:r>
              <w:t>Reviews and approves significant changes to SOC 2 reporting strategy, including exceptions, deferrals, or deviations from standard Type 2 reporting expectations.</w:t>
            </w:r>
          </w:p>
        </w:tc>
      </w:tr>
    </w:tbl>
    <w:p>
      <w:pPr>
        <w:pStyle w:val="Heading2"/>
      </w:pPr>
      <w:r>
        <w:t>Compliance, Monitoring &amp; Enforcement</w:t>
      </w:r>
    </w:p>
    <w:p>
      <w:r>
        <w:t>Compliance with this Policy is mandatory for all personnel involved in SOC 2 planning, readiness, reporting, customer assurance, and control operation.</w:t>
      </w:r>
    </w:p>
    <w:p>
      <w:r>
        <w:t>The Compliance Owner shall monitor compliance with this Policy by:</w:t>
      </w:r>
    </w:p>
    <w:p>
      <w:pPr>
        <w:pStyle w:val="ListBullet"/>
      </w:pPr>
      <w:r>
        <w:t>Maintaining an approved SOC 2 Decision Record for each examination.</w:t>
      </w:r>
    </w:p>
    <w:p>
      <w:pPr>
        <w:pStyle w:val="ListBullet"/>
      </w:pPr>
      <w:r>
        <w:t>Confirming that report type and audit period decisions are approved before auditor fieldwork begins.</w:t>
      </w:r>
    </w:p>
    <w:p>
      <w:pPr>
        <w:pStyle w:val="ListBullet"/>
      </w:pPr>
      <w:r>
        <w:t>Performing periodic readiness checks before and during a Type 2 audit period.</w:t>
      </w:r>
    </w:p>
    <w:p>
      <w:pPr>
        <w:pStyle w:val="ListBullet"/>
      </w:pPr>
      <w:r>
        <w:t>Confirming that control owners understand evidence expectations for the selected report type.</w:t>
      </w:r>
    </w:p>
    <w:p>
      <w:pPr>
        <w:pStyle w:val="ListBullet"/>
      </w:pPr>
      <w:r>
        <w:t>Reviewing customer-facing SOC 2 commitments for consistency with approved decisions.</w:t>
      </w:r>
    </w:p>
    <w:p>
      <w:pPr>
        <w:pStyle w:val="ListBullet"/>
      </w:pPr>
      <w:r>
        <w:t>Tracking open readiness gaps, audit period risks, evidence issues, and report issuance risks.</w:t>
      </w:r>
    </w:p>
    <w:p>
      <w:pPr>
        <w:pStyle w:val="ListBullet"/>
      </w:pPr>
      <w:r>
        <w:t>Reporting material SOC 2 planning risks to the Executive Sponsor and senior management.</w:t>
      </w:r>
    </w:p>
    <w:p>
      <w:r>
        <w:t>The organisation shall monitor the following minimum indicators:</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Minimum Expectation</w:t>
            </w:r>
          </w:p>
        </w:tc>
      </w:tr>
      <w:tr>
        <w:tc>
          <w:tcPr>
            <w:tcW w:type="dxa" w:w="4320"/>
          </w:tcPr>
          <w:p>
            <w:r>
              <w:t>Approved decision record</w:t>
            </w:r>
          </w:p>
        </w:tc>
        <w:tc>
          <w:tcPr>
            <w:tcW w:type="dxa" w:w="4320"/>
          </w:tcPr>
          <w:p>
            <w:r>
              <w:t>Completed before audit engagement is finalised or audit period begins.</w:t>
            </w:r>
          </w:p>
        </w:tc>
      </w:tr>
      <w:tr>
        <w:tc>
          <w:tcPr>
            <w:tcW w:type="dxa" w:w="4320"/>
          </w:tcPr>
          <w:p>
            <w:r>
              <w:t>Audit period readiness</w:t>
            </w:r>
          </w:p>
        </w:tc>
        <w:tc>
          <w:tcPr>
            <w:tcW w:type="dxa" w:w="4320"/>
          </w:tcPr>
          <w:p>
            <w:r>
              <w:t>Confirmed before Type 2 period start.</w:t>
            </w:r>
          </w:p>
        </w:tc>
      </w:tr>
      <w:tr>
        <w:tc>
          <w:tcPr>
            <w:tcW w:type="dxa" w:w="4320"/>
          </w:tcPr>
          <w:p>
            <w:r>
              <w:t>Evidence collection</w:t>
            </w:r>
          </w:p>
        </w:tc>
        <w:tc>
          <w:tcPr>
            <w:tcW w:type="dxa" w:w="4320"/>
          </w:tcPr>
          <w:p>
            <w:r>
              <w:t>Reviewed periodically during the audit period.</w:t>
            </w:r>
          </w:p>
        </w:tc>
      </w:tr>
      <w:tr>
        <w:tc>
          <w:tcPr>
            <w:tcW w:type="dxa" w:w="4320"/>
          </w:tcPr>
          <w:p>
            <w:r>
              <w:t>Control owner accountability</w:t>
            </w:r>
          </w:p>
        </w:tc>
        <w:tc>
          <w:tcPr>
            <w:tcW w:type="dxa" w:w="4320"/>
          </w:tcPr>
          <w:p>
            <w:r>
              <w:t>Control ownership documented and current.</w:t>
            </w:r>
          </w:p>
        </w:tc>
      </w:tr>
      <w:tr>
        <w:tc>
          <w:tcPr>
            <w:tcW w:type="dxa" w:w="4320"/>
          </w:tcPr>
          <w:p>
            <w:r>
              <w:t>Scope stability</w:t>
            </w:r>
          </w:p>
        </w:tc>
        <w:tc>
          <w:tcPr>
            <w:tcW w:type="dxa" w:w="4320"/>
          </w:tcPr>
          <w:p>
            <w:r>
              <w:t>Material system or process changes assessed for SOC 2 impact.</w:t>
            </w:r>
          </w:p>
        </w:tc>
      </w:tr>
      <w:tr>
        <w:tc>
          <w:tcPr>
            <w:tcW w:type="dxa" w:w="4320"/>
          </w:tcPr>
          <w:p>
            <w:r>
              <w:t>Customer commitments</w:t>
            </w:r>
          </w:p>
        </w:tc>
        <w:tc>
          <w:tcPr>
            <w:tcW w:type="dxa" w:w="4320"/>
          </w:tcPr>
          <w:p>
            <w:r>
              <w:t>SOC 2 commitments reviewed before being communicated externally.</w:t>
            </w:r>
          </w:p>
        </w:tc>
      </w:tr>
      <w:tr>
        <w:tc>
          <w:tcPr>
            <w:tcW w:type="dxa" w:w="4320"/>
          </w:tcPr>
          <w:p>
            <w:r>
              <w:t>Reporting timeline</w:t>
            </w:r>
          </w:p>
        </w:tc>
        <w:tc>
          <w:tcPr>
            <w:tcW w:type="dxa" w:w="4320"/>
          </w:tcPr>
          <w:p>
            <w:r>
              <w:t>Milestones tracked against approved target dates.</w:t>
            </w:r>
          </w:p>
        </w:tc>
      </w:tr>
      <w:tr>
        <w:tc>
          <w:tcPr>
            <w:tcW w:type="dxa" w:w="4320"/>
          </w:tcPr>
          <w:p>
            <w:r>
              <w:t>Assurance gaps</w:t>
            </w:r>
          </w:p>
        </w:tc>
        <w:tc>
          <w:tcPr>
            <w:tcW w:type="dxa" w:w="4320"/>
          </w:tcPr>
          <w:p>
            <w:r>
              <w:t>Gaps between report periods identified and managed.</w:t>
            </w:r>
          </w:p>
        </w:tc>
      </w:tr>
    </w:tbl>
    <w:p>
      <w:r>
        <w:t>Non-compliance with this Policy may result in:</w:t>
      </w:r>
    </w:p>
    <w:p>
      <w:pPr>
        <w:pStyle w:val="ListBullet"/>
      </w:pPr>
      <w:r>
        <w:t>Rejection or deferral of a proposed SOC 2 examination.</w:t>
      </w:r>
    </w:p>
    <w:p>
      <w:pPr>
        <w:pStyle w:val="ListBullet"/>
      </w:pPr>
      <w:r>
        <w:t>Requirement to complete a Type 1 examination before proceeding to Type 2.</w:t>
      </w:r>
    </w:p>
    <w:p>
      <w:pPr>
        <w:pStyle w:val="ListBullet"/>
      </w:pPr>
      <w:r>
        <w:t>Extension, delay, or restart of a Type 2 audit period.</w:t>
      </w:r>
    </w:p>
    <w:p>
      <w:pPr>
        <w:pStyle w:val="ListBullet"/>
      </w:pPr>
      <w:r>
        <w:t>Management review of customer commitments and external assurance statements.</w:t>
      </w:r>
    </w:p>
    <w:p>
      <w:pPr>
        <w:pStyle w:val="ListBullet"/>
      </w:pPr>
      <w:r>
        <w:t>Corrective action plans for control owners or business leaders.</w:t>
      </w:r>
    </w:p>
    <w:p>
      <w:pPr>
        <w:pStyle w:val="ListBullet"/>
      </w:pPr>
      <w:r>
        <w:t>Escalation to senior management.</w:t>
      </w:r>
    </w:p>
    <w:p>
      <w:pPr>
        <w:pStyle w:val="ListBullet"/>
      </w:pPr>
      <w:r>
        <w:t>Disciplinary action in accordance with organisational policy where non-compliance is deliberate, negligent, or materially misleading.</w:t>
      </w:r>
    </w:p>
    <w:p>
      <w:r>
        <w:t>The organisation shall treat inaccurate or unauthorised statements about SOC 2 report type, report period, report availability, or scope as a compliance issue requiring prompt correction.</w:t>
      </w:r>
    </w:p>
    <w:p>
      <w:pPr>
        <w:pStyle w:val="Heading2"/>
      </w:pPr>
      <w:r>
        <w:t>Exceptions</w:t>
      </w:r>
    </w:p>
    <w:p>
      <w:r>
        <w:t>Exceptions to this Policy shall be formally documented, risk-assessed, approved, and time-bound.</w:t>
      </w:r>
    </w:p>
    <w:p>
      <w:r>
        <w:t>Exceptions may include, but are not limited to:</w:t>
      </w:r>
    </w:p>
    <w:p>
      <w:pPr>
        <w:pStyle w:val="ListBullet"/>
      </w:pPr>
      <w:r>
        <w:t>Use of a Type 2 audit period shorter than six months.</w:t>
      </w:r>
    </w:p>
    <w:p>
      <w:pPr>
        <w:pStyle w:val="ListBullet"/>
      </w:pPr>
      <w:r>
        <w:t>Deferral of a planned Type 2 examination.</w:t>
      </w:r>
    </w:p>
    <w:p>
      <w:pPr>
        <w:pStyle w:val="ListBullet"/>
      </w:pPr>
      <w:r>
        <w:t>Selection of a Type 1 examination where a Type 2 report was expected by customers.</w:t>
      </w:r>
    </w:p>
    <w:p>
      <w:pPr>
        <w:pStyle w:val="ListBullet"/>
      </w:pPr>
      <w:r>
        <w:t>Material change to an approved audit period.</w:t>
      </w:r>
    </w:p>
    <w:p>
      <w:pPr>
        <w:pStyle w:val="ListBullet"/>
      </w:pPr>
      <w:r>
        <w:t>Extension of an assurance gap between report periods.</w:t>
      </w:r>
    </w:p>
    <w:p>
      <w:pPr>
        <w:pStyle w:val="ListBullet"/>
      </w:pPr>
      <w:r>
        <w:t>Retrospective selection of a Type 2 audit period.</w:t>
      </w:r>
    </w:p>
    <w:p>
      <w:pPr>
        <w:pStyle w:val="ListBullet"/>
      </w:pPr>
      <w:r>
        <w:t>Exclusion of a service, system, location, process, or control area previously expected to be in scope.</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Content</w:t>
            </w:r>
          </w:p>
        </w:tc>
      </w:tr>
      <w:tr>
        <w:tc>
          <w:tcPr>
            <w:tcW w:type="dxa" w:w="4320"/>
          </w:tcPr>
          <w:p>
            <w:r>
              <w:t>Exception description</w:t>
            </w:r>
          </w:p>
        </w:tc>
        <w:tc>
          <w:tcPr>
            <w:tcW w:type="dxa" w:w="4320"/>
          </w:tcPr>
          <w:p>
            <w:r>
              <w:t>Clear statement of the requested deviation.</w:t>
            </w:r>
          </w:p>
        </w:tc>
      </w:tr>
      <w:tr>
        <w:tc>
          <w:tcPr>
            <w:tcW w:type="dxa" w:w="4320"/>
          </w:tcPr>
          <w:p>
            <w:r>
              <w:t>Business justification</w:t>
            </w:r>
          </w:p>
        </w:tc>
        <w:tc>
          <w:tcPr>
            <w:tcW w:type="dxa" w:w="4320"/>
          </w:tcPr>
          <w:p>
            <w:r>
              <w:t>Reason the exception is necessary.</w:t>
            </w:r>
          </w:p>
        </w:tc>
      </w:tr>
      <w:tr>
        <w:tc>
          <w:tcPr>
            <w:tcW w:type="dxa" w:w="4320"/>
          </w:tcPr>
          <w:p>
            <w:r>
              <w:t>Affected report</w:t>
            </w:r>
          </w:p>
        </w:tc>
        <w:tc>
          <w:tcPr>
            <w:tcW w:type="dxa" w:w="4320"/>
          </w:tcPr>
          <w:p>
            <w:r>
              <w:t>SOC 2 report type, scope, and period affected.</w:t>
            </w:r>
          </w:p>
        </w:tc>
      </w:tr>
      <w:tr>
        <w:tc>
          <w:tcPr>
            <w:tcW w:type="dxa" w:w="4320"/>
          </w:tcPr>
          <w:p>
            <w:r>
              <w:t>Risk assessment</w:t>
            </w:r>
          </w:p>
        </w:tc>
        <w:tc>
          <w:tcPr>
            <w:tcW w:type="dxa" w:w="4320"/>
          </w:tcPr>
          <w:p>
            <w:r>
              <w:t>Impact on customers, contracts, assurance, control reliability, and audit feasibility.</w:t>
            </w:r>
          </w:p>
        </w:tc>
      </w:tr>
      <w:tr>
        <w:tc>
          <w:tcPr>
            <w:tcW w:type="dxa" w:w="4320"/>
          </w:tcPr>
          <w:p>
            <w:r>
              <w:t>Compensating actions</w:t>
            </w:r>
          </w:p>
        </w:tc>
        <w:tc>
          <w:tcPr>
            <w:tcW w:type="dxa" w:w="4320"/>
          </w:tcPr>
          <w:p>
            <w:r>
              <w:t>Steps to reduce risk, such as additional readiness testing, customer communication, or enhanced monitoring.</w:t>
            </w:r>
          </w:p>
        </w:tc>
      </w:tr>
      <w:tr>
        <w:tc>
          <w:tcPr>
            <w:tcW w:type="dxa" w:w="4320"/>
          </w:tcPr>
          <w:p>
            <w:r>
              <w:t>Duration</w:t>
            </w:r>
          </w:p>
        </w:tc>
        <w:tc>
          <w:tcPr>
            <w:tcW w:type="dxa" w:w="4320"/>
          </w:tcPr>
          <w:p>
            <w:r>
              <w:t>Defined start date and end date or review date.</w:t>
            </w:r>
          </w:p>
        </w:tc>
      </w:tr>
      <w:tr>
        <w:tc>
          <w:tcPr>
            <w:tcW w:type="dxa" w:w="4320"/>
          </w:tcPr>
          <w:p>
            <w:r>
              <w:t>Approvals</w:t>
            </w:r>
          </w:p>
        </w:tc>
        <w:tc>
          <w:tcPr>
            <w:tcW w:type="dxa" w:w="4320"/>
          </w:tcPr>
          <w:p>
            <w:r>
              <w:t>Approval by the Executive Sponsor, Compliance Owner, and any other required stakeholders.</w:t>
            </w:r>
          </w:p>
        </w:tc>
      </w:tr>
      <w:tr>
        <w:tc>
          <w:tcPr>
            <w:tcW w:type="dxa" w:w="4320"/>
          </w:tcPr>
          <w:p>
            <w:r>
              <w:t>Auditor consultation</w:t>
            </w:r>
          </w:p>
        </w:tc>
        <w:tc>
          <w:tcPr>
            <w:tcW w:type="dxa" w:w="4320"/>
          </w:tcPr>
          <w:p>
            <w:r>
              <w:t>Confirmation of whether the independent auditor has been consulted, where relevant.</w:t>
            </w:r>
          </w:p>
        </w:tc>
      </w:tr>
    </w:tbl>
    <w:p>
      <w:r>
        <w:t>The Compliance Owner shall maintain an exception register for SOC 2 reporting decisions.</w:t>
      </w:r>
    </w:p>
    <w:p>
      <w:r>
        <w:t>Exceptions shall not be used to conceal control failures, misrepresent assurance coverage, avoid customer commitments, or create misleading external statements about the organisation’s SOC 2 status.</w:t>
      </w:r>
    </w:p>
    <w:p>
      <w:pPr>
        <w:pStyle w:val="Heading2"/>
      </w:pPr>
      <w:r>
        <w:t>Review &amp; Maintenance</w:t>
      </w:r>
    </w:p>
    <w:p>
      <w:r>
        <w:t>This Policy shall be reviewed at least annually and whenever there is a material change to the organisation’s SOC 2 programme, services, customer commitments, control environment, audit strategy, or risk profile.</w:t>
      </w:r>
    </w:p>
    <w:p>
      <w:r>
        <w:t>The Compliance Owner is responsible for coordinating review and maintenance of this Policy. Review shall include input from relevant stakeholders, including security, privacy, technology, product, legal, sales, customer success, executive leadership, and the independent auditor where appropriate.</w:t>
      </w:r>
    </w:p>
    <w:p>
      <w:r>
        <w:t>The review shall assess whether:</w:t>
      </w:r>
    </w:p>
    <w:p>
      <w:pPr>
        <w:pStyle w:val="ListBullet"/>
      </w:pPr>
      <w:r>
        <w:t>The Type 1 and Type 2 decision criteria remain suitable.</w:t>
      </w:r>
    </w:p>
    <w:p>
      <w:pPr>
        <w:pStyle w:val="ListBullet"/>
      </w:pPr>
      <w:r>
        <w:t>The standard Type 2 audit period expectations remain appropriate.</w:t>
      </w:r>
    </w:p>
    <w:p>
      <w:pPr>
        <w:pStyle w:val="ListBullet"/>
      </w:pPr>
      <w:r>
        <w:t>Customer and contractual assurance requirements have changed.</w:t>
      </w:r>
    </w:p>
    <w:p>
      <w:pPr>
        <w:pStyle w:val="ListBullet"/>
      </w:pPr>
      <w:r>
        <w:t>SOC 2 reporting timelines remain realistic.</w:t>
      </w:r>
    </w:p>
    <w:p>
      <w:pPr>
        <w:pStyle w:val="ListBullet"/>
      </w:pPr>
      <w:r>
        <w:t>Evidence collection and readiness practices support the selected report type.</w:t>
      </w:r>
    </w:p>
    <w:p>
      <w:pPr>
        <w:pStyle w:val="ListBullet"/>
      </w:pPr>
      <w:r>
        <w:t>Recent audit outcomes indicate a need to revise decision criteria.</w:t>
      </w:r>
    </w:p>
    <w:p>
      <w:pPr>
        <w:pStyle w:val="ListBullet"/>
      </w:pPr>
      <w:r>
        <w:t>Exceptions or assurance gaps indicate recurring planning issues.</w:t>
      </w:r>
    </w:p>
    <w:p>
      <w:pPr>
        <w:pStyle w:val="ListBullet"/>
      </w:pPr>
      <w:r>
        <w:t>Roles and responsibilities remain accurate.</w:t>
      </w:r>
    </w:p>
    <w:p>
      <w:pPr>
        <w:pStyle w:val="ListBullet"/>
      </w:pPr>
      <w:r>
        <w:t>Supporting templates and decision records remain current.</w:t>
      </w:r>
    </w:p>
    <w:p>
      <w:r>
        <w:t>All material updates to this Policy shall be approved by the Executive Sponsor and Compliance Owner before publication.</w:t>
      </w:r>
    </w:p>
    <w:p>
      <w:r>
        <w:t>Version history shall be maintained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 of Change</w:t>
            </w:r>
          </w:p>
        </w:tc>
        <w:tc>
          <w:tcPr>
            <w:tcW w:type="dxa" w:w="2160"/>
          </w:tcPr>
          <w:p>
            <w:r>
              <w:t>Approved By</w:t>
            </w:r>
          </w:p>
        </w:tc>
      </w:tr>
      <w:tr>
        <w:tc>
          <w:tcPr>
            <w:tcW w:type="dxa" w:w="2160"/>
          </w:tcPr>
          <w:p>
            <w:r>
              <w:t>1.0</w:t>
            </w:r>
          </w:p>
        </w:tc>
        <w:tc>
          <w:tcPr>
            <w:tcW w:type="dxa" w:w="2160"/>
          </w:tcPr>
          <w:p>
            <w:r>
              <w:t>[Effective Date]</w:t>
            </w:r>
          </w:p>
        </w:tc>
        <w:tc>
          <w:tcPr>
            <w:tcW w:type="dxa" w:w="2160"/>
          </w:tcPr>
          <w:p>
            <w:r>
              <w:t>Initial release</w:t>
            </w:r>
          </w:p>
        </w:tc>
        <w:tc>
          <w:tcPr>
            <w:tcW w:type="dxa" w:w="2160"/>
          </w:tcPr>
          <w:p>
            <w:r>
              <w:t>[Approver 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