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Continuous Monitoring Dashboard</w:t>
      </w:r>
    </w:p>
    <w:p>
      <w:pPr>
        <w:pStyle w:val="Heading2"/>
      </w:pPr>
      <w:r>
        <w:t>What This Evidences</w:t>
      </w:r>
    </w:p>
    <w:p>
      <w:r>
        <w:t>The Continuous Monitoring Dashboard evidences that the organisation performs ongoing monitoring of security, availability, processing integrity, confidentiality, and privacy-relevant controls throughout the year. It supports SOC 2 control expectations by showing that control health, exceptions, incidents, vulnerabilities, access risks, system performance, and operational alerts are tracked and reviewed on a continuous basis.</w:t>
      </w:r>
    </w:p>
    <w:p>
      <w:r>
        <w:t>This artifact is collected, not authored. Do not create a manual dashboard for audit purposes. Collect evidence directly from the organisation’s operational monitoring systems, such as the SIEM, cloud security platform, ITSM tool, vulnerability scanner, endpoint platform, uptime monitoring tool, or governance dashboard.</w:t>
      </w:r>
    </w:p>
    <w:p>
      <w:pPr>
        <w:pStyle w:val="Heading2"/>
      </w:pPr>
      <w:r>
        <w:t>Where To Collect It From</w:t>
      </w:r>
    </w:p>
    <w:p>
      <w:r>
        <w:t>Collect the dashboard from the system or portal used for continuous control monitoring in the organisation. Typical sources include:</w:t>
      </w:r>
    </w:p>
    <w:p>
      <w:pPr>
        <w:pStyle w:val="ListBullet"/>
      </w:pPr>
      <w:r>
        <w:t>SIEM or log analytics platform - [SIEM/log platform name]</w:t>
      </w:r>
    </w:p>
    <w:p>
      <w:pPr>
        <w:pStyle w:val="ListBullet"/>
      </w:pPr>
      <w:r>
        <w:t>Cloud security posture management tool - [CSPM tool name]</w:t>
      </w:r>
    </w:p>
    <w:p>
      <w:pPr>
        <w:pStyle w:val="ListBullet"/>
      </w:pPr>
      <w:r>
        <w:t>Vulnerability management platform - [vulnerability scanner name]</w:t>
      </w:r>
    </w:p>
    <w:p>
      <w:pPr>
        <w:pStyle w:val="ListBullet"/>
      </w:pPr>
      <w:r>
        <w:t>Endpoint detection and response tool - [EDR tool name]</w:t>
      </w:r>
    </w:p>
    <w:p>
      <w:pPr>
        <w:pStyle w:val="ListBullet"/>
      </w:pPr>
      <w:r>
        <w:t>ITSM or incident management system - [ITSM tool name]</w:t>
      </w:r>
    </w:p>
    <w:p>
      <w:pPr>
        <w:pStyle w:val="ListBullet"/>
      </w:pPr>
      <w:r>
        <w:t>Uptime, availability, or application monitoring platform - [monitoring tool name]</w:t>
      </w:r>
    </w:p>
    <w:p>
      <w:pPr>
        <w:pStyle w:val="ListBullet"/>
      </w:pPr>
      <w:r>
        <w:t>Compliance automation or GRC platform - [GRC/compliance tool name]</w:t>
      </w:r>
    </w:p>
    <w:p>
      <w:pPr>
        <w:pStyle w:val="ListBullet"/>
      </w:pPr>
      <w:r>
        <w:t>Internal security operations dashboard - [internal dashboard name]</w:t>
      </w:r>
    </w:p>
    <w:p>
      <w:r>
        <w:t>Where multiple tools are used, collect the primary executive or operational dashboard plus supporting drill-downs for key metrics.</w:t>
      </w:r>
    </w:p>
    <w:p>
      <w:pPr>
        <w:pStyle w:val="Heading2"/>
      </w:pPr>
      <w:r>
        <w:t>How To Collect</w:t>
      </w:r>
    </w:p>
    <w:p>
      <w:pPr>
        <w:pStyle w:val="ListBullet"/>
      </w:pPr>
      <w:r>
        <w:t>Log in to [tool/system name] using an account with read-only or reporting access.</w:t>
      </w:r>
    </w:p>
    <w:p>
      <w:pPr>
        <w:pStyle w:val="ListBullet"/>
      </w:pPr>
      <w:r>
        <w:t>Navigate to the continuous monitoring, security operations, compliance, service health, or control status dashboard.</w:t>
      </w:r>
    </w:p>
    <w:p>
      <w:pPr>
        <w:pStyle w:val="ListBullet"/>
      </w:pPr>
      <w:r>
        <w:t>Set the reporting period to the audit evidence window, typically [start date] to [end date], or capture the current rolling view if the dashboard is live.</w:t>
      </w:r>
    </w:p>
    <w:p>
      <w:pPr>
        <w:pStyle w:val="ListBullet"/>
      </w:pPr>
      <w:r>
        <w:t>Confirm filters are set to include the relevant production environment, business units, systems, applications, and cloud accounts.</w:t>
      </w:r>
    </w:p>
    <w:p>
      <w:pPr>
        <w:pStyle w:val="ListBullet"/>
      </w:pPr>
      <w:r>
        <w:t>Capture the main dashboard view showing overall control status and key risk indicators.</w:t>
      </w:r>
    </w:p>
    <w:p>
      <w:pPr>
        <w:pStyle w:val="ListBullet"/>
      </w:pPr>
      <w:r>
        <w:t>Export the dashboard as PDF, image, CSV, or native report if the tool supports export.</w:t>
      </w:r>
    </w:p>
    <w:p>
      <w:pPr>
        <w:pStyle w:val="ListBullet"/>
      </w:pPr>
      <w:r>
        <w:t>If export is not available, take screenshots showing the full browser window, timestamp, URL or tool name, logged-in user, filters, and date range.</w:t>
      </w:r>
    </w:p>
    <w:p>
      <w:pPr>
        <w:pStyle w:val="ListBullet"/>
      </w:pPr>
      <w:r>
        <w:t>Capture supporting drill-down views for any exceptions, failed checks, critical alerts, overdue tickets, unresolved vulnerabilities, or degraded services.</w:t>
      </w:r>
    </w:p>
    <w:p>
      <w:pPr>
        <w:pStyle w:val="ListBullet"/>
      </w:pPr>
      <w:r>
        <w:t>Save the evidence using a standard filename, such as [YYYY-MM-DD] Continuous Monitoring Dashboard - [tool name] - [period].pdf.</w:t>
      </w:r>
    </w:p>
    <w:p>
      <w:pPr>
        <w:pStyle w:val="ListBullet"/>
      </w:pPr>
      <w:r>
        <w:t>Store the file in the approved audit evidence repository.</w:t>
      </w:r>
    </w:p>
    <w:p>
      <w:pPr>
        <w:pStyle w:val="Heading2"/>
      </w:pPr>
      <w:r>
        <w:t>What To Capture</w:t>
      </w:r>
    </w:p>
    <w:p>
      <w:r>
        <w:t>Capture enough information to show continuous monitoring was operating and reviewed. Include:</w:t>
      </w:r>
    </w:p>
    <w:p>
      <w:pPr>
        <w:pStyle w:val="ListBullet"/>
      </w:pPr>
      <w:r>
        <w:t>Dashboard title and source tool name</w:t>
      </w:r>
    </w:p>
    <w:p>
      <w:pPr>
        <w:pStyle w:val="ListBullet"/>
      </w:pPr>
      <w:r>
        <w:t>Date and time of capture</w:t>
      </w:r>
    </w:p>
    <w:p>
      <w:pPr>
        <w:pStyle w:val="ListBullet"/>
      </w:pPr>
      <w:r>
        <w:t>Reporting period or live timestamp</w:t>
      </w:r>
    </w:p>
    <w:p>
      <w:pPr>
        <w:pStyle w:val="ListBullet"/>
      </w:pPr>
      <w:r>
        <w:t>Environment or scope filters, such as production, cloud account, application, or region</w:t>
      </w:r>
    </w:p>
    <w:p>
      <w:pPr>
        <w:pStyle w:val="ListBullet"/>
      </w:pPr>
      <w:r>
        <w:t>Overall control health or compliance status</w:t>
      </w:r>
    </w:p>
    <w:p>
      <w:pPr>
        <w:pStyle w:val="ListBullet"/>
      </w:pPr>
      <w:r>
        <w:t>Open alerts, exceptions, incidents, or failed checks</w:t>
      </w:r>
    </w:p>
    <w:p>
      <w:pPr>
        <w:pStyle w:val="ListBullet"/>
      </w:pPr>
      <w:r>
        <w:t>Severity levels and risk ratings</w:t>
      </w:r>
    </w:p>
    <w:p>
      <w:pPr>
        <w:pStyle w:val="ListBullet"/>
      </w:pPr>
      <w:r>
        <w:t>Vulnerability counts by severity and remediation status</w:t>
      </w:r>
    </w:p>
    <w:p>
      <w:pPr>
        <w:pStyle w:val="ListBullet"/>
      </w:pPr>
      <w:r>
        <w:t>Incident or ticket counts by status, priority, and age</w:t>
      </w:r>
    </w:p>
    <w:p>
      <w:pPr>
        <w:pStyle w:val="ListBullet"/>
      </w:pPr>
      <w:r>
        <w:t>Availability, uptime, error rate, or service health indicators where applicable</w:t>
      </w:r>
    </w:p>
    <w:p>
      <w:pPr>
        <w:pStyle w:val="ListBullet"/>
      </w:pPr>
      <w:r>
        <w:t>Access, identity, or privileged activity alerts where applicable</w:t>
      </w:r>
    </w:p>
    <w:p>
      <w:pPr>
        <w:pStyle w:val="ListBullet"/>
      </w:pPr>
      <w:r>
        <w:t>Assigned owners or responsible teams</w:t>
      </w:r>
    </w:p>
    <w:p>
      <w:pPr>
        <w:pStyle w:val="ListBullet"/>
      </w:pPr>
      <w:r>
        <w:t>Evidence of trend, aging, SLA status, or overdue items</w:t>
      </w:r>
    </w:p>
    <w:p>
      <w:pPr>
        <w:pStyle w:val="ListBullet"/>
      </w:pPr>
      <w:r>
        <w:t>Drill-down records for material exceptions</w:t>
      </w:r>
    </w:p>
    <w:p>
      <w:pPr>
        <w:pStyle w:val="ListBullet"/>
      </w:pPr>
      <w:r>
        <w:t>Export metadata, report ID, or URL where available</w:t>
      </w:r>
    </w:p>
    <w:p>
      <w:pPr>
        <w:pStyle w:val="Heading2"/>
      </w:pPr>
      <w:r>
        <w:t>Frequency &amp; Owner</w:t>
      </w:r>
    </w:p>
    <w:p>
      <w:pPr>
        <w:pStyle w:val="ListBullet"/>
      </w:pPr>
      <w:r>
        <w:t>Frequency: Collect at least monthly during the SOC 2 review period, and additionally at quarter-end, year-end, and before audit fieldwork. For high-risk environments, collect weekly or retain automated daily snapshots.</w:t>
      </w:r>
    </w:p>
    <w:p>
      <w:pPr>
        <w:pStyle w:val="ListBullet"/>
      </w:pPr>
      <w:r>
        <w:t>Owner: [Security Operations Manager], [GRC Manager], or [Control Owner].</w:t>
      </w:r>
    </w:p>
    <w:p>
      <w:pPr>
        <w:pStyle w:val="ListBullet"/>
      </w:pPr>
      <w:r>
        <w:t>Reviewer: [CISO], [Head of Engineering], [IT Operations Lead], or delegated risk owner.</w:t>
      </w:r>
    </w:p>
    <w:p>
      <w:pPr>
        <w:pStyle w:val="Heading2"/>
      </w:pPr>
      <w:r>
        <w:t>Retention &amp; Storage</w:t>
      </w:r>
    </w:p>
    <w:p>
      <w:r>
        <w:t>Store collected dashboards in [evidence repository name] under the SOC 2 evidence folder for the relevant review period. Restrict access to authorised audit, security, and compliance personnel.</w:t>
      </w:r>
    </w:p>
    <w:p>
      <w:r>
        <w:t>Retain evidence for at least [retention period], or longer if required by customer contracts, legal obligations, or internal policy. Preserve the exported file or screenshot in its original format. Do not edit screenshots or manually modify exported reports. If redaction is required, retain an unredacted original in a restricted location and provide a redacted copy for audit sharing.</w:t>
      </w:r>
    </w:p>
    <w:p>
      <w:pPr>
        <w:pStyle w:val="Heading2"/>
      </w:pPr>
      <w:r>
        <w:t>Acceptance Criteria</w:t>
      </w:r>
    </w:p>
    <w:p>
      <w:r>
        <w:t>An auditor will generally accept the evidence if it:</w:t>
      </w:r>
    </w:p>
    <w:p>
      <w:pPr>
        <w:pStyle w:val="ListBullet"/>
      </w:pPr>
      <w:r>
        <w:t>Comes directly from an operational monitoring, ticketing, logging, security, or compliance system</w:t>
      </w:r>
    </w:p>
    <w:p>
      <w:pPr>
        <w:pStyle w:val="ListBullet"/>
      </w:pPr>
      <w:r>
        <w:t>Shows the source system, dashboard name, date, timestamp, and reporting period</w:t>
      </w:r>
    </w:p>
    <w:p>
      <w:pPr>
        <w:pStyle w:val="ListBullet"/>
      </w:pPr>
      <w:r>
        <w:t>Covers the in-scope systems, applications, environments, and services</w:t>
      </w:r>
    </w:p>
    <w:p>
      <w:pPr>
        <w:pStyle w:val="ListBullet"/>
      </w:pPr>
      <w:r>
        <w:t>Shows continuous monitoring of relevant control areas, not a one-time manually prepared summary</w:t>
      </w:r>
    </w:p>
    <w:p>
      <w:pPr>
        <w:pStyle w:val="ListBullet"/>
      </w:pPr>
      <w:r>
        <w:t>Includes meaningful metrics, alerts, exceptions, incidents, vulnerabilities, or service health indicators</w:t>
      </w:r>
    </w:p>
    <w:p>
      <w:pPr>
        <w:pStyle w:val="ListBullet"/>
      </w:pPr>
      <w:r>
        <w:t>Shows status, severity, ownership, aging, or remediation information for exceptions</w:t>
      </w:r>
    </w:p>
    <w:p>
      <w:pPr>
        <w:pStyle w:val="ListBullet"/>
      </w:pPr>
      <w:r>
        <w:t>Includes drill-down evidence for material open or failed items</w:t>
      </w:r>
    </w:p>
    <w:p>
      <w:pPr>
        <w:pStyle w:val="ListBullet"/>
      </w:pPr>
      <w:r>
        <w:t>Is collected consistently throughout the review period</w:t>
      </w:r>
    </w:p>
    <w:p>
      <w:pPr>
        <w:pStyle w:val="ListBullet"/>
      </w:pPr>
      <w:r>
        <w:t>Is stored in the approved evidence repository with a clear filename and collection date</w:t>
      </w:r>
    </w:p>
    <w:p>
      <w:pPr>
        <w:pStyle w:val="ListBullet"/>
      </w:pPr>
      <w:r>
        <w:t>Can be reconciled to source records if the auditor requests follow-up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