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Configuration Management Policy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[POL-CFG-001]</w:t>
            </w:r>
          </w:p>
        </w:tc>
        <w:tc>
          <w:tcPr>
            <w:tcW w:type="dxa" w:w="1440"/>
          </w:tcPr>
          <w:p>
            <w:r>
              <w:t>1.0</w:t>
            </w:r>
          </w:p>
        </w:tc>
        <w:tc>
          <w:tcPr>
            <w:tcW w:type="dxa" w:w="1440"/>
          </w:tcPr>
          <w:p>
            <w:r>
              <w:t>[Head of IT Service Management]</w:t>
            </w:r>
          </w:p>
        </w:tc>
        <w:tc>
          <w:tcPr>
            <w:tcW w:type="dxa" w:w="1440"/>
          </w:tcPr>
          <w:p>
            <w:r>
              <w:t>[YYYY-MM-DD]</w:t>
            </w:r>
          </w:p>
        </w:tc>
        <w:tc>
          <w:tcPr>
            <w:tcW w:type="dxa" w:w="1440"/>
          </w:tcPr>
          <w:p>
            <w:r>
              <w:t>COBIT 2019</w:t>
            </w:r>
          </w:p>
        </w:tc>
        <w:tc>
          <w:tcPr>
            <w:tcW w:type="dxa" w:w="1440"/>
          </w:tcPr>
          <w:p>
            <w:r>
              <w:t>Internal</w:t>
            </w:r>
          </w:p>
        </w:tc>
      </w:tr>
    </w:tbl>
    <w:p>
      <w:pPr>
        <w:pStyle w:val="Heading2"/>
      </w:pPr>
      <w:r>
        <w:t>Purpose</w:t>
      </w:r>
    </w:p>
    <w:p>
      <w:r>
        <w:t>This Configuration Management Policy establishes mandatory requirements for identifying, recording, controlling, verifying and maintaining configuration items and configuration baselines across the organisation’s technology environment.</w:t>
      </w:r>
    </w:p>
    <w:p>
      <w:r>
        <w:t>The purpose of this policy is to ensure that the organisation maintains a reliable Configuration Management Database or equivalent authorised configuration repository, supports effective change and release management, enables impact analysis and incident resolution, protects the integrity of production environments, and provides accurate information for technology risk, resilience, security, audit and service management activities.</w:t>
      </w:r>
    </w:p>
    <w:p>
      <w:pPr>
        <w:pStyle w:val="Heading2"/>
      </w:pPr>
      <w:r>
        <w:t>Scope</w:t>
      </w:r>
    </w:p>
    <w:p>
      <w:r>
        <w:t>This policy applies to all configuration items that support, process, store, transmit, secure or manage organisational information, business services or technology services.</w:t>
      </w:r>
    </w:p>
    <w:p>
      <w:r>
        <w:t>In scope configuration items include, but are not limited to:</w:t>
      </w:r>
    </w:p>
    <w:p>
      <w:pPr>
        <w:pStyle w:val="ListBullet"/>
      </w:pPr>
      <w:r>
        <w:t>Business applications, platforms and digital services.</w:t>
      </w:r>
    </w:p>
    <w:p>
      <w:pPr>
        <w:pStyle w:val="ListBullet"/>
      </w:pPr>
      <w:r>
        <w:t>Servers, virtual machines, containers and cloud resources.</w:t>
      </w:r>
    </w:p>
    <w:p>
      <w:pPr>
        <w:pStyle w:val="ListBullet"/>
      </w:pPr>
      <w:r>
        <w:t>End-user computing assets where they are managed by the organisation.</w:t>
      </w:r>
    </w:p>
    <w:p>
      <w:pPr>
        <w:pStyle w:val="ListBullet"/>
      </w:pPr>
      <w:r>
        <w:t>Network devices, security appliances and telecommunications components.</w:t>
      </w:r>
    </w:p>
    <w:p>
      <w:pPr>
        <w:pStyle w:val="ListBullet"/>
      </w:pPr>
      <w:r>
        <w:t>Databases, storage services and data platform components.</w:t>
      </w:r>
    </w:p>
    <w:p>
      <w:pPr>
        <w:pStyle w:val="ListBullet"/>
      </w:pPr>
      <w:r>
        <w:t>Middleware, integration services, APIs and service dependencies.</w:t>
      </w:r>
    </w:p>
    <w:p>
      <w:pPr>
        <w:pStyle w:val="ListBullet"/>
      </w:pPr>
      <w:r>
        <w:t>Operating systems, firmware, system software and platform images.</w:t>
      </w:r>
    </w:p>
    <w:p>
      <w:pPr>
        <w:pStyle w:val="ListBullet"/>
      </w:pPr>
      <w:r>
        <w:t>Licensed software, subscriptions and managed service components.</w:t>
      </w:r>
    </w:p>
    <w:p>
      <w:pPr>
        <w:pStyle w:val="ListBullet"/>
      </w:pPr>
      <w:r>
        <w:t>Infrastructure-as-code definitions, build templates and deployment artefacts.</w:t>
      </w:r>
    </w:p>
    <w:p>
      <w:pPr>
        <w:pStyle w:val="ListBullet"/>
      </w:pPr>
      <w:r>
        <w:t>Service models, service owners, technical owners and support relationships.</w:t>
      </w:r>
    </w:p>
    <w:p>
      <w:pPr>
        <w:pStyle w:val="ListBullet"/>
      </w:pPr>
      <w:r>
        <w:t>Configuration baselines used for build, hardening, deployment, recovery and compliance validation.</w:t>
      </w:r>
    </w:p>
    <w:p>
      <w:r>
        <w:t>This policy applies to:</w:t>
      </w:r>
    </w:p>
    <w:p>
      <w:pPr>
        <w:pStyle w:val="ListBullet"/>
      </w:pPr>
      <w:r>
        <w:t>All employees, contractors, consultants, temporary workers and third parties who manage, change, support or administer in-scope configuration items.</w:t>
      </w:r>
    </w:p>
    <w:p>
      <w:pPr>
        <w:pStyle w:val="ListBullet"/>
      </w:pPr>
      <w:r>
        <w:t>All technology environments, including production, pre-production, development, test, disaster recovery, cloud, hybrid, on-premises and outsourced environments.</w:t>
      </w:r>
    </w:p>
    <w:p>
      <w:pPr>
        <w:pStyle w:val="ListBullet"/>
      </w:pPr>
      <w:r>
        <w:t>All configuration management records and repositories, whether maintained in a central Configuration Management Database, discovery platform, asset tool, cloud management platform, infrastructure-as-code repository or other approved system of record.</w:t>
      </w:r>
    </w:p>
    <w:p>
      <w:r>
        <w:t>This policy does not replace detailed procedures for change management, release management, asset management, vulnerability management, secure configuration, software deployment or incident management. Those procedures shall align with and support the requirements of this policy.</w:t>
      </w:r>
    </w:p>
    <w:p>
      <w:pPr>
        <w:pStyle w:val="Heading2"/>
      </w:pPr>
      <w:r>
        <w:t>Policy Statements</w:t>
      </w:r>
    </w:p>
    <w:p>
      <w:pPr>
        <w:pStyle w:val="ListBullet"/>
      </w:pPr>
      <w:r>
        <w:t>The organisation shall maintain an authorised Configuration Management Database or equivalent configuration repository for in-scope configuration items.</w:t>
      </w:r>
    </w:p>
    <w:p>
      <w:pPr>
        <w:pStyle w:val="ListBullet"/>
      </w:pPr>
      <w:r>
        <w:t>The Configuration Management Database shall be treated as the authoritative source for approved configuration records, service relationships and configuration baselines, except where a formally approved source system is designated for a specific configuration data type.</w:t>
      </w:r>
    </w:p>
    <w:p>
      <w:pPr>
        <w:pStyle w:val="ListBullet"/>
      </w:pPr>
      <w:r>
        <w:t>Each configuration item shall have a unique identifier that enables it to be distinguished, tracked and related to other configuration items throughout its lifecycle.</w:t>
      </w:r>
    </w:p>
    <w:p>
      <w:pPr>
        <w:pStyle w:val="ListBullet"/>
      </w:pPr>
      <w:r>
        <w:t>Each configuration item shall have an assigned owner who is accountable for the accuracy, completeness and lifecycle status of the configuration record.</w:t>
      </w:r>
    </w:p>
    <w:p>
      <w:pPr>
        <w:pStyle w:val="ListBullet"/>
      </w:pPr>
      <w:r>
        <w:t>Each configuration item shall have an assigned technical custodian or support group responsible for maintaining operational configuration data and ensuring that changes are reflected in the authorised configuration repository.</w:t>
      </w:r>
    </w:p>
    <w:p>
      <w:pPr>
        <w:pStyle w:val="ListBullet"/>
      </w:pPr>
      <w:r>
        <w:t>Configuration records shall include sufficient information to support service management, risk management, security operations, change impact assessment, incident investigation, financial management and audit activities.</w:t>
      </w:r>
    </w:p>
    <w:p>
      <w:pPr>
        <w:pStyle w:val="ListBullet"/>
      </w:pPr>
      <w:r>
        <w:t>At a minimum, configuration records shall include the following attributes where applicable: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Requirement</w:t>
            </w:r>
          </w:p>
        </w:tc>
      </w:tr>
      <w:tr>
        <w:tc>
          <w:tcPr>
            <w:tcW w:type="dxa" w:w="4320"/>
          </w:tcPr>
          <w:p>
            <w:r>
              <w:t>Unique configuration item identifier</w:t>
            </w:r>
          </w:p>
        </w:tc>
        <w:tc>
          <w:tcPr>
            <w:tcW w:type="dxa" w:w="4320"/>
          </w:tcPr>
          <w:p>
            <w:r>
              <w:t>Shall be assigned and retained throughout the configuration item lifecycle</w:t>
            </w:r>
          </w:p>
        </w:tc>
      </w:tr>
      <w:tr>
        <w:tc>
          <w:tcPr>
            <w:tcW w:type="dxa" w:w="4320"/>
          </w:tcPr>
          <w:p>
            <w:r>
              <w:t>Configuration item name</w:t>
            </w:r>
          </w:p>
        </w:tc>
        <w:tc>
          <w:tcPr>
            <w:tcW w:type="dxa" w:w="4320"/>
          </w:tcPr>
          <w:p>
            <w:r>
              <w:t>Shall use a consistent naming convention approved by IT Service Management</w:t>
            </w:r>
          </w:p>
        </w:tc>
      </w:tr>
      <w:tr>
        <w:tc>
          <w:tcPr>
            <w:tcW w:type="dxa" w:w="4320"/>
          </w:tcPr>
          <w:p>
            <w:r>
              <w:t>Configuration item type or class</w:t>
            </w:r>
          </w:p>
        </w:tc>
        <w:tc>
          <w:tcPr>
            <w:tcW w:type="dxa" w:w="4320"/>
          </w:tcPr>
          <w:p>
            <w:r>
              <w:t>Shall align to the approved configuration classification model</w:t>
            </w:r>
          </w:p>
        </w:tc>
      </w:tr>
      <w:tr>
        <w:tc>
          <w:tcPr>
            <w:tcW w:type="dxa" w:w="4320"/>
          </w:tcPr>
          <w:p>
            <w:r>
              <w:t>Owner</w:t>
            </w:r>
          </w:p>
        </w:tc>
        <w:tc>
          <w:tcPr>
            <w:tcW w:type="dxa" w:w="4320"/>
          </w:tcPr>
          <w:p>
            <w:r>
              <w:t>Shall identify the business or service owner accountable for the configuration item</w:t>
            </w:r>
          </w:p>
        </w:tc>
      </w:tr>
      <w:tr>
        <w:tc>
          <w:tcPr>
            <w:tcW w:type="dxa" w:w="4320"/>
          </w:tcPr>
          <w:p>
            <w:r>
              <w:t>Technical custodian or support group</w:t>
            </w:r>
          </w:p>
        </w:tc>
        <w:tc>
          <w:tcPr>
            <w:tcW w:type="dxa" w:w="4320"/>
          </w:tcPr>
          <w:p>
            <w:r>
              <w:t>Shall identify the operational team responsible for maintenance and support</w:t>
            </w:r>
          </w:p>
        </w:tc>
      </w:tr>
      <w:tr>
        <w:tc>
          <w:tcPr>
            <w:tcW w:type="dxa" w:w="4320"/>
          </w:tcPr>
          <w:p>
            <w:r>
              <w:t>Environment</w:t>
            </w:r>
          </w:p>
        </w:tc>
        <w:tc>
          <w:tcPr>
            <w:tcW w:type="dxa" w:w="4320"/>
          </w:tcPr>
          <w:p>
            <w:r>
              <w:t>Shall identify whether the item is production, pre-production, test, development, disaster recovery or other approved environment</w:t>
            </w:r>
          </w:p>
        </w:tc>
      </w:tr>
      <w:tr>
        <w:tc>
          <w:tcPr>
            <w:tcW w:type="dxa" w:w="4320"/>
          </w:tcPr>
          <w:p>
            <w:r>
              <w:t>Lifecycle status</w:t>
            </w:r>
          </w:p>
        </w:tc>
        <w:tc>
          <w:tcPr>
            <w:tcW w:type="dxa" w:w="4320"/>
          </w:tcPr>
          <w:p>
            <w:r>
              <w:t>Shall indicate planned, build, active, suspended, retired, disposed or other approved status</w:t>
            </w:r>
          </w:p>
        </w:tc>
      </w:tr>
      <w:tr>
        <w:tc>
          <w:tcPr>
            <w:tcW w:type="dxa" w:w="4320"/>
          </w:tcPr>
          <w:p>
            <w:r>
              <w:t>Criticality</w:t>
            </w:r>
          </w:p>
        </w:tc>
        <w:tc>
          <w:tcPr>
            <w:tcW w:type="dxa" w:w="4320"/>
          </w:tcPr>
          <w:p>
            <w:r>
              <w:t>Shall reflect business impact and service importance</w:t>
            </w:r>
          </w:p>
        </w:tc>
      </w:tr>
      <w:tr>
        <w:tc>
          <w:tcPr>
            <w:tcW w:type="dxa" w:w="4320"/>
          </w:tcPr>
          <w:p>
            <w:r>
              <w:t>Location or hosting model</w:t>
            </w:r>
          </w:p>
        </w:tc>
        <w:tc>
          <w:tcPr>
            <w:tcW w:type="dxa" w:w="4320"/>
          </w:tcPr>
          <w:p>
            <w:r>
              <w:t>Shall identify physical site, cloud region, data centre, tenant, platform or hosting provider as applicable</w:t>
            </w:r>
          </w:p>
        </w:tc>
      </w:tr>
      <w:tr>
        <w:tc>
          <w:tcPr>
            <w:tcW w:type="dxa" w:w="4320"/>
          </w:tcPr>
          <w:p>
            <w:r>
              <w:t>Relationship data</w:t>
            </w:r>
          </w:p>
        </w:tc>
        <w:tc>
          <w:tcPr>
            <w:tcW w:type="dxa" w:w="4320"/>
          </w:tcPr>
          <w:p>
            <w:r>
              <w:t>Shall identify key dependencies, upstream and downstream services, and supporting infrastructure</w:t>
            </w:r>
          </w:p>
        </w:tc>
      </w:tr>
      <w:tr>
        <w:tc>
          <w:tcPr>
            <w:tcW w:type="dxa" w:w="4320"/>
          </w:tcPr>
          <w:p>
            <w:r>
              <w:t>Baseline version</w:t>
            </w:r>
          </w:p>
        </w:tc>
        <w:tc>
          <w:tcPr>
            <w:tcW w:type="dxa" w:w="4320"/>
          </w:tcPr>
          <w:p>
            <w:r>
              <w:t>Shall identify the approved configuration baseline where applicable</w:t>
            </w:r>
          </w:p>
        </w:tc>
      </w:tr>
      <w:tr>
        <w:tc>
          <w:tcPr>
            <w:tcW w:type="dxa" w:w="4320"/>
          </w:tcPr>
          <w:p>
            <w:r>
              <w:t>Change history reference</w:t>
            </w:r>
          </w:p>
        </w:tc>
        <w:tc>
          <w:tcPr>
            <w:tcW w:type="dxa" w:w="4320"/>
          </w:tcPr>
          <w:p>
            <w:r>
              <w:t>Shall link to approved change, release or deployment records where available</w:t>
            </w:r>
          </w:p>
        </w:tc>
      </w:tr>
      <w:tr>
        <w:tc>
          <w:tcPr>
            <w:tcW w:type="dxa" w:w="4320"/>
          </w:tcPr>
          <w:p>
            <w:r>
              <w:t>Security classification</w:t>
            </w:r>
          </w:p>
        </w:tc>
        <w:tc>
          <w:tcPr>
            <w:tcW w:type="dxa" w:w="4320"/>
          </w:tcPr>
          <w:p>
            <w:r>
              <w:t>Shall indicate applicable information classification or security sensitivity where relevant</w:t>
            </w:r>
          </w:p>
        </w:tc>
      </w:tr>
      <w:tr>
        <w:tc>
          <w:tcPr>
            <w:tcW w:type="dxa" w:w="4320"/>
          </w:tcPr>
          <w:p>
            <w:r>
              <w:t>Compliance status</w:t>
            </w:r>
          </w:p>
        </w:tc>
        <w:tc>
          <w:tcPr>
            <w:tcW w:type="dxa" w:w="4320"/>
          </w:tcPr>
          <w:p>
            <w:r>
              <w:t>Shall identify whether the item conforms to approved baseline and policy requirements</w:t>
            </w:r>
          </w:p>
        </w:tc>
      </w:tr>
    </w:tbl>
    <w:p>
      <w:pPr>
        <w:pStyle w:val="ListBullet"/>
      </w:pPr>
      <w:r>
        <w:t>The organisation shall define and maintain a configuration item classification model that specifies configuration item classes, required attributes, ownership requirements and relationship requirements.</w:t>
      </w:r>
    </w:p>
    <w:p>
      <w:pPr>
        <w:pStyle w:val="ListBullet"/>
      </w:pPr>
      <w:r>
        <w:t>The following configuration item classes shall be recorded and managed as a minimum where present in the environment:</w:t>
      </w:r>
    </w:p>
    <w:tbl>
      <w:tblPr>
        <w:tblStyle w:val="TableGrid"/>
        <w:tblW w:type="auto" w:w="0"/>
        <w:tblLook w:firstColumn="1" w:firstRow="1" w:lastColumn="0" w:lastRow="0" w:noHBand="0" w:noVBand="1" w:val="04A0"/>
      </w:tblPr>
      <w:tblGrid>
        <w:gridCol w:w="2880"/>
        <w:gridCol w:w="2880"/>
        <w:gridCol w:w="2880"/>
      </w:tblGrid>
      <w:tr>
        <w:tc>
          <w:tcPr>
            <w:tcW w:type="dxa" w:w="2880"/>
          </w:tcPr>
          <w:p>
            <w:r>
              <w:t>Configuration Item Class</w:t>
            </w:r>
          </w:p>
        </w:tc>
        <w:tc>
          <w:tcPr>
            <w:tcW w:type="dxa" w:w="2880"/>
          </w:tcPr>
          <w:p>
            <w:r>
              <w:t>Examples</w:t>
            </w:r>
          </w:p>
        </w:tc>
        <w:tc>
          <w:tcPr>
            <w:tcW w:type="dxa" w:w="2880"/>
          </w:tcPr>
          <w:p>
            <w:r>
              <w:t>Mandatory Relationship Data</w:t>
            </w:r>
          </w:p>
        </w:tc>
      </w:tr>
      <w:tr>
        <w:tc>
          <w:tcPr>
            <w:tcW w:type="dxa" w:w="2880"/>
          </w:tcPr>
          <w:p>
            <w:r>
              <w:t>Business service</w:t>
            </w:r>
          </w:p>
        </w:tc>
        <w:tc>
          <w:tcPr>
            <w:tcW w:type="dxa" w:w="2880"/>
          </w:tcPr>
          <w:p>
            <w:r>
              <w:t>Customer portal, payment processing service, payroll service</w:t>
            </w:r>
          </w:p>
        </w:tc>
        <w:tc>
          <w:tcPr>
            <w:tcW w:type="dxa" w:w="2880"/>
          </w:tcPr>
          <w:p>
            <w:r>
              <w:t>Supporting applications, service owner, critical business processes</w:t>
            </w:r>
          </w:p>
        </w:tc>
      </w:tr>
      <w:tr>
        <w:tc>
          <w:tcPr>
            <w:tcW w:type="dxa" w:w="2880"/>
          </w:tcPr>
          <w:p>
            <w:r>
              <w:t>Application</w:t>
            </w:r>
          </w:p>
        </w:tc>
        <w:tc>
          <w:tcPr>
            <w:tcW w:type="dxa" w:w="2880"/>
          </w:tcPr>
          <w:p>
            <w:r>
              <w:t>Enterprise application, SaaS application, internally developed system</w:t>
            </w:r>
          </w:p>
        </w:tc>
        <w:tc>
          <w:tcPr>
            <w:tcW w:type="dxa" w:w="2880"/>
          </w:tcPr>
          <w:p>
            <w:r>
              <w:t>Databases, servers, APIs, integrations, business service</w:t>
            </w:r>
          </w:p>
        </w:tc>
      </w:tr>
      <w:tr>
        <w:tc>
          <w:tcPr>
            <w:tcW w:type="dxa" w:w="2880"/>
          </w:tcPr>
          <w:p>
            <w:r>
              <w:t>Server or compute instance</w:t>
            </w:r>
          </w:p>
        </w:tc>
        <w:tc>
          <w:tcPr>
            <w:tcW w:type="dxa" w:w="2880"/>
          </w:tcPr>
          <w:p>
            <w:r>
              <w:t>Physical server, virtual machine, cloud instance, container host</w:t>
            </w:r>
          </w:p>
        </w:tc>
        <w:tc>
          <w:tcPr>
            <w:tcW w:type="dxa" w:w="2880"/>
          </w:tcPr>
          <w:p>
            <w:r>
              <w:t>Application, operating system, network segment, backup service</w:t>
            </w:r>
          </w:p>
        </w:tc>
      </w:tr>
      <w:tr>
        <w:tc>
          <w:tcPr>
            <w:tcW w:type="dxa" w:w="2880"/>
          </w:tcPr>
          <w:p>
            <w:r>
              <w:t>Container or workload</w:t>
            </w:r>
          </w:p>
        </w:tc>
        <w:tc>
          <w:tcPr>
            <w:tcW w:type="dxa" w:w="2880"/>
          </w:tcPr>
          <w:p>
            <w:r>
              <w:t>Container image, Kubernetes workload, serverless function</w:t>
            </w:r>
          </w:p>
        </w:tc>
        <w:tc>
          <w:tcPr>
            <w:tcW w:type="dxa" w:w="2880"/>
          </w:tcPr>
          <w:p>
            <w:r>
              <w:t>Platform, service, image baseline, deployment pipeline</w:t>
            </w:r>
          </w:p>
        </w:tc>
      </w:tr>
      <w:tr>
        <w:tc>
          <w:tcPr>
            <w:tcW w:type="dxa" w:w="2880"/>
          </w:tcPr>
          <w:p>
            <w:r>
              <w:t>Database or data store</w:t>
            </w:r>
          </w:p>
        </w:tc>
        <w:tc>
          <w:tcPr>
            <w:tcW w:type="dxa" w:w="2880"/>
          </w:tcPr>
          <w:p>
            <w:r>
              <w:t>Relational database, object storage, data warehouse, cache</w:t>
            </w:r>
          </w:p>
        </w:tc>
        <w:tc>
          <w:tcPr>
            <w:tcW w:type="dxa" w:w="2880"/>
          </w:tcPr>
          <w:p>
            <w:r>
              <w:t>Application, data owner, backup, replication, encryption dependency</w:t>
            </w:r>
          </w:p>
        </w:tc>
      </w:tr>
      <w:tr>
        <w:tc>
          <w:tcPr>
            <w:tcW w:type="dxa" w:w="2880"/>
          </w:tcPr>
          <w:p>
            <w:r>
              <w:t>Network component</w:t>
            </w:r>
          </w:p>
        </w:tc>
        <w:tc>
          <w:tcPr>
            <w:tcW w:type="dxa" w:w="2880"/>
          </w:tcPr>
          <w:p>
            <w:r>
              <w:t>Switch, router, firewall, load balancer, wireless controller</w:t>
            </w:r>
          </w:p>
        </w:tc>
        <w:tc>
          <w:tcPr>
            <w:tcW w:type="dxa" w:w="2880"/>
          </w:tcPr>
          <w:p>
            <w:r>
              <w:t>Connected services, network zone, security boundary</w:t>
            </w:r>
          </w:p>
        </w:tc>
      </w:tr>
      <w:tr>
        <w:tc>
          <w:tcPr>
            <w:tcW w:type="dxa" w:w="2880"/>
          </w:tcPr>
          <w:p>
            <w:r>
              <w:t>Security component</w:t>
            </w:r>
          </w:p>
        </w:tc>
        <w:tc>
          <w:tcPr>
            <w:tcW w:type="dxa" w:w="2880"/>
          </w:tcPr>
          <w:p>
            <w:r>
              <w:t>Identity platform, endpoint protection, SIEM connector, secrets vault</w:t>
            </w:r>
          </w:p>
        </w:tc>
        <w:tc>
          <w:tcPr>
            <w:tcW w:type="dxa" w:w="2880"/>
          </w:tcPr>
          <w:p>
            <w:r>
              <w:t>Protected assets, monitoring dependencies, access control dependencies</w:t>
            </w:r>
          </w:p>
        </w:tc>
      </w:tr>
      <w:tr>
        <w:tc>
          <w:tcPr>
            <w:tcW w:type="dxa" w:w="2880"/>
          </w:tcPr>
          <w:p>
            <w:r>
              <w:t>Software component</w:t>
            </w:r>
          </w:p>
        </w:tc>
        <w:tc>
          <w:tcPr>
            <w:tcW w:type="dxa" w:w="2880"/>
          </w:tcPr>
          <w:p>
            <w:r>
              <w:t>Operating system, middleware, runtime, agent, licensed software</w:t>
            </w:r>
          </w:p>
        </w:tc>
        <w:tc>
          <w:tcPr>
            <w:tcW w:type="dxa" w:w="2880"/>
          </w:tcPr>
          <w:p>
            <w:r>
              <w:t>Host, application, version baseline, support status</w:t>
            </w:r>
          </w:p>
        </w:tc>
      </w:tr>
      <w:tr>
        <w:tc>
          <w:tcPr>
            <w:tcW w:type="dxa" w:w="2880"/>
          </w:tcPr>
          <w:p>
            <w:r>
              <w:t>Cloud service</w:t>
            </w:r>
          </w:p>
        </w:tc>
        <w:tc>
          <w:tcPr>
            <w:tcW w:type="dxa" w:w="2880"/>
          </w:tcPr>
          <w:p>
            <w:r>
              <w:t>Storage account, virtual network, managed database, identity tenant</w:t>
            </w:r>
          </w:p>
        </w:tc>
        <w:tc>
          <w:tcPr>
            <w:tcW w:type="dxa" w:w="2880"/>
          </w:tcPr>
          <w:p>
            <w:r>
              <w:t>Subscription, account, region, workload, service owner</w:t>
            </w:r>
          </w:p>
        </w:tc>
      </w:tr>
      <w:tr>
        <w:tc>
          <w:tcPr>
            <w:tcW w:type="dxa" w:w="2880"/>
          </w:tcPr>
          <w:p>
            <w:r>
              <w:t>End-user device</w:t>
            </w:r>
          </w:p>
        </w:tc>
        <w:tc>
          <w:tcPr>
            <w:tcW w:type="dxa" w:w="2880"/>
          </w:tcPr>
          <w:p>
            <w:r>
              <w:t>Laptop, desktop, mobile device where centrally managed</w:t>
            </w:r>
          </w:p>
        </w:tc>
        <w:tc>
          <w:tcPr>
            <w:tcW w:type="dxa" w:w="2880"/>
          </w:tcPr>
          <w:p>
            <w:r>
              <w:t>User, management platform, encryption status, security tooling</w:t>
            </w:r>
          </w:p>
        </w:tc>
      </w:tr>
      <w:tr>
        <w:tc>
          <w:tcPr>
            <w:tcW w:type="dxa" w:w="2880"/>
          </w:tcPr>
          <w:p>
            <w:r>
              <w:t>Configuration baseline</w:t>
            </w:r>
          </w:p>
        </w:tc>
        <w:tc>
          <w:tcPr>
            <w:tcW w:type="dxa" w:w="2880"/>
          </w:tcPr>
          <w:p>
            <w:r>
              <w:t>Build standard, hardened image, approved platform template</w:t>
            </w:r>
          </w:p>
        </w:tc>
        <w:tc>
          <w:tcPr>
            <w:tcW w:type="dxa" w:w="2880"/>
          </w:tcPr>
          <w:p>
            <w:r>
              <w:t>Applicable configuration item classes, version, approval record</w:t>
            </w:r>
          </w:p>
        </w:tc>
      </w:tr>
    </w:tbl>
    <w:p>
      <w:pPr>
        <w:pStyle w:val="ListBullet"/>
      </w:pPr>
      <w:r>
        <w:t>Configuration baselines shall be established for configuration item classes where consistency, security, resilience, recoverability or regulatory obligations require standardised configuration.</w:t>
      </w:r>
    </w:p>
    <w:p>
      <w:pPr>
        <w:pStyle w:val="ListBullet"/>
      </w:pPr>
      <w:r>
        <w:t>Configuration baselines shall define the approved state of a configuration item or class of configuration items, including required settings, permitted variations, required software versions, security hardening requirements, mandatory agents, logging requirements, backup requirements and recovery dependencies where applicable.</w:t>
      </w:r>
    </w:p>
    <w:p>
      <w:pPr>
        <w:pStyle w:val="ListBullet"/>
      </w:pPr>
      <w:r>
        <w:t>Configuration baselines shall be documented, version-controlled, approved and stored in an authorised repository.</w:t>
      </w:r>
    </w:p>
    <w:p>
      <w:pPr>
        <w:pStyle w:val="ListBullet"/>
      </w:pPr>
      <w:r>
        <w:t>Configuration baselines shall be reviewed and approved before use in production or other controlled environments.</w:t>
      </w:r>
    </w:p>
    <w:p>
      <w:pPr>
        <w:pStyle w:val="ListBullet"/>
      </w:pPr>
      <w:r>
        <w:t>Configuration baselines shall be aligned with approved architecture standards, security standards, technology standards, service continuity requirements and supplier obligations.</w:t>
      </w:r>
    </w:p>
    <w:p>
      <w:pPr>
        <w:pStyle w:val="ListBullet"/>
      </w:pPr>
      <w:r>
        <w:t>Configuration baselines shall be used to support build, deployment, change assessment, compliance monitoring, vulnerability management, incident response and recovery activities.</w:t>
      </w:r>
    </w:p>
    <w:p>
      <w:pPr>
        <w:pStyle w:val="ListBullet"/>
      </w:pPr>
      <w:r>
        <w:t>The following baseline types shall be maintained where applicable:</w:t>
      </w:r>
    </w:p>
    <w:tbl>
      <w:tblPr>
        <w:tblStyle w:val="TableGrid"/>
        <w:tblW w:type="auto" w:w="0"/>
        <w:tblLook w:firstColumn="1" w:firstRow="1" w:lastColumn="0" w:lastRow="0" w:noHBand="0" w:noVBand="1" w:val="04A0"/>
      </w:tblPr>
      <w:tblGrid>
        <w:gridCol w:w="2880"/>
        <w:gridCol w:w="2880"/>
        <w:gridCol w:w="2880"/>
      </w:tblGrid>
      <w:tr>
        <w:tc>
          <w:tcPr>
            <w:tcW w:type="dxa" w:w="2880"/>
          </w:tcPr>
          <w:p>
            <w:r>
              <w:t>Baseline Type</w:t>
            </w:r>
          </w:p>
        </w:tc>
        <w:tc>
          <w:tcPr>
            <w:tcW w:type="dxa" w:w="2880"/>
          </w:tcPr>
          <w:p>
            <w:r>
              <w:t>Purpose</w:t>
            </w:r>
          </w:p>
        </w:tc>
        <w:tc>
          <w:tcPr>
            <w:tcW w:type="dxa" w:w="2880"/>
          </w:tcPr>
          <w:p>
            <w:r>
              <w:t>Minimum Approval</w:t>
            </w:r>
          </w:p>
        </w:tc>
      </w:tr>
      <w:tr>
        <w:tc>
          <w:tcPr>
            <w:tcW w:type="dxa" w:w="2880"/>
          </w:tcPr>
          <w:p>
            <w:r>
              <w:t>Standard build baseline</w:t>
            </w:r>
          </w:p>
        </w:tc>
        <w:tc>
          <w:tcPr>
            <w:tcW w:type="dxa" w:w="2880"/>
          </w:tcPr>
          <w:p>
            <w:r>
              <w:t>Defines the approved configuration for servers, endpoints or cloud resources</w:t>
            </w:r>
          </w:p>
        </w:tc>
        <w:tc>
          <w:tcPr>
            <w:tcW w:type="dxa" w:w="2880"/>
          </w:tcPr>
          <w:p>
            <w:r>
              <w:t>Technical owner and IT Service Management</w:t>
            </w:r>
          </w:p>
        </w:tc>
      </w:tr>
      <w:tr>
        <w:tc>
          <w:tcPr>
            <w:tcW w:type="dxa" w:w="2880"/>
          </w:tcPr>
          <w:p>
            <w:r>
              <w:t>Secure configuration baseline</w:t>
            </w:r>
          </w:p>
        </w:tc>
        <w:tc>
          <w:tcPr>
            <w:tcW w:type="dxa" w:w="2880"/>
          </w:tcPr>
          <w:p>
            <w:r>
              <w:t>Defines security hardening and required protection settings</w:t>
            </w:r>
          </w:p>
        </w:tc>
        <w:tc>
          <w:tcPr>
            <w:tcW w:type="dxa" w:w="2880"/>
          </w:tcPr>
          <w:p>
            <w:r>
              <w:t>Information Security and technical owner</w:t>
            </w:r>
          </w:p>
        </w:tc>
      </w:tr>
      <w:tr>
        <w:tc>
          <w:tcPr>
            <w:tcW w:type="dxa" w:w="2880"/>
          </w:tcPr>
          <w:p>
            <w:r>
              <w:t>Application baseline</w:t>
            </w:r>
          </w:p>
        </w:tc>
        <w:tc>
          <w:tcPr>
            <w:tcW w:type="dxa" w:w="2880"/>
          </w:tcPr>
          <w:p>
            <w:r>
              <w:t>Defines approved application components, versions, dependencies and deployment configuration</w:t>
            </w:r>
          </w:p>
        </w:tc>
        <w:tc>
          <w:tcPr>
            <w:tcW w:type="dxa" w:w="2880"/>
          </w:tcPr>
          <w:p>
            <w:r>
              <w:t>Application owner and technical owner</w:t>
            </w:r>
          </w:p>
        </w:tc>
      </w:tr>
      <w:tr>
        <w:tc>
          <w:tcPr>
            <w:tcW w:type="dxa" w:w="2880"/>
          </w:tcPr>
          <w:p>
            <w:r>
              <w:t>Network baseline</w:t>
            </w:r>
          </w:p>
        </w:tc>
        <w:tc>
          <w:tcPr>
            <w:tcW w:type="dxa" w:w="2880"/>
          </w:tcPr>
          <w:p>
            <w:r>
              <w:t>Defines approved network device, segmentation, routing and security configuration</w:t>
            </w:r>
          </w:p>
        </w:tc>
        <w:tc>
          <w:tcPr>
            <w:tcW w:type="dxa" w:w="2880"/>
          </w:tcPr>
          <w:p>
            <w:r>
              <w:t>Network owner and Information Security</w:t>
            </w:r>
          </w:p>
        </w:tc>
      </w:tr>
      <w:tr>
        <w:tc>
          <w:tcPr>
            <w:tcW w:type="dxa" w:w="2880"/>
          </w:tcPr>
          <w:p>
            <w:r>
              <w:t>Recovery baseline</w:t>
            </w:r>
          </w:p>
        </w:tc>
        <w:tc>
          <w:tcPr>
            <w:tcW w:type="dxa" w:w="2880"/>
          </w:tcPr>
          <w:p>
            <w:r>
              <w:t>Defines minimum configuration needed to restore service within approved recovery targets</w:t>
            </w:r>
          </w:p>
        </w:tc>
        <w:tc>
          <w:tcPr>
            <w:tcW w:type="dxa" w:w="2880"/>
          </w:tcPr>
          <w:p>
            <w:r>
              <w:t>Service owner and resilience owner</w:t>
            </w:r>
          </w:p>
        </w:tc>
      </w:tr>
      <w:tr>
        <w:tc>
          <w:tcPr>
            <w:tcW w:type="dxa" w:w="2880"/>
          </w:tcPr>
          <w:p>
            <w:r>
              <w:t>Infrastructure-as-code baseline</w:t>
            </w:r>
          </w:p>
        </w:tc>
        <w:tc>
          <w:tcPr>
            <w:tcW w:type="dxa" w:w="2880"/>
          </w:tcPr>
          <w:p>
            <w:r>
              <w:t>Defines approved templates, modules and deployment parameters</w:t>
            </w:r>
          </w:p>
        </w:tc>
        <w:tc>
          <w:tcPr>
            <w:tcW w:type="dxa" w:w="2880"/>
          </w:tcPr>
          <w:p>
            <w:r>
              <w:t>Platform owner and change authority</w:t>
            </w:r>
          </w:p>
        </w:tc>
      </w:tr>
    </w:tbl>
    <w:p>
      <w:pPr>
        <w:pStyle w:val="ListBullet"/>
      </w:pPr>
      <w:r>
        <w:t>All new or materially changed configuration items shall be recorded in the Configuration Management Database or authorised repository before being promoted to production, unless an approved emergency process applies.</w:t>
      </w:r>
    </w:p>
    <w:p>
      <w:pPr>
        <w:pStyle w:val="ListBullet"/>
      </w:pPr>
      <w:r>
        <w:t>Configuration records shall be updated as part of approved change, release, deployment, provisioning, decommissioning and disposal activities.</w:t>
      </w:r>
    </w:p>
    <w:p>
      <w:pPr>
        <w:pStyle w:val="ListBullet"/>
      </w:pPr>
      <w:r>
        <w:t>Changes to configuration items shall not bypass approved change management, release management or deployment controls.</w:t>
      </w:r>
    </w:p>
    <w:p>
      <w:pPr>
        <w:pStyle w:val="ListBullet"/>
      </w:pPr>
      <w:r>
        <w:t>Emergency changes shall be recorded retrospectively in the Configuration Management Database within the timeframe defined in the emergency change procedure.</w:t>
      </w:r>
    </w:p>
    <w:p>
      <w:pPr>
        <w:pStyle w:val="ListBullet"/>
      </w:pPr>
      <w:r>
        <w:t>Configuration item relationships shall be maintained at a level sufficient to support impact analysis, problem diagnosis, service continuity planning, security monitoring and dependency management.</w:t>
      </w:r>
    </w:p>
    <w:p>
      <w:pPr>
        <w:pStyle w:val="ListBullet"/>
      </w:pPr>
      <w:r>
        <w:t>Service maps and dependency records shall be maintained for critical business services and other services designated by the organisation as important or high risk.</w:t>
      </w:r>
    </w:p>
    <w:p>
      <w:pPr>
        <w:pStyle w:val="ListBullet"/>
      </w:pPr>
      <w:r>
        <w:t>Configuration information shall be accurate, complete, timely and traceable to an approved source, discovery result, change record, deployment record or owner attestation.</w:t>
      </w:r>
    </w:p>
    <w:p>
      <w:pPr>
        <w:pStyle w:val="ListBullet"/>
      </w:pPr>
      <w:r>
        <w:t>Automated discovery and reconciliation tools shall be used where practical to improve the accuracy and timeliness of configuration information.</w:t>
      </w:r>
    </w:p>
    <w:p>
      <w:pPr>
        <w:pStyle w:val="ListBullet"/>
      </w:pPr>
      <w:r>
        <w:t>Automated discovery results shall be reconciled against authorised configuration records, and discrepancies shall be investigated, corrected or formally accepted as exceptions.</w:t>
      </w:r>
    </w:p>
    <w:p>
      <w:pPr>
        <w:pStyle w:val="ListBullet"/>
      </w:pPr>
      <w:r>
        <w:t>Unauthorised, unknown or unmanaged configuration items discovered in controlled environments shall be assessed promptly and either brought under management, formally exempted or removed in accordance with approved procedures.</w:t>
      </w:r>
    </w:p>
    <w:p>
      <w:pPr>
        <w:pStyle w:val="ListBullet"/>
      </w:pPr>
      <w:r>
        <w:t>Configuration records shall identify configuration items that are unsupported, end-of-life, unlicensed, non-compliant with baseline, not monitored, not backed up or otherwise outside approved operating parameters.</w:t>
      </w:r>
    </w:p>
    <w:p>
      <w:pPr>
        <w:pStyle w:val="ListBullet"/>
      </w:pPr>
      <w:r>
        <w:t>Configuration records and baselines shall be protected from unauthorised access, alteration, deletion or disclosure.</w:t>
      </w:r>
    </w:p>
    <w:p>
      <w:pPr>
        <w:pStyle w:val="ListBullet"/>
      </w:pPr>
      <w:r>
        <w:t>Access to create, modify, approve or delete configuration records and baselines shall be restricted based on role, business need and segregation of duties.</w:t>
      </w:r>
    </w:p>
    <w:p>
      <w:pPr>
        <w:pStyle w:val="ListBullet"/>
      </w:pPr>
      <w:r>
        <w:t>Administrative changes to configuration repositories, baseline repositories and discovery tools shall be logged and retained in accordance with organisational logging and records retention requirements.</w:t>
      </w:r>
    </w:p>
    <w:p>
      <w:pPr>
        <w:pStyle w:val="ListBullet"/>
      </w:pPr>
      <w:r>
        <w:t>Configuration data shall be classified and handled according to its sensitivity, including where it contains network architecture, security control details, credentials, vulnerability exposure, service dependency information or other sensitive operational information.</w:t>
      </w:r>
    </w:p>
    <w:p>
      <w:pPr>
        <w:pStyle w:val="ListBullet"/>
      </w:pPr>
      <w:r>
        <w:t>Credentials, secrets, private keys and passwords shall not be stored in configuration records unless held in an approved secrets management platform and referenced securely.</w:t>
      </w:r>
    </w:p>
    <w:p>
      <w:pPr>
        <w:pStyle w:val="ListBullet"/>
      </w:pPr>
      <w:r>
        <w:t>Configuration baselines shall not contain embedded credentials, shared secrets or unauthorised sensitive data.</w:t>
      </w:r>
    </w:p>
    <w:p>
      <w:pPr>
        <w:pStyle w:val="ListBullet"/>
      </w:pPr>
      <w:r>
        <w:t>Configuration data shall be retained for a period sufficient to support operational, audit, legal, financial and security requirements.</w:t>
      </w:r>
    </w:p>
    <w:p>
      <w:pPr>
        <w:pStyle w:val="ListBullet"/>
      </w:pPr>
      <w:r>
        <w:t>Retired or disposed configuration items shall be updated to the appropriate lifecycle status and retained in accordance with approved retention requirements.</w:t>
      </w:r>
    </w:p>
    <w:p>
      <w:pPr>
        <w:pStyle w:val="ListBullet"/>
      </w:pPr>
      <w:r>
        <w:t>Configuration records shall not be deleted solely because an item is retired, replaced or decommissioned, unless deletion is permitted by records retention rules and approved by the configuration management owner.</w:t>
      </w:r>
    </w:p>
    <w:p>
      <w:pPr>
        <w:pStyle w:val="ListBullet"/>
      </w:pPr>
      <w:r>
        <w:t>Configuration reconciliation shall be performed on a scheduled basis for in-scope environments and critical configuration item classes.</w:t>
      </w:r>
    </w:p>
    <w:p>
      <w:pPr>
        <w:pStyle w:val="ListBullet"/>
      </w:pPr>
      <w:r>
        <w:t>The minimum reconciliation frequency shall be as follows unless a stricter requirement is defined by the service owner, information security function or regulatory obligation:</w:t>
      </w:r>
    </w:p>
    <w:tbl>
      <w:tblPr>
        <w:tblStyle w:val="TableGrid"/>
        <w:tblW w:type="auto" w:w="0"/>
        <w:tblLook w:firstColumn="1" w:firstRow="1" w:lastColumn="0" w:lastRow="0" w:noHBand="0" w:noVBand="1" w:val="04A0"/>
      </w:tblPr>
      <w:tblGrid>
        <w:gridCol w:w="4320"/>
        <w:gridCol w:w="4320"/>
      </w:tblGrid>
      <w:tr>
        <w:tc>
          <w:tcPr>
            <w:tcW w:type="dxa" w:w="4320"/>
          </w:tcPr>
          <w:p>
            <w:r>
              <w:t>Configuration Item Category</w:t>
            </w:r>
          </w:p>
        </w:tc>
        <w:tc>
          <w:tcPr>
            <w:tcW w:type="dxa" w:w="4320"/>
          </w:tcPr>
          <w:p>
            <w:r>
              <w:t>Minimum Reconciliation Frequency</w:t>
            </w:r>
          </w:p>
        </w:tc>
      </w:tr>
      <w:tr>
        <w:tc>
          <w:tcPr>
            <w:tcW w:type="dxa" w:w="4320"/>
          </w:tcPr>
          <w:p>
            <w:r>
              <w:t>Critical business service records and dependency maps</w:t>
            </w:r>
          </w:p>
        </w:tc>
        <w:tc>
          <w:tcPr>
            <w:tcW w:type="dxa" w:w="4320"/>
          </w:tcPr>
          <w:p>
            <w:r>
              <w:t>Monthly</w:t>
            </w:r>
          </w:p>
        </w:tc>
      </w:tr>
      <w:tr>
        <w:tc>
          <w:tcPr>
            <w:tcW w:type="dxa" w:w="4320"/>
          </w:tcPr>
          <w:p>
            <w:r>
              <w:t>Production servers, cloud workloads and core platforms</w:t>
            </w:r>
          </w:p>
        </w:tc>
        <w:tc>
          <w:tcPr>
            <w:tcW w:type="dxa" w:w="4320"/>
          </w:tcPr>
          <w:p>
            <w:r>
              <w:t>Monthly</w:t>
            </w:r>
          </w:p>
        </w:tc>
      </w:tr>
      <w:tr>
        <w:tc>
          <w:tcPr>
            <w:tcW w:type="dxa" w:w="4320"/>
          </w:tcPr>
          <w:p>
            <w:r>
              <w:t>Internet-facing systems and security components</w:t>
            </w:r>
          </w:p>
        </w:tc>
        <w:tc>
          <w:tcPr>
            <w:tcW w:type="dxa" w:w="4320"/>
          </w:tcPr>
          <w:p>
            <w:r>
              <w:t>Monthly</w:t>
            </w:r>
          </w:p>
        </w:tc>
      </w:tr>
      <w:tr>
        <w:tc>
          <w:tcPr>
            <w:tcW w:type="dxa" w:w="4320"/>
          </w:tcPr>
          <w:p>
            <w:r>
              <w:t>Network infrastructure</w:t>
            </w:r>
          </w:p>
        </w:tc>
        <w:tc>
          <w:tcPr>
            <w:tcW w:type="dxa" w:w="4320"/>
          </w:tcPr>
          <w:p>
            <w:r>
              <w:t>Quarterly</w:t>
            </w:r>
          </w:p>
        </w:tc>
      </w:tr>
      <w:tr>
        <w:tc>
          <w:tcPr>
            <w:tcW w:type="dxa" w:w="4320"/>
          </w:tcPr>
          <w:p>
            <w:r>
              <w:t>Business applications and application dependencies</w:t>
            </w:r>
          </w:p>
        </w:tc>
        <w:tc>
          <w:tcPr>
            <w:tcW w:type="dxa" w:w="4320"/>
          </w:tcPr>
          <w:p>
            <w:r>
              <w:t>Quarterly</w:t>
            </w:r>
          </w:p>
        </w:tc>
      </w:tr>
      <w:tr>
        <w:tc>
          <w:tcPr>
            <w:tcW w:type="dxa" w:w="4320"/>
          </w:tcPr>
          <w:p>
            <w:r>
              <w:t>End-user devices managed by central tooling</w:t>
            </w:r>
          </w:p>
        </w:tc>
        <w:tc>
          <w:tcPr>
            <w:tcW w:type="dxa" w:w="4320"/>
          </w:tcPr>
          <w:p>
            <w:r>
              <w:t>Quarterly</w:t>
            </w:r>
          </w:p>
        </w:tc>
      </w:tr>
      <w:tr>
        <w:tc>
          <w:tcPr>
            <w:tcW w:type="dxa" w:w="4320"/>
          </w:tcPr>
          <w:p>
            <w:r>
              <w:t>Development and test environments</w:t>
            </w:r>
          </w:p>
        </w:tc>
        <w:tc>
          <w:tcPr>
            <w:tcW w:type="dxa" w:w="4320"/>
          </w:tcPr>
          <w:p>
            <w:r>
              <w:t>Semi-annually</w:t>
            </w:r>
          </w:p>
        </w:tc>
      </w:tr>
      <w:tr>
        <w:tc>
          <w:tcPr>
            <w:tcW w:type="dxa" w:w="4320"/>
          </w:tcPr>
          <w:p>
            <w:r>
              <w:t>Retired, suspended and decommissioned records</w:t>
            </w:r>
          </w:p>
        </w:tc>
        <w:tc>
          <w:tcPr>
            <w:tcW w:type="dxa" w:w="4320"/>
          </w:tcPr>
          <w:p>
            <w:r>
              <w:t>Annually</w:t>
            </w:r>
          </w:p>
        </w:tc>
      </w:tr>
    </w:tbl>
    <w:p>
      <w:pPr>
        <w:pStyle w:val="ListBullet"/>
      </w:pPr>
      <w:r>
        <w:t>Configuration baselines for critical services, internet-facing systems, security systems and standard build images shall be reviewed at least annually and when significant technology, threat, architecture or supplier changes occur.</w:t>
      </w:r>
    </w:p>
    <w:p>
      <w:pPr>
        <w:pStyle w:val="ListBullet"/>
      </w:pPr>
      <w:r>
        <w:t>Configuration management controls shall be integrated with change management so that approved changes identify affected configuration items and required configuration record updates.</w:t>
      </w:r>
    </w:p>
    <w:p>
      <w:pPr>
        <w:pStyle w:val="ListBullet"/>
      </w:pPr>
      <w:r>
        <w:t>Change approvals for production changes shall include consideration of affected configuration items, related services, dependencies and baseline impact.</w:t>
      </w:r>
    </w:p>
    <w:p>
      <w:pPr>
        <w:pStyle w:val="ListBullet"/>
      </w:pPr>
      <w:r>
        <w:t>Changes that materially alter approved baselines shall require baseline review and approval before implementation, except where emergency change procedures apply.</w:t>
      </w:r>
    </w:p>
    <w:p>
      <w:pPr>
        <w:pStyle w:val="ListBullet"/>
      </w:pPr>
      <w:r>
        <w:t>Release and deployment activities shall confirm that implemented configurations match approved release packages and applicable baselines.</w:t>
      </w:r>
    </w:p>
    <w:p>
      <w:pPr>
        <w:pStyle w:val="ListBullet"/>
      </w:pPr>
      <w:r>
        <w:t>Incident and problem management processes shall use configuration information to support root cause analysis, impact assessment and restoration planning.</w:t>
      </w:r>
    </w:p>
    <w:p>
      <w:pPr>
        <w:pStyle w:val="ListBullet"/>
      </w:pPr>
      <w:r>
        <w:t>Service continuity and disaster recovery plans shall use configuration baselines and dependency information to support recovery sequencing and validation.</w:t>
      </w:r>
    </w:p>
    <w:p>
      <w:pPr>
        <w:pStyle w:val="ListBullet"/>
      </w:pPr>
      <w:r>
        <w:t>Vulnerability management and patch management activities shall use configuration records to determine affected assets, ownership, exposure and remediation accountability.</w:t>
      </w:r>
    </w:p>
    <w:p>
      <w:pPr>
        <w:pStyle w:val="ListBullet"/>
      </w:pPr>
      <w:r>
        <w:t>Asset management and configuration management records shall be reconciled where they represent the same or related technology components, while recognising that financial asset records and configuration records may have different purposes and data requirements.</w:t>
      </w:r>
    </w:p>
    <w:p>
      <w:pPr>
        <w:pStyle w:val="ListBullet"/>
      </w:pPr>
      <w:r>
        <w:t>Supplier-managed configuration items shall be recorded where they support organisational services or handle organisational information.</w:t>
      </w:r>
    </w:p>
    <w:p>
      <w:pPr>
        <w:pStyle w:val="ListBullet"/>
      </w:pPr>
      <w:r>
        <w:t>Contracts and service agreements for managed services, cloud services and outsourced technology services shall require suppliers to provide timely, accurate and sufficient configuration information to support the organisation’s configuration management obligations.</w:t>
      </w:r>
    </w:p>
    <w:p>
      <w:pPr>
        <w:pStyle w:val="ListBullet"/>
      </w:pPr>
      <w:r>
        <w:t>Suppliers shall not make material changes to managed configuration items or baselines without following the organisation’s approved change and notification requirements, unless otherwise permitted under an approved emergency or standard change process.</w:t>
      </w:r>
    </w:p>
    <w:p>
      <w:pPr>
        <w:pStyle w:val="ListBullet"/>
      </w:pPr>
      <w:r>
        <w:t>Configuration management procedures, data models, naming standards, baseline standards and reconciliation rules shall be documented, approved and maintained.</w:t>
      </w:r>
    </w:p>
    <w:p>
      <w:pPr>
        <w:pStyle w:val="ListBullet"/>
      </w:pPr>
      <w:r>
        <w:t>Configuration management metrics shall be defined, monitored and reported to relevant governance forums.</w:t>
      </w:r>
    </w:p>
    <w:p>
      <w:pPr>
        <w:pStyle w:val="ListBullet"/>
      </w:pPr>
      <w:r>
        <w:t>At a minimum, configuration management reporting shall include:</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Purpose</w:t>
            </w:r>
          </w:p>
        </w:tc>
      </w:tr>
      <w:tr>
        <w:tc>
          <w:tcPr>
            <w:tcW w:type="dxa" w:w="4320"/>
          </w:tcPr>
          <w:p>
            <w:r>
              <w:t>Configuration record completeness</w:t>
            </w:r>
          </w:p>
        </w:tc>
        <w:tc>
          <w:tcPr>
            <w:tcW w:type="dxa" w:w="4320"/>
          </w:tcPr>
          <w:p>
            <w:r>
              <w:t>Measures whether required attributes are populated</w:t>
            </w:r>
          </w:p>
        </w:tc>
      </w:tr>
      <w:tr>
        <w:tc>
          <w:tcPr>
            <w:tcW w:type="dxa" w:w="4320"/>
          </w:tcPr>
          <w:p>
            <w:r>
              <w:t>Configuration record accuracy</w:t>
            </w:r>
          </w:p>
        </w:tc>
        <w:tc>
          <w:tcPr>
            <w:tcW w:type="dxa" w:w="4320"/>
          </w:tcPr>
          <w:p>
            <w:r>
              <w:t>Measures alignment between records, discovery results and owner attestations</w:t>
            </w:r>
          </w:p>
        </w:tc>
      </w:tr>
      <w:tr>
        <w:tc>
          <w:tcPr>
            <w:tcW w:type="dxa" w:w="4320"/>
          </w:tcPr>
          <w:p>
            <w:r>
              <w:t>Unauthorised configuration items</w:t>
            </w:r>
          </w:p>
        </w:tc>
        <w:tc>
          <w:tcPr>
            <w:tcW w:type="dxa" w:w="4320"/>
          </w:tcPr>
          <w:p>
            <w:r>
              <w:t>Identifies items not recorded, not approved or not under management</w:t>
            </w:r>
          </w:p>
        </w:tc>
      </w:tr>
      <w:tr>
        <w:tc>
          <w:tcPr>
            <w:tcW w:type="dxa" w:w="4320"/>
          </w:tcPr>
          <w:p>
            <w:r>
              <w:t>Baseline compliance</w:t>
            </w:r>
          </w:p>
        </w:tc>
        <w:tc>
          <w:tcPr>
            <w:tcW w:type="dxa" w:w="4320"/>
          </w:tcPr>
          <w:p>
            <w:r>
              <w:t>Measures alignment with approved configuration baselines</w:t>
            </w:r>
          </w:p>
        </w:tc>
      </w:tr>
      <w:tr>
        <w:tc>
          <w:tcPr>
            <w:tcW w:type="dxa" w:w="4320"/>
          </w:tcPr>
          <w:p>
            <w:r>
              <w:t>Reconciliation exceptions</w:t>
            </w:r>
          </w:p>
        </w:tc>
        <w:tc>
          <w:tcPr>
            <w:tcW w:type="dxa" w:w="4320"/>
          </w:tcPr>
          <w:p>
            <w:r>
              <w:t>Tracks unresolved discrepancies between data sources</w:t>
            </w:r>
          </w:p>
        </w:tc>
      </w:tr>
      <w:tr>
        <w:tc>
          <w:tcPr>
            <w:tcW w:type="dxa" w:w="4320"/>
          </w:tcPr>
          <w:p>
            <w:r>
              <w:t>Change-to-configuration update timeliness</w:t>
            </w:r>
          </w:p>
        </w:tc>
        <w:tc>
          <w:tcPr>
            <w:tcW w:type="dxa" w:w="4320"/>
          </w:tcPr>
          <w:p>
            <w:r>
              <w:t>Measures whether configuration records are updated after changes</w:t>
            </w:r>
          </w:p>
        </w:tc>
      </w:tr>
      <w:tr>
        <w:tc>
          <w:tcPr>
            <w:tcW w:type="dxa" w:w="4320"/>
          </w:tcPr>
          <w:p>
            <w:r>
              <w:t>Critical service dependency completeness</w:t>
            </w:r>
          </w:p>
        </w:tc>
        <w:tc>
          <w:tcPr>
            <w:tcW w:type="dxa" w:w="4320"/>
          </w:tcPr>
          <w:p>
            <w:r>
              <w:t>Measures quality of dependency mapping for important services</w:t>
            </w:r>
          </w:p>
        </w:tc>
      </w:tr>
      <w:tr>
        <w:tc>
          <w:tcPr>
            <w:tcW w:type="dxa" w:w="4320"/>
          </w:tcPr>
          <w:p>
            <w:r>
              <w:t>Retired item closure rate</w:t>
            </w:r>
          </w:p>
        </w:tc>
        <w:tc>
          <w:tcPr>
            <w:tcW w:type="dxa" w:w="4320"/>
          </w:tcPr>
          <w:p>
            <w:r>
              <w:t>Measures timely update and closure of decommissioned configuration records</w:t>
            </w:r>
          </w:p>
        </w:tc>
      </w:tr>
    </w:tbl>
    <w:p>
      <w:pPr>
        <w:pStyle w:val="ListBullet"/>
      </w:pPr>
      <w:r>
        <w:t>Configuration management performance shall be reviewed regularly by IT Service Management, technology leadership and other governance forums as appropriate.</w:t>
      </w:r>
    </w:p>
    <w:p>
      <w:pPr>
        <w:pStyle w:val="ListBullet"/>
      </w:pPr>
      <w:r>
        <w:t>Persistent configuration data quality issues, baseline deviations or unmanaged configuration items shall be escalated to accountable owners for remediation.</w:t>
      </w:r>
    </w:p>
    <w:p>
      <w:pPr>
        <w:pStyle w:val="ListBullet"/>
      </w:pPr>
      <w:r>
        <w:t>Configuration management training, guidance and awareness shall be provided to personnel with responsibilities for creating, updating, approving or using configuration records and baselines.</w:t>
      </w:r>
    </w:p>
    <w:p>
      <w:pPr>
        <w:pStyle w:val="ListBullet"/>
      </w:pPr>
      <w:r>
        <w:t>Personnel shall use authorised configuration repositories and shall not maintain unofficial configuration records as substitutes for approved sources of record.</w:t>
      </w:r>
    </w:p>
    <w:p>
      <w:pPr>
        <w:pStyle w:val="ListBullet"/>
      </w:pPr>
      <w:r>
        <w:t>Where local inventories, spreadsheets or team-managed repositories are used for operational purposes, they shall be reconciled with the authorised Configuration Management Database or approved source of record.</w:t>
      </w:r>
    </w:p>
    <w:p>
      <w:pPr>
        <w:pStyle w:val="ListBullet"/>
      </w:pPr>
      <w:r>
        <w:t>Configuration information shall be available to authorised users who need it for operations, security, architecture, change management, incident management, audit, compliance, resilience or service management purposes.</w:t>
      </w:r>
    </w:p>
    <w:p>
      <w:pPr>
        <w:pStyle w:val="ListBullet"/>
      </w:pPr>
      <w:r>
        <w:t>Configuration management requirements shall be considered during procurement, design, onboarding, implementation, migration, integration and retirement of technology services.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or Executive Management</w:t>
            </w:r>
          </w:p>
        </w:tc>
        <w:tc>
          <w:tcPr>
            <w:tcW w:type="dxa" w:w="4320"/>
          </w:tcPr>
          <w:p>
            <w:r>
              <w:t>Provides oversight for technology governance and ensures adequate resources are available to maintain effective configuration management.</w:t>
            </w:r>
          </w:p>
        </w:tc>
      </w:tr>
      <w:tr>
        <w:tc>
          <w:tcPr>
            <w:tcW w:type="dxa" w:w="4320"/>
          </w:tcPr>
          <w:p>
            <w:r>
              <w:t>Chief Information Officer or equivalent</w:t>
            </w:r>
          </w:p>
        </w:tc>
        <w:tc>
          <w:tcPr>
            <w:tcW w:type="dxa" w:w="4320"/>
          </w:tcPr>
          <w:p>
            <w:r>
              <w:t>Accountable for ensuring configuration management is implemented across technology services and aligned with organisational objectives.</w:t>
            </w:r>
          </w:p>
        </w:tc>
      </w:tr>
      <w:tr>
        <w:tc>
          <w:tcPr>
            <w:tcW w:type="dxa" w:w="4320"/>
          </w:tcPr>
          <w:p>
            <w:r>
              <w:t>Head of IT Service Management</w:t>
            </w:r>
          </w:p>
        </w:tc>
        <w:tc>
          <w:tcPr>
            <w:tcW w:type="dxa" w:w="4320"/>
          </w:tcPr>
          <w:p>
            <w:r>
              <w:t>Owns this policy, defines configuration management operating requirements, oversees the Configuration Management Database and ensures integration with IT service management processes.</w:t>
            </w:r>
          </w:p>
        </w:tc>
      </w:tr>
      <w:tr>
        <w:tc>
          <w:tcPr>
            <w:tcW w:type="dxa" w:w="4320"/>
          </w:tcPr>
          <w:p>
            <w:r>
              <w:t>Configuration Manager</w:t>
            </w:r>
          </w:p>
        </w:tc>
        <w:tc>
          <w:tcPr>
            <w:tcW w:type="dxa" w:w="4320"/>
          </w:tcPr>
          <w:p>
            <w:r>
              <w:t>Manages the configuration management process, maintains the configuration item model, coordinates reconciliation, monitors data quality, reports metrics and escalates non-compliance.</w:t>
            </w:r>
          </w:p>
        </w:tc>
      </w:tr>
      <w:tr>
        <w:tc>
          <w:tcPr>
            <w:tcW w:type="dxa" w:w="4320"/>
          </w:tcPr>
          <w:p>
            <w:r>
              <w:t>Configuration Management Database Administrator</w:t>
            </w:r>
          </w:p>
        </w:tc>
        <w:tc>
          <w:tcPr>
            <w:tcW w:type="dxa" w:w="4320"/>
          </w:tcPr>
          <w:p>
            <w:r>
              <w:t>Administers the configuration repository, manages access, supports data imports, maintains technical configuration, and ensures repository integrity and availability.</w:t>
            </w:r>
          </w:p>
        </w:tc>
      </w:tr>
      <w:tr>
        <w:tc>
          <w:tcPr>
            <w:tcW w:type="dxa" w:w="4320"/>
          </w:tcPr>
          <w:p>
            <w:r>
              <w:t>Service Owner</w:t>
            </w:r>
          </w:p>
        </w:tc>
        <w:tc>
          <w:tcPr>
            <w:tcW w:type="dxa" w:w="4320"/>
          </w:tcPr>
          <w:p>
            <w:r>
              <w:t>Accountable for the accuracy of service records, service relationships, criticality ratings, dependency maps and service-level baseline requirements.</w:t>
            </w:r>
          </w:p>
        </w:tc>
      </w:tr>
      <w:tr>
        <w:tc>
          <w:tcPr>
            <w:tcW w:type="dxa" w:w="4320"/>
          </w:tcPr>
          <w:p>
            <w:r>
              <w:t>Application Owner</w:t>
            </w:r>
          </w:p>
        </w:tc>
        <w:tc>
          <w:tcPr>
            <w:tcW w:type="dxa" w:w="4320"/>
          </w:tcPr>
          <w:p>
            <w:r>
              <w:t>Accountable for application configuration records, application dependencies, approved versions, support status and application baseline information.</w:t>
            </w:r>
          </w:p>
        </w:tc>
      </w:tr>
      <w:tr>
        <w:tc>
          <w:tcPr>
            <w:tcW w:type="dxa" w:w="4320"/>
          </w:tcPr>
          <w:p>
            <w:r>
              <w:t>Technical Owner or Platform Owner</w:t>
            </w:r>
          </w:p>
        </w:tc>
        <w:tc>
          <w:tcPr>
            <w:tcW w:type="dxa" w:w="4320"/>
          </w:tcPr>
          <w:p>
            <w:r>
              <w:t>Accountable for technical configuration data, baseline definition, standard builds, platform relationships and technical compliance with approved baselines.</w:t>
            </w:r>
          </w:p>
        </w:tc>
      </w:tr>
      <w:tr>
        <w:tc>
          <w:tcPr>
            <w:tcW w:type="dxa" w:w="4320"/>
          </w:tcPr>
          <w:p>
            <w:r>
              <w:t>Change Manager</w:t>
            </w:r>
          </w:p>
        </w:tc>
        <w:tc>
          <w:tcPr>
            <w:tcW w:type="dxa" w:w="4320"/>
          </w:tcPr>
          <w:p>
            <w:r>
              <w:t>Ensures change records identify affected configuration items and that configuration updates are completed as part of the change lifecycle.</w:t>
            </w:r>
          </w:p>
        </w:tc>
      </w:tr>
      <w:tr>
        <w:tc>
          <w:tcPr>
            <w:tcW w:type="dxa" w:w="4320"/>
          </w:tcPr>
          <w:p>
            <w:r>
              <w:t>Release Manager</w:t>
            </w:r>
          </w:p>
        </w:tc>
        <w:tc>
          <w:tcPr>
            <w:tcW w:type="dxa" w:w="4320"/>
          </w:tcPr>
          <w:p>
            <w:r>
              <w:t>Ensures release packages, deployment records and production implementations align with approved baselines and update relevant configuration records.</w:t>
            </w:r>
          </w:p>
        </w:tc>
      </w:tr>
      <w:tr>
        <w:tc>
          <w:tcPr>
            <w:tcW w:type="dxa" w:w="4320"/>
          </w:tcPr>
          <w:p>
            <w:r>
              <w:t>Information Security Function</w:t>
            </w:r>
          </w:p>
        </w:tc>
        <w:tc>
          <w:tcPr>
            <w:tcW w:type="dxa" w:w="4320"/>
          </w:tcPr>
          <w:p>
            <w:r>
              <w:t>Defines secure configuration requirements, reviews security-relevant baselines, monitors baseline compliance and supports investigation of unauthorised or non-compliant configuration items.</w:t>
            </w:r>
          </w:p>
        </w:tc>
      </w:tr>
      <w:tr>
        <w:tc>
          <w:tcPr>
            <w:tcW w:type="dxa" w:w="4320"/>
          </w:tcPr>
          <w:p>
            <w:r>
              <w:t>Enterprise Architecture Function</w:t>
            </w:r>
          </w:p>
        </w:tc>
        <w:tc>
          <w:tcPr>
            <w:tcW w:type="dxa" w:w="4320"/>
          </w:tcPr>
          <w:p>
            <w:r>
              <w:t>Ensures configuration models and baselines align with approved architecture standards, technology roadmaps and service design principles.</w:t>
            </w:r>
          </w:p>
        </w:tc>
      </w:tr>
      <w:tr>
        <w:tc>
          <w:tcPr>
            <w:tcW w:type="dxa" w:w="4320"/>
          </w:tcPr>
          <w:p>
            <w:r>
              <w:t>Infrastructure, Network, Cloud and Operations Teams</w:t>
            </w:r>
          </w:p>
        </w:tc>
        <w:tc>
          <w:tcPr>
            <w:tcW w:type="dxa" w:w="4320"/>
          </w:tcPr>
          <w:p>
            <w:r>
              <w:t>Maintain accurate records for managed configuration items, implement approved baselines, remediate discrepancies and support reconciliation activities.</w:t>
            </w:r>
          </w:p>
        </w:tc>
      </w:tr>
      <w:tr>
        <w:tc>
          <w:tcPr>
            <w:tcW w:type="dxa" w:w="4320"/>
          </w:tcPr>
          <w:p>
            <w:r>
              <w:t>Asset Management Function</w:t>
            </w:r>
          </w:p>
        </w:tc>
        <w:tc>
          <w:tcPr>
            <w:tcW w:type="dxa" w:w="4320"/>
          </w:tcPr>
          <w:p>
            <w:r>
              <w:t>Coordinates with configuration management to reconcile financial, contractual and lifecycle asset information with configuration records.</w:t>
            </w:r>
          </w:p>
        </w:tc>
      </w:tr>
      <w:tr>
        <w:tc>
          <w:tcPr>
            <w:tcW w:type="dxa" w:w="4320"/>
          </w:tcPr>
          <w:p>
            <w:r>
              <w:t>Procurement and Supplier Management</w:t>
            </w:r>
          </w:p>
        </w:tc>
        <w:tc>
          <w:tcPr>
            <w:tcW w:type="dxa" w:w="4320"/>
          </w:tcPr>
          <w:p>
            <w:r>
              <w:t>Ensures supplier contracts include configuration information, change notification and baseline management requirements where relevant.</w:t>
            </w:r>
          </w:p>
        </w:tc>
      </w:tr>
      <w:tr>
        <w:tc>
          <w:tcPr>
            <w:tcW w:type="dxa" w:w="4320"/>
          </w:tcPr>
          <w:p>
            <w:r>
              <w:t>Suppliers and Managed Service Providers</w:t>
            </w:r>
          </w:p>
        </w:tc>
        <w:tc>
          <w:tcPr>
            <w:tcW w:type="dxa" w:w="4320"/>
          </w:tcPr>
          <w:p>
            <w:r>
              <w:t>Maintain accurate configuration information for supplier-managed services, provide required data to the organisation and comply with approved change and baseline requirements.</w:t>
            </w:r>
          </w:p>
        </w:tc>
      </w:tr>
      <w:tr>
        <w:tc>
          <w:tcPr>
            <w:tcW w:type="dxa" w:w="4320"/>
          </w:tcPr>
          <w:p>
            <w:r>
              <w:t>Internal Audit or Assurance Function</w:t>
            </w:r>
          </w:p>
        </w:tc>
        <w:tc>
          <w:tcPr>
            <w:tcW w:type="dxa" w:w="4320"/>
          </w:tcPr>
          <w:p>
            <w:r>
              <w:t>Provides independent assurance over the design and operating effectiveness of configuration management controls where included in the audit plan.</w:t>
            </w:r>
          </w:p>
        </w:tc>
      </w:tr>
      <w:tr>
        <w:tc>
          <w:tcPr>
            <w:tcW w:type="dxa" w:w="4320"/>
          </w:tcPr>
          <w:p>
            <w:r>
              <w:t>All Users with Configuration Management Responsibilities</w:t>
            </w:r>
          </w:p>
        </w:tc>
        <w:tc>
          <w:tcPr>
            <w:tcW w:type="dxa" w:w="4320"/>
          </w:tcPr>
          <w:p>
            <w:r>
              <w:t>Follow approved procedures, update records accurately and promptly, protect configuration information and report discrepancies.</w:t>
            </w:r>
          </w:p>
        </w:tc>
      </w:tr>
    </w:tbl>
    <w:p>
      <w:pPr>
        <w:pStyle w:val="Heading2"/>
      </w:pPr>
      <w:r>
        <w:t>Compliance, Monitoring &amp; Enforcement</w:t>
      </w:r>
    </w:p>
    <w:p>
      <w:r>
        <w:t>Compliance with this policy is mandatory.</w:t>
      </w:r>
    </w:p>
    <w:p>
      <w:r>
        <w:t>The Head of IT Service Management, Configuration Manager, Information Security function and relevant technology owners shall monitor compliance through a combination of process reviews, configuration data quality checks, discovery reconciliation, baseline compliance scans, change record sampling, service owner attestations, supplier reporting and internal assurance activities.</w:t>
      </w:r>
    </w:p>
    <w:p>
      <w:r>
        <w:t>Monitoring activities shall include, as appropriate:</w:t>
      </w:r>
    </w:p>
    <w:tbl>
      <w:tblPr>
        <w:tblStyle w:val="TableGrid"/>
        <w:tblW w:type="auto" w:w="0"/>
        <w:tblLook w:firstColumn="1" w:firstRow="1" w:lastColumn="0" w:lastRow="0" w:noHBand="0" w:noVBand="1" w:val="04A0"/>
      </w:tblPr>
      <w:tblGrid>
        <w:gridCol w:w="2880"/>
        <w:gridCol w:w="2880"/>
        <w:gridCol w:w="2880"/>
      </w:tblGrid>
      <w:tr>
        <w:tc>
          <w:tcPr>
            <w:tcW w:type="dxa" w:w="2880"/>
          </w:tcPr>
          <w:p>
            <w:r>
              <w:t>Monitoring Activity</w:t>
            </w:r>
          </w:p>
        </w:tc>
        <w:tc>
          <w:tcPr>
            <w:tcW w:type="dxa" w:w="2880"/>
          </w:tcPr>
          <w:p>
            <w:r>
              <w:t>Minimum Frequency</w:t>
            </w:r>
          </w:p>
        </w:tc>
        <w:tc>
          <w:tcPr>
            <w:tcW w:type="dxa" w:w="2880"/>
          </w:tcPr>
          <w:p>
            <w:r>
              <w:t>Responsible Role</w:t>
            </w:r>
          </w:p>
        </w:tc>
      </w:tr>
      <w:tr>
        <w:tc>
          <w:tcPr>
            <w:tcW w:type="dxa" w:w="2880"/>
          </w:tcPr>
          <w:p>
            <w:r>
              <w:t>Configuration data completeness review for critical services</w:t>
            </w:r>
          </w:p>
        </w:tc>
        <w:tc>
          <w:tcPr>
            <w:tcW w:type="dxa" w:w="2880"/>
          </w:tcPr>
          <w:p>
            <w:r>
              <w:t>Monthly</w:t>
            </w:r>
          </w:p>
        </w:tc>
        <w:tc>
          <w:tcPr>
            <w:tcW w:type="dxa" w:w="2880"/>
          </w:tcPr>
          <w:p>
            <w:r>
              <w:t>Configuration Manager</w:t>
            </w:r>
          </w:p>
        </w:tc>
      </w:tr>
      <w:tr>
        <w:tc>
          <w:tcPr>
            <w:tcW w:type="dxa" w:w="2880"/>
          </w:tcPr>
          <w:p>
            <w:r>
              <w:t>Reconciliation of discovery data against authorised records</w:t>
            </w:r>
          </w:p>
        </w:tc>
        <w:tc>
          <w:tcPr>
            <w:tcW w:type="dxa" w:w="2880"/>
          </w:tcPr>
          <w:p>
            <w:r>
              <w:t>Monthly for production and critical systems</w:t>
            </w:r>
          </w:p>
        </w:tc>
        <w:tc>
          <w:tcPr>
            <w:tcW w:type="dxa" w:w="2880"/>
          </w:tcPr>
          <w:p>
            <w:r>
              <w:t>Configuration Manager and technical custodians</w:t>
            </w:r>
          </w:p>
        </w:tc>
      </w:tr>
      <w:tr>
        <w:tc>
          <w:tcPr>
            <w:tcW w:type="dxa" w:w="2880"/>
          </w:tcPr>
          <w:p>
            <w:r>
              <w:t>Review of unauthorised or unknown configuration items</w:t>
            </w:r>
          </w:p>
        </w:tc>
        <w:tc>
          <w:tcPr>
            <w:tcW w:type="dxa" w:w="2880"/>
          </w:tcPr>
          <w:p>
            <w:r>
              <w:t>Monthly</w:t>
            </w:r>
          </w:p>
        </w:tc>
        <w:tc>
          <w:tcPr>
            <w:tcW w:type="dxa" w:w="2880"/>
          </w:tcPr>
          <w:p>
            <w:r>
              <w:t>Configuration Manager and Information Security</w:t>
            </w:r>
          </w:p>
        </w:tc>
      </w:tr>
      <w:tr>
        <w:tc>
          <w:tcPr>
            <w:tcW w:type="dxa" w:w="2880"/>
          </w:tcPr>
          <w:p>
            <w:r>
              <w:t>Baseline compliance review for critical and internet-facing systems</w:t>
            </w:r>
          </w:p>
        </w:tc>
        <w:tc>
          <w:tcPr>
            <w:tcW w:type="dxa" w:w="2880"/>
          </w:tcPr>
          <w:p>
            <w:r>
              <w:t>Monthly or aligned to security scanning cycle</w:t>
            </w:r>
          </w:p>
        </w:tc>
        <w:tc>
          <w:tcPr>
            <w:tcW w:type="dxa" w:w="2880"/>
          </w:tcPr>
          <w:p>
            <w:r>
              <w:t>Information Security and technical owners</w:t>
            </w:r>
          </w:p>
        </w:tc>
      </w:tr>
      <w:tr>
        <w:tc>
          <w:tcPr>
            <w:tcW w:type="dxa" w:w="2880"/>
          </w:tcPr>
          <w:p>
            <w:r>
              <w:t>Change record sampling for configuration update evidence</w:t>
            </w:r>
          </w:p>
        </w:tc>
        <w:tc>
          <w:tcPr>
            <w:tcW w:type="dxa" w:w="2880"/>
          </w:tcPr>
          <w:p>
            <w:r>
              <w:t>Monthly</w:t>
            </w:r>
          </w:p>
        </w:tc>
        <w:tc>
          <w:tcPr>
            <w:tcW w:type="dxa" w:w="2880"/>
          </w:tcPr>
          <w:p>
            <w:r>
              <w:t>Change Manager</w:t>
            </w:r>
          </w:p>
        </w:tc>
      </w:tr>
      <w:tr>
        <w:tc>
          <w:tcPr>
            <w:tcW w:type="dxa" w:w="2880"/>
          </w:tcPr>
          <w:p>
            <w:r>
              <w:t>Service dependency map attestation for critical services</w:t>
            </w:r>
          </w:p>
        </w:tc>
        <w:tc>
          <w:tcPr>
            <w:tcW w:type="dxa" w:w="2880"/>
          </w:tcPr>
          <w:p>
            <w:r>
              <w:t>Quarterly</w:t>
            </w:r>
          </w:p>
        </w:tc>
        <w:tc>
          <w:tcPr>
            <w:tcW w:type="dxa" w:w="2880"/>
          </w:tcPr>
          <w:p>
            <w:r>
              <w:t>Service Owner</w:t>
            </w:r>
          </w:p>
        </w:tc>
      </w:tr>
      <w:tr>
        <w:tc>
          <w:tcPr>
            <w:tcW w:type="dxa" w:w="2880"/>
          </w:tcPr>
          <w:p>
            <w:r>
              <w:t>Supplier configuration data review</w:t>
            </w:r>
          </w:p>
        </w:tc>
        <w:tc>
          <w:tcPr>
            <w:tcW w:type="dxa" w:w="2880"/>
          </w:tcPr>
          <w:p>
            <w:r>
              <w:t>Quarterly or according to contract</w:t>
            </w:r>
          </w:p>
        </w:tc>
        <w:tc>
          <w:tcPr>
            <w:tcW w:type="dxa" w:w="2880"/>
          </w:tcPr>
          <w:p>
            <w:r>
              <w:t>Supplier Manager and Service Owner</w:t>
            </w:r>
          </w:p>
        </w:tc>
      </w:tr>
      <w:tr>
        <w:tc>
          <w:tcPr>
            <w:tcW w:type="dxa" w:w="2880"/>
          </w:tcPr>
          <w:p>
            <w:r>
              <w:t>Configuration management metrics review</w:t>
            </w:r>
          </w:p>
        </w:tc>
        <w:tc>
          <w:tcPr>
            <w:tcW w:type="dxa" w:w="2880"/>
          </w:tcPr>
          <w:p>
            <w:r>
              <w:t>Quarterly</w:t>
            </w:r>
          </w:p>
        </w:tc>
        <w:tc>
          <w:tcPr>
            <w:tcW w:type="dxa" w:w="2880"/>
          </w:tcPr>
          <w:p>
            <w:r>
              <w:t>IT Service Management governance forum</w:t>
            </w:r>
          </w:p>
        </w:tc>
      </w:tr>
      <w:tr>
        <w:tc>
          <w:tcPr>
            <w:tcW w:type="dxa" w:w="2880"/>
          </w:tcPr>
          <w:p>
            <w:r>
              <w:t>Independent assurance review</w:t>
            </w:r>
          </w:p>
        </w:tc>
        <w:tc>
          <w:tcPr>
            <w:tcW w:type="dxa" w:w="2880"/>
          </w:tcPr>
          <w:p>
            <w:r>
              <w:t>According to audit plan</w:t>
            </w:r>
          </w:p>
        </w:tc>
        <w:tc>
          <w:tcPr>
            <w:tcW w:type="dxa" w:w="2880"/>
          </w:tcPr>
          <w:p>
            <w:r>
              <w:t>Internal Audit or Assurance Function</w:t>
            </w:r>
          </w:p>
        </w:tc>
      </w:tr>
    </w:tbl>
    <w:p>
      <w:r>
        <w:t>Non-compliance may include, but is not limited to:</w:t>
      </w:r>
    </w:p>
    <w:p>
      <w:pPr>
        <w:pStyle w:val="ListBullet"/>
      </w:pPr>
      <w:r>
        <w:t>Failure to record in-scope configuration items.</w:t>
      </w:r>
    </w:p>
    <w:p>
      <w:pPr>
        <w:pStyle w:val="ListBullet"/>
      </w:pPr>
      <w:r>
        <w:t>Failure to update configuration records after approved changes.</w:t>
      </w:r>
    </w:p>
    <w:p>
      <w:pPr>
        <w:pStyle w:val="ListBullet"/>
      </w:pPr>
      <w:r>
        <w:t>Use of unofficial repositories as substitutes for approved sources of record.</w:t>
      </w:r>
    </w:p>
    <w:p>
      <w:pPr>
        <w:pStyle w:val="ListBullet"/>
      </w:pPr>
      <w:r>
        <w:t>Failure to define or maintain required configuration baselines.</w:t>
      </w:r>
    </w:p>
    <w:p>
      <w:pPr>
        <w:pStyle w:val="ListBullet"/>
      </w:pPr>
      <w:r>
        <w:t>Implementation of unauthorised configuration changes.</w:t>
      </w:r>
    </w:p>
    <w:p>
      <w:pPr>
        <w:pStyle w:val="ListBullet"/>
      </w:pPr>
      <w:r>
        <w:t>Material discrepancy between discovered configuration and authorised records.</w:t>
      </w:r>
    </w:p>
    <w:p>
      <w:pPr>
        <w:pStyle w:val="ListBullet"/>
      </w:pPr>
      <w:r>
        <w:t>Failure to remediate or formally accept baseline deviations.</w:t>
      </w:r>
    </w:p>
    <w:p>
      <w:pPr>
        <w:pStyle w:val="ListBullet"/>
      </w:pPr>
      <w:r>
        <w:t>Unauthorised access to, modification of or deletion of configuration records.</w:t>
      </w:r>
    </w:p>
    <w:p>
      <w:pPr>
        <w:pStyle w:val="ListBullet"/>
      </w:pPr>
      <w:r>
        <w:t>Supplier failure to provide required configuration information.</w:t>
      </w:r>
    </w:p>
    <w:p>
      <w:pPr>
        <w:pStyle w:val="ListBullet"/>
      </w:pPr>
      <w:r>
        <w:t>Failure to maintain dependency data for critical services.</w:t>
      </w:r>
    </w:p>
    <w:p>
      <w:r>
        <w:t>Where non-compliance is identified, the responsible owner shall prepare and execute a remediation plan proportionate to the risk. Remediation actions may include record correction, baseline update, change review, technical remediation, access restriction, supplier escalation, management reporting, retraining or disciplinary action.</w:t>
      </w:r>
    </w:p>
    <w:p>
      <w:r>
        <w:t>Serious or repeated non-compliance shall be escalated to technology leadership, the risk management function, information security leadership and relevant governance forums. Where non-compliance creates material operational, security, legal, regulatory or customer risk, it shall be managed through the organisation’s risk management and incident management processes as appropriate.</w:t>
      </w:r>
    </w:p>
    <w:p>
      <w:r>
        <w:t>Enforcement actions shall be proportionate to the severity, intent, recurrence and business impact of the non-compliance and may include suspension of access, rejection of changes, service onboarding delays, supplier service credits or remedies, formal performance management, disciplinary action or contract enforcement.</w:t>
      </w:r>
    </w:p>
    <w:p>
      <w:pPr>
        <w:pStyle w:val="Heading2"/>
      </w:pPr>
      <w:r>
        <w:t>Exceptions</w:t>
      </w:r>
    </w:p>
    <w:p>
      <w:r>
        <w:t>Exceptions to this policy are permitted only where there is a justified business, technical, operational, security or contractual reason and where the associated risk has been assessed, documented and approved by the appropriate authority.</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Exception requester</w:t>
            </w:r>
          </w:p>
        </w:tc>
        <w:tc>
          <w:tcPr>
            <w:tcW w:type="dxa" w:w="4320"/>
          </w:tcPr>
          <w:p>
            <w:r>
              <w:t>Name, role and business area of the person requesting the exception</w:t>
            </w:r>
          </w:p>
        </w:tc>
      </w:tr>
      <w:tr>
        <w:tc>
          <w:tcPr>
            <w:tcW w:type="dxa" w:w="4320"/>
          </w:tcPr>
          <w:p>
            <w:r>
              <w:t>Affected configuration items or services</w:t>
            </w:r>
          </w:p>
        </w:tc>
        <w:tc>
          <w:tcPr>
            <w:tcW w:type="dxa" w:w="4320"/>
          </w:tcPr>
          <w:p>
            <w:r>
              <w:t>Configuration item identifiers, service names and affected environments</w:t>
            </w:r>
          </w:p>
        </w:tc>
      </w:tr>
      <w:tr>
        <w:tc>
          <w:tcPr>
            <w:tcW w:type="dxa" w:w="4320"/>
          </w:tcPr>
          <w:p>
            <w:r>
              <w:t>Policy requirement impacted</w:t>
            </w:r>
          </w:p>
        </w:tc>
        <w:tc>
          <w:tcPr>
            <w:tcW w:type="dxa" w:w="4320"/>
          </w:tcPr>
          <w:p>
            <w:r>
              <w:t>Description of the specific requirement that cannot be met</w:t>
            </w:r>
          </w:p>
        </w:tc>
      </w:tr>
      <w:tr>
        <w:tc>
          <w:tcPr>
            <w:tcW w:type="dxa" w:w="4320"/>
          </w:tcPr>
          <w:p>
            <w:r>
              <w:t>Business justification</w:t>
            </w:r>
          </w:p>
        </w:tc>
        <w:tc>
          <w:tcPr>
            <w:tcW w:type="dxa" w:w="4320"/>
          </w:tcPr>
          <w:p>
            <w:r>
              <w:t>Reason the requirement cannot be met or should be temporarily waived</w:t>
            </w:r>
          </w:p>
        </w:tc>
      </w:tr>
      <w:tr>
        <w:tc>
          <w:tcPr>
            <w:tcW w:type="dxa" w:w="4320"/>
          </w:tcPr>
          <w:p>
            <w:r>
              <w:t>Risk assessment</w:t>
            </w:r>
          </w:p>
        </w:tc>
        <w:tc>
          <w:tcPr>
            <w:tcW w:type="dxa" w:w="4320"/>
          </w:tcPr>
          <w:p>
            <w:r>
              <w:t>Operational, security, compliance, resilience and service impacts</w:t>
            </w:r>
          </w:p>
        </w:tc>
      </w:tr>
      <w:tr>
        <w:tc>
          <w:tcPr>
            <w:tcW w:type="dxa" w:w="4320"/>
          </w:tcPr>
          <w:p>
            <w:r>
              <w:t>Compensating controls</w:t>
            </w:r>
          </w:p>
        </w:tc>
        <w:tc>
          <w:tcPr>
            <w:tcW w:type="dxa" w:w="4320"/>
          </w:tcPr>
          <w:p>
            <w:r>
              <w:t>Measures that reduce the risk while the exception is active</w:t>
            </w:r>
          </w:p>
        </w:tc>
      </w:tr>
      <w:tr>
        <w:tc>
          <w:tcPr>
            <w:tcW w:type="dxa" w:w="4320"/>
          </w:tcPr>
          <w:p>
            <w:r>
              <w:t>Remediation plan</w:t>
            </w:r>
          </w:p>
        </w:tc>
        <w:tc>
          <w:tcPr>
            <w:tcW w:type="dxa" w:w="4320"/>
          </w:tcPr>
          <w:p>
            <w:r>
              <w:t>Actions required to return to compliance</w:t>
            </w:r>
          </w:p>
        </w:tc>
      </w:tr>
      <w:tr>
        <w:tc>
          <w:tcPr>
            <w:tcW w:type="dxa" w:w="4320"/>
          </w:tcPr>
          <w:p>
            <w:r>
              <w:t>Expiry date</w:t>
            </w:r>
          </w:p>
        </w:tc>
        <w:tc>
          <w:tcPr>
            <w:tcW w:type="dxa" w:w="4320"/>
          </w:tcPr>
          <w:p>
            <w:r>
              <w:t>Date by which the exception must be remediated or renewed</w:t>
            </w:r>
          </w:p>
        </w:tc>
      </w:tr>
      <w:tr>
        <w:tc>
          <w:tcPr>
            <w:tcW w:type="dxa" w:w="4320"/>
          </w:tcPr>
          <w:p>
            <w:r>
              <w:t>Approval</w:t>
            </w:r>
          </w:p>
        </w:tc>
        <w:tc>
          <w:tcPr>
            <w:tcW w:type="dxa" w:w="4320"/>
          </w:tcPr>
          <w:p>
            <w:r>
              <w:t>Required approval based on risk and scope</w:t>
            </w:r>
          </w:p>
        </w:tc>
      </w:tr>
    </w:tbl>
    <w:p>
      <w:r>
        <w:t>Exceptions shall be time-bound and shall not be approved indefinitely. The maximum approval period for a configuration management exception shall normally be [90 days], unless a longer period is approved by [designated risk authority] based on documented risk acceptance.</w:t>
      </w:r>
    </w:p>
    <w:p>
      <w:r>
        <w:t>Exceptions affecting critical services, internet-facing systems, security controls, regulated data, recovery capability or supplier-managed critical services shall require review by the Information Security function and approval by the relevant risk owner.</w:t>
      </w:r>
    </w:p>
    <w:p>
      <w:r>
        <w:t>Expired exceptions shall be treated as non-compliance unless renewed before expiry. Exception owners shall be responsible for tracking remediation actions and providing evidence of closure.</w:t>
      </w:r>
    </w:p>
    <w:p>
      <w:r>
        <w:t>Emergency exceptions may be granted where immediate action is required to protect service availability, security, safety or legal obligations. Emergency exceptions shall be documented and submitted for retrospective approval within [5 business days].</w:t>
      </w:r>
    </w:p>
    <w:p>
      <w:pPr>
        <w:pStyle w:val="Heading2"/>
      </w:pPr>
      <w:r>
        <w:t>Review &amp; Maintenance</w:t>
      </w:r>
    </w:p>
    <w:p>
      <w:r>
        <w:t>This policy shall be reviewed at least annually and whenever significant changes occur that may affect configuration management requirements, including:</w:t>
      </w:r>
    </w:p>
    <w:p>
      <w:pPr>
        <w:pStyle w:val="ListBullet"/>
      </w:pPr>
      <w:r>
        <w:t>Major changes to technology strategy, architecture or operating model.</w:t>
      </w:r>
    </w:p>
    <w:p>
      <w:pPr>
        <w:pStyle w:val="ListBullet"/>
      </w:pPr>
      <w:r>
        <w:t>Introduction of new cloud, platform, outsourcing or managed service arrangements.</w:t>
      </w:r>
    </w:p>
    <w:p>
      <w:pPr>
        <w:pStyle w:val="ListBullet"/>
      </w:pPr>
      <w:r>
        <w:t>Significant incidents, outages, audit findings or control failures involving configuration information.</w:t>
      </w:r>
    </w:p>
    <w:p>
      <w:pPr>
        <w:pStyle w:val="ListBullet"/>
      </w:pPr>
      <w:r>
        <w:t>Material changes to change management, release management, asset management, vulnerability management or service continuity processes.</w:t>
      </w:r>
    </w:p>
    <w:p>
      <w:pPr>
        <w:pStyle w:val="ListBullet"/>
      </w:pPr>
      <w:r>
        <w:t>Changes to legal, regulatory, contractual or customer obligations.</w:t>
      </w:r>
    </w:p>
    <w:p>
      <w:pPr>
        <w:pStyle w:val="ListBullet"/>
      </w:pPr>
      <w:r>
        <w:t>Significant changes to threat landscape or security hardening expectations.</w:t>
      </w:r>
    </w:p>
    <w:p>
      <w:pPr>
        <w:pStyle w:val="ListBullet"/>
      </w:pPr>
      <w:r>
        <w:t>Implementation or replacement of configuration management, discovery or service management tooling.</w:t>
      </w:r>
    </w:p>
    <w:p>
      <w:r>
        <w:t>The Head of IT Service Management is responsible for coordinating the review of this policy. Reviews shall include input from configuration management, information security, enterprise architecture, technology operations, change management, asset management, supplier management, risk management and other relevant stakeholders.</w:t>
      </w:r>
    </w:p>
    <w:p>
      <w:r>
        <w:t>Policy changes shall be approved in accordance with the organisation’s document governance process. Approved changes shall be communicated to affected personnel and suppliers where relevant.</w:t>
      </w:r>
    </w:p>
    <w:p>
      <w:r>
        <w:t>The Configuration Manager shall maintain supporting standards, procedures, data models, baseline templates, reconciliation rules and reporting definitions necessary to implement this policy.</w:t>
      </w:r>
    </w:p>
    <w:p>
      <w:r>
        <w:t>Superseded versions of this policy shall be retained in accordance with organisational records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