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Consent Procedure (opt-in)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Document ID</w:t>
            </w:r>
          </w:p>
        </w:tc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Effective Date</w:t>
            </w:r>
          </w:p>
        </w:tc>
        <w:tc>
          <w:tcPr>
            <w:tcW w:type="dxa" w:w="1440"/>
          </w:tcPr>
          <w:p>
            <w:r>
              <w:t>Framework</w:t>
            </w:r>
          </w:p>
        </w:tc>
        <w:tc>
          <w:tcPr>
            <w:tcW w:type="dxa" w:w="1440"/>
          </w:tcPr>
          <w:p>
            <w:r>
              <w:t>Classification</w:t>
            </w:r>
          </w:p>
        </w:tc>
      </w:tr>
      <w:tr>
        <w:tc>
          <w:tcPr>
            <w:tcW w:type="dxa" w:w="1440"/>
          </w:tcPr>
          <w:p>
            <w:r>
              <w:t>[PDPL-PRO-MKT-001]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Data Protection Officer</w:t>
            </w:r>
          </w:p>
        </w:tc>
        <w:tc>
          <w:tcPr>
            <w:tcW w:type="dxa" w:w="1440"/>
          </w:tcPr>
          <w:p>
            <w:r>
              <w:t>[Effective Date]</w:t>
            </w:r>
          </w:p>
        </w:tc>
        <w:tc>
          <w:tcPr>
            <w:tcW w:type="dxa" w:w="1440"/>
          </w:tcPr>
          <w:p>
            <w:r>
              <w:t>Saudi Personal Data Protection Law</w:t>
            </w:r>
          </w:p>
        </w:tc>
        <w:tc>
          <w:tcPr>
            <w:tcW w:type="dxa" w:w="1440"/>
          </w:tcPr>
          <w:p>
            <w:r>
              <w:t>Internal</w:t>
            </w:r>
          </w:p>
        </w:tc>
      </w:tr>
    </w:tbl>
    <w:p>
      <w:pPr>
        <w:pStyle w:val="Heading2"/>
      </w:pPr>
      <w:r>
        <w:t>Purpose</w:t>
      </w:r>
    </w:p>
    <w:p>
      <w:r>
        <w:t>This procedure defines how [Organisation Name] obtains, records, manages, and honours opt-in consent before sending direct marketing communications to individuals in the Kingdom of Saudi Arabia or otherwise subject to Saudi personal data protection requirements.</w:t>
      </w:r>
    </w:p>
    <w:p>
      <w:r>
        <w:t>The procedure ensures that:</w:t>
      </w:r>
    </w:p>
    <w:p>
      <w:pPr>
        <w:pStyle w:val="ListBullet"/>
      </w:pPr>
      <w:r>
        <w:t>Direct marketing is sent only where valid prior consent has been obtained.</w:t>
      </w:r>
    </w:p>
    <w:p>
      <w:pPr>
        <w:pStyle w:val="ListBullet"/>
      </w:pPr>
      <w:r>
        <w:t>Individuals are clearly informed about the marketing purpose before consenting.</w:t>
      </w:r>
    </w:p>
    <w:p>
      <w:pPr>
        <w:pStyle w:val="ListBullet"/>
      </w:pPr>
      <w:r>
        <w:t>Consent is freely given, specific, informed, and unambiguous.</w:t>
      </w:r>
    </w:p>
    <w:p>
      <w:pPr>
        <w:pStyle w:val="ListBullet"/>
      </w:pPr>
      <w:r>
        <w:t>Individuals can withdraw marketing consent easily at any time.</w:t>
      </w:r>
    </w:p>
    <w:p>
      <w:pPr>
        <w:pStyle w:val="ListBullet"/>
      </w:pPr>
      <w:r>
        <w:t>Sensitive personal data is not used for direct marketing.</w:t>
      </w:r>
    </w:p>
    <w:p>
      <w:pPr>
        <w:pStyle w:val="ListBullet"/>
      </w:pPr>
      <w:r>
        <w:t>Marketing records are accurate, traceable, and available for audit or regulatory review.</w:t>
      </w:r>
    </w:p>
    <w:p>
      <w:pPr>
        <w:pStyle w:val="Heading2"/>
      </w:pPr>
      <w:r>
        <w:t>Scope</w:t>
      </w:r>
    </w:p>
    <w:p>
      <w:r>
        <w:t>This procedure applies to all direct marketing activities conducted by or on behalf of [Organisation Name], including:</w:t>
      </w:r>
    </w:p>
    <w:p>
      <w:pPr>
        <w:pStyle w:val="ListBullet"/>
      </w:pPr>
      <w:r>
        <w:t>Email marketing.</w:t>
      </w:r>
    </w:p>
    <w:p>
      <w:pPr>
        <w:pStyle w:val="ListBullet"/>
      </w:pPr>
      <w:r>
        <w:t>SMS, MMS, and instant messaging campaigns.</w:t>
      </w:r>
    </w:p>
    <w:p>
      <w:pPr>
        <w:pStyle w:val="ListBullet"/>
      </w:pPr>
      <w:r>
        <w:t>Telephone marketing calls.</w:t>
      </w:r>
    </w:p>
    <w:p>
      <w:pPr>
        <w:pStyle w:val="ListBullet"/>
      </w:pPr>
      <w:r>
        <w:t>App push notifications.</w:t>
      </w:r>
    </w:p>
    <w:p>
      <w:pPr>
        <w:pStyle w:val="ListBullet"/>
      </w:pPr>
      <w:r>
        <w:t>Website, portal, or in-app promotional messaging where personal data is used to target the individual.</w:t>
      </w:r>
    </w:p>
    <w:p>
      <w:pPr>
        <w:pStyle w:val="ListBullet"/>
      </w:pPr>
      <w:r>
        <w:t>Loyalty, customer retention, reactivation, cross-sell, and upsell campaigns.</w:t>
      </w:r>
    </w:p>
    <w:p>
      <w:pPr>
        <w:pStyle w:val="ListBullet"/>
      </w:pPr>
      <w:r>
        <w:t>Marketing conducted through third-party platforms, agencies, processors, or partners on behalf of [Organisation Name].</w:t>
      </w:r>
    </w:p>
    <w:p>
      <w:r>
        <w:t>This procedure applies to personal data relating to:</w:t>
      </w:r>
    </w:p>
    <w:p>
      <w:pPr>
        <w:pStyle w:val="ListBullet"/>
      </w:pPr>
      <w:r>
        <w:t>Customers.</w:t>
      </w:r>
    </w:p>
    <w:p>
      <w:pPr>
        <w:pStyle w:val="ListBullet"/>
      </w:pPr>
      <w:r>
        <w:t>Prospective customers.</w:t>
      </w:r>
    </w:p>
    <w:p>
      <w:pPr>
        <w:pStyle w:val="ListBullet"/>
      </w:pPr>
      <w:r>
        <w:t>Website and app users.</w:t>
      </w:r>
    </w:p>
    <w:p>
      <w:pPr>
        <w:pStyle w:val="ListBullet"/>
      </w:pPr>
      <w:r>
        <w:t>Event attendees.</w:t>
      </w:r>
    </w:p>
    <w:p>
      <w:pPr>
        <w:pStyle w:val="ListBullet"/>
      </w:pPr>
      <w:r>
        <w:t>Loyalty programme members.</w:t>
      </w:r>
    </w:p>
    <w:p>
      <w:pPr>
        <w:pStyle w:val="ListBullet"/>
      </w:pPr>
      <w:r>
        <w:t>Business contacts where the communication is promotional in nature.</w:t>
      </w:r>
    </w:p>
    <w:p>
      <w:pPr>
        <w:pStyle w:val="ListBullet"/>
      </w:pPr>
      <w:r>
        <w:t>Any other identifiable individual whose personal data is used for direct marketing.</w:t>
      </w:r>
    </w:p>
    <w:p>
      <w:r>
        <w:t>This procedure does not apply to:</w:t>
      </w:r>
    </w:p>
    <w:p>
      <w:pPr>
        <w:pStyle w:val="ListBullet"/>
      </w:pPr>
      <w:r>
        <w:t>Service, operational, security, legal, or transactional communications that are not promotional.</w:t>
      </w:r>
    </w:p>
    <w:p>
      <w:pPr>
        <w:pStyle w:val="ListBullet"/>
      </w:pPr>
      <w:r>
        <w:t>Internal employee communications that do not involve direct marketing.</w:t>
      </w:r>
    </w:p>
    <w:p>
      <w:pPr>
        <w:pStyle w:val="ListBullet"/>
      </w:pPr>
      <w:r>
        <w:t>Fully anonymised analytics where individuals cannot be identified.</w:t>
      </w:r>
    </w:p>
    <w:p>
      <w:pPr>
        <w:pStyle w:val="ListBullet"/>
      </w:pPr>
      <w:r>
        <w:t>Communications required to fulfil a contract, provided they are not used to promote additional products or services.</w:t>
      </w:r>
    </w:p>
    <w:p>
      <w:r>
        <w:t>Sensitive personal data must not be used for direct marketing. This includes, at minimum, data revealing or relating to health, genetic or biometric identifiers, religious beliefs, political opinions, security-related information, criminal records, credit information, precise location where it reveals sensitive details, or any other data classified by [Organisation Name] as sensitive.</w:t>
      </w:r>
    </w:p>
    <w:p>
      <w:pPr>
        <w:pStyle w:val="Heading2"/>
      </w:pPr>
      <w:r>
        <w:t>Prerequisites &amp; Inputs</w:t>
      </w:r>
    </w:p>
    <w:p>
      <w:r>
        <w:t>Before launching or modifying any direct marketing activity, the Marketing Owner must ensure the following prerequisites are in place.</w:t>
      </w:r>
    </w:p>
    <w:p>
      <w:pPr>
        <w:pStyle w:val="Heading3"/>
      </w:pPr>
      <w:r>
        <w:t>Required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Prerequisite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Responsible Role</w:t>
            </w:r>
          </w:p>
        </w:tc>
      </w:tr>
      <w:tr>
        <w:tc>
          <w:tcPr>
            <w:tcW w:type="dxa" w:w="2880"/>
          </w:tcPr>
          <w:p>
            <w:r>
              <w:t>Approved marketing purpose</w:t>
            </w:r>
          </w:p>
        </w:tc>
        <w:tc>
          <w:tcPr>
            <w:tcW w:type="dxa" w:w="2880"/>
          </w:tcPr>
          <w:p>
            <w:r>
              <w:t>The campaign purpose, audience, channels, and promotional content must be documented and approved.</w:t>
            </w:r>
          </w:p>
        </w:tc>
        <w:tc>
          <w:tcPr>
            <w:tcW w:type="dxa" w:w="2880"/>
          </w:tcPr>
          <w:p>
            <w:r>
              <w:t>Marketing Owner</w:t>
            </w:r>
          </w:p>
        </w:tc>
      </w:tr>
      <w:tr>
        <w:tc>
          <w:tcPr>
            <w:tcW w:type="dxa" w:w="2880"/>
          </w:tcPr>
          <w:p>
            <w:r>
              <w:t>Lawful consent mechanism</w:t>
            </w:r>
          </w:p>
        </w:tc>
        <w:tc>
          <w:tcPr>
            <w:tcW w:type="dxa" w:w="2880"/>
          </w:tcPr>
          <w:p>
            <w:r>
              <w:t>An opt-in mechanism must be configured before collecting or using personal data for marketing.</w:t>
            </w:r>
          </w:p>
        </w:tc>
        <w:tc>
          <w:tcPr>
            <w:tcW w:type="dxa" w:w="2880"/>
          </w:tcPr>
          <w:p>
            <w:r>
              <w:t>Marketing Owner / Digital Product Owner</w:t>
            </w:r>
          </w:p>
        </w:tc>
      </w:tr>
      <w:tr>
        <w:tc>
          <w:tcPr>
            <w:tcW w:type="dxa" w:w="2880"/>
          </w:tcPr>
          <w:p>
            <w:r>
              <w:t>Approved privacy notice wording</w:t>
            </w:r>
          </w:p>
        </w:tc>
        <w:tc>
          <w:tcPr>
            <w:tcW w:type="dxa" w:w="2880"/>
          </w:tcPr>
          <w:p>
            <w:r>
              <w:t>The consent notice must explain the marketing purpose, communication channel, sender identity, withdrawal method, and relevant data use in clear language.</w:t>
            </w:r>
          </w:p>
        </w:tc>
        <w:tc>
          <w:tcPr>
            <w:tcW w:type="dxa" w:w="2880"/>
          </w:tcPr>
          <w:p>
            <w:r>
              <w:t>Data Protection Officer</w:t>
            </w:r>
          </w:p>
        </w:tc>
      </w:tr>
      <w:tr>
        <w:tc>
          <w:tcPr>
            <w:tcW w:type="dxa" w:w="2880"/>
          </w:tcPr>
          <w:p>
            <w:r>
              <w:t>Consent capture system</w:t>
            </w:r>
          </w:p>
        </w:tc>
        <w:tc>
          <w:tcPr>
            <w:tcW w:type="dxa" w:w="2880"/>
          </w:tcPr>
          <w:p>
            <w:r>
              <w:t>Consent must be captured in an approved system capable of recording evidence of opt-in and withdrawal.</w:t>
            </w:r>
          </w:p>
        </w:tc>
        <w:tc>
          <w:tcPr>
            <w:tcW w:type="dxa" w:w="2880"/>
          </w:tcPr>
          <w:p>
            <w:r>
              <w:t>System Owner</w:t>
            </w:r>
          </w:p>
        </w:tc>
      </w:tr>
      <w:tr>
        <w:tc>
          <w:tcPr>
            <w:tcW w:type="dxa" w:w="2880"/>
          </w:tcPr>
          <w:p>
            <w:r>
              <w:t>Suppression list process</w:t>
            </w:r>
          </w:p>
        </w:tc>
        <w:tc>
          <w:tcPr>
            <w:tcW w:type="dxa" w:w="2880"/>
          </w:tcPr>
          <w:p>
            <w:r>
              <w:t>A process must exist to prevent communications to individuals who opted out, objected, withdrew consent, or should not be contacted.</w:t>
            </w:r>
          </w:p>
        </w:tc>
        <w:tc>
          <w:tcPr>
            <w:tcW w:type="dxa" w:w="2880"/>
          </w:tcPr>
          <w:p>
            <w:r>
              <w:t>CRM Owner / Marketing Operations</w:t>
            </w:r>
          </w:p>
        </w:tc>
      </w:tr>
      <w:tr>
        <w:tc>
          <w:tcPr>
            <w:tcW w:type="dxa" w:w="2880"/>
          </w:tcPr>
          <w:p>
            <w:r>
              <w:t>Sensitive data exclusion</w:t>
            </w:r>
          </w:p>
        </w:tc>
        <w:tc>
          <w:tcPr>
            <w:tcW w:type="dxa" w:w="2880"/>
          </w:tcPr>
          <w:p>
            <w:r>
              <w:t>Campaign segmentation must exclude sensitive personal data and any derived sensitive indicators.</w:t>
            </w:r>
          </w:p>
        </w:tc>
        <w:tc>
          <w:tcPr>
            <w:tcW w:type="dxa" w:w="2880"/>
          </w:tcPr>
          <w:p>
            <w:r>
              <w:t>Marketing Owner / Data Analyst</w:t>
            </w:r>
          </w:p>
        </w:tc>
      </w:tr>
      <w:tr>
        <w:tc>
          <w:tcPr>
            <w:tcW w:type="dxa" w:w="2880"/>
          </w:tcPr>
          <w:p>
            <w:r>
              <w:t>Processor due diligence</w:t>
            </w:r>
          </w:p>
        </w:tc>
        <w:tc>
          <w:tcPr>
            <w:tcW w:type="dxa" w:w="2880"/>
          </w:tcPr>
          <w:p>
            <w:r>
              <w:t>Any agency, marketing platform, or third-party sender must be approved and bound by appropriate contractual obligations.</w:t>
            </w:r>
          </w:p>
        </w:tc>
        <w:tc>
          <w:tcPr>
            <w:tcW w:type="dxa" w:w="2880"/>
          </w:tcPr>
          <w:p>
            <w:r>
              <w:t>Procurement / Legal / DPO</w:t>
            </w:r>
          </w:p>
        </w:tc>
      </w:tr>
      <w:tr>
        <w:tc>
          <w:tcPr>
            <w:tcW w:type="dxa" w:w="2880"/>
          </w:tcPr>
          <w:p>
            <w:r>
              <w:t>Data quality validation</w:t>
            </w:r>
          </w:p>
        </w:tc>
        <w:tc>
          <w:tcPr>
            <w:tcW w:type="dxa" w:w="2880"/>
          </w:tcPr>
          <w:p>
            <w:r>
              <w:t>Contact details must be accurate, sourced legitimately, and mapped to a valid consent record.</w:t>
            </w:r>
          </w:p>
        </w:tc>
        <w:tc>
          <w:tcPr>
            <w:tcW w:type="dxa" w:w="2880"/>
          </w:tcPr>
          <w:p>
            <w:r>
              <w:t>Marketing Operations</w:t>
            </w:r>
          </w:p>
        </w:tc>
      </w:tr>
      <w:tr>
        <w:tc>
          <w:tcPr>
            <w:tcW w:type="dxa" w:w="2880"/>
          </w:tcPr>
          <w:p>
            <w:r>
              <w:t>Approval workflow</w:t>
            </w:r>
          </w:p>
        </w:tc>
        <w:tc>
          <w:tcPr>
            <w:tcW w:type="dxa" w:w="2880"/>
          </w:tcPr>
          <w:p>
            <w:r>
              <w:t>Campaign approval must include confirmation of consent, audience selection, privacy notice, and unsubscribe testing.</w:t>
            </w:r>
          </w:p>
        </w:tc>
        <w:tc>
          <w:tcPr>
            <w:tcW w:type="dxa" w:w="2880"/>
          </w:tcPr>
          <w:p>
            <w:r>
              <w:t>Marketing Owner / DPO</w:t>
            </w:r>
          </w:p>
        </w:tc>
      </w:tr>
    </w:tbl>
    <w:p>
      <w:pPr>
        <w:pStyle w:val="Heading3"/>
      </w:pPr>
      <w:r>
        <w:t>Required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Minimum Content Required</w:t>
            </w:r>
          </w:p>
        </w:tc>
      </w:tr>
      <w:tr>
        <w:tc>
          <w:tcPr>
            <w:tcW w:type="dxa" w:w="4320"/>
          </w:tcPr>
          <w:p>
            <w:r>
              <w:t>Campaign brief</w:t>
            </w:r>
          </w:p>
        </w:tc>
        <w:tc>
          <w:tcPr>
            <w:tcW w:type="dxa" w:w="4320"/>
          </w:tcPr>
          <w:p>
            <w:r>
              <w:t>Campaign name, objective, product or service, target audience, communication channels, planned dates, sender identity, expected volume</w:t>
            </w:r>
          </w:p>
        </w:tc>
      </w:tr>
      <w:tr>
        <w:tc>
          <w:tcPr>
            <w:tcW w:type="dxa" w:w="4320"/>
          </w:tcPr>
          <w:p>
            <w:r>
              <w:t>Data source list</w:t>
            </w:r>
          </w:p>
        </w:tc>
        <w:tc>
          <w:tcPr>
            <w:tcW w:type="dxa" w:w="4320"/>
          </w:tcPr>
          <w:p>
            <w:r>
              <w:t>Source systems, collection date, collection method, consent status, data fields to be used</w:t>
            </w:r>
          </w:p>
        </w:tc>
      </w:tr>
      <w:tr>
        <w:tc>
          <w:tcPr>
            <w:tcW w:type="dxa" w:w="4320"/>
          </w:tcPr>
          <w:p>
            <w:r>
              <w:t>Consent wording</w:t>
            </w:r>
          </w:p>
        </w:tc>
        <w:tc>
          <w:tcPr>
            <w:tcW w:type="dxa" w:w="4320"/>
          </w:tcPr>
          <w:p>
            <w:r>
              <w:t>Exact wording presented to individuals at the point of opt-in</w:t>
            </w:r>
          </w:p>
        </w:tc>
      </w:tr>
      <w:tr>
        <w:tc>
          <w:tcPr>
            <w:tcW w:type="dxa" w:w="4320"/>
          </w:tcPr>
          <w:p>
            <w:r>
              <w:t>Privacy notice link or text</w:t>
            </w:r>
          </w:p>
        </w:tc>
        <w:tc>
          <w:tcPr>
            <w:tcW w:type="dxa" w:w="4320"/>
          </w:tcPr>
          <w:p>
            <w:r>
              <w:t>Current notice explaining marketing processing and withdrawal rights</w:t>
            </w:r>
          </w:p>
        </w:tc>
      </w:tr>
      <w:tr>
        <w:tc>
          <w:tcPr>
            <w:tcW w:type="dxa" w:w="4320"/>
          </w:tcPr>
          <w:p>
            <w:r>
              <w:t>Audience criteria</w:t>
            </w:r>
          </w:p>
        </w:tc>
        <w:tc>
          <w:tcPr>
            <w:tcW w:type="dxa" w:w="4320"/>
          </w:tcPr>
          <w:p>
            <w:r>
              <w:t>Inclusion and exclusion logic, including confirmation that sensitive data is not used</w:t>
            </w:r>
          </w:p>
        </w:tc>
      </w:tr>
      <w:tr>
        <w:tc>
          <w:tcPr>
            <w:tcW w:type="dxa" w:w="4320"/>
          </w:tcPr>
          <w:p>
            <w:r>
              <w:t>Communication template</w:t>
            </w:r>
          </w:p>
        </w:tc>
        <w:tc>
          <w:tcPr>
            <w:tcW w:type="dxa" w:w="4320"/>
          </w:tcPr>
          <w:p>
            <w:r>
              <w:t>Final or near-final message content, sender name, opt-out wording, contact details</w:t>
            </w:r>
          </w:p>
        </w:tc>
      </w:tr>
      <w:tr>
        <w:tc>
          <w:tcPr>
            <w:tcW w:type="dxa" w:w="4320"/>
          </w:tcPr>
          <w:p>
            <w:r>
              <w:t>Third-party details</w:t>
            </w:r>
          </w:p>
        </w:tc>
        <w:tc>
          <w:tcPr>
            <w:tcW w:type="dxa" w:w="4320"/>
          </w:tcPr>
          <w:p>
            <w:r>
              <w:t>Name of processor or agency, service description, location of processing, contract status</w:t>
            </w:r>
          </w:p>
        </w:tc>
      </w:tr>
      <w:tr>
        <w:tc>
          <w:tcPr>
            <w:tcW w:type="dxa" w:w="4320"/>
          </w:tcPr>
          <w:p>
            <w:r>
              <w:t>Suppression list</w:t>
            </w:r>
          </w:p>
        </w:tc>
        <w:tc>
          <w:tcPr>
            <w:tcW w:type="dxa" w:w="4320"/>
          </w:tcPr>
          <w:p>
            <w:r>
              <w:t>Current list of individuals who must not receive marketing</w:t>
            </w:r>
          </w:p>
        </w:tc>
      </w:tr>
      <w:tr>
        <w:tc>
          <w:tcPr>
            <w:tcW w:type="dxa" w:w="4320"/>
          </w:tcPr>
          <w:p>
            <w:r>
              <w:t>Test results</w:t>
            </w:r>
          </w:p>
        </w:tc>
        <w:tc>
          <w:tcPr>
            <w:tcW w:type="dxa" w:w="4320"/>
          </w:tcPr>
          <w:p>
            <w:r>
              <w:t>Confirmation that opt-in, opt-out, and suppression controls function correctly</w:t>
            </w:r>
          </w:p>
        </w:tc>
      </w:tr>
    </w:tbl>
    <w:p>
      <w:pPr>
        <w:pStyle w:val="Heading3"/>
      </w:pPr>
      <w:r>
        <w:t>Consent standards</w:t>
      </w:r>
    </w:p>
    <w:p>
      <w:r>
        <w:t>A valid marketing opt-in must meet all of the following standards: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Consent Standard</w:t>
            </w:r>
          </w:p>
        </w:tc>
        <w:tc>
          <w:tcPr>
            <w:tcW w:type="dxa" w:w="4320"/>
          </w:tcPr>
          <w:p>
            <w:r>
              <w:t>Required Practice</w:t>
            </w:r>
          </w:p>
        </w:tc>
      </w:tr>
      <w:tr>
        <w:tc>
          <w:tcPr>
            <w:tcW w:type="dxa" w:w="4320"/>
          </w:tcPr>
          <w:p>
            <w:r>
              <w:t>Prior to marketing</w:t>
            </w:r>
          </w:p>
        </w:tc>
        <w:tc>
          <w:tcPr>
            <w:tcW w:type="dxa" w:w="4320"/>
          </w:tcPr>
          <w:p>
            <w:r>
              <w:t>Consent must be obtained before sending direct marketing.</w:t>
            </w:r>
          </w:p>
        </w:tc>
      </w:tr>
      <w:tr>
        <w:tc>
          <w:tcPr>
            <w:tcW w:type="dxa" w:w="4320"/>
          </w:tcPr>
          <w:p>
            <w:r>
              <w:t>Active choice</w:t>
            </w:r>
          </w:p>
        </w:tc>
        <w:tc>
          <w:tcPr>
            <w:tcW w:type="dxa" w:w="4320"/>
          </w:tcPr>
          <w:p>
            <w:r>
              <w:t>Consent must be given by a clear affirmative action, such as ticking an unchecked box, selecting a preference, confirming through a form, or giving recorded verbal agreement.</w:t>
            </w:r>
          </w:p>
        </w:tc>
      </w:tr>
      <w:tr>
        <w:tc>
          <w:tcPr>
            <w:tcW w:type="dxa" w:w="4320"/>
          </w:tcPr>
          <w:p>
            <w:r>
              <w:t>Not pre-selected</w:t>
            </w:r>
          </w:p>
        </w:tc>
        <w:tc>
          <w:tcPr>
            <w:tcW w:type="dxa" w:w="4320"/>
          </w:tcPr>
          <w:p>
            <w:r>
              <w:t>Pre-ticked boxes, default consent, silence, inactivity, or bundled acceptance must not be used.</w:t>
            </w:r>
          </w:p>
        </w:tc>
      </w:tr>
      <w:tr>
        <w:tc>
          <w:tcPr>
            <w:tcW w:type="dxa" w:w="4320"/>
          </w:tcPr>
          <w:p>
            <w:r>
              <w:t>Specific</w:t>
            </w:r>
          </w:p>
        </w:tc>
        <w:tc>
          <w:tcPr>
            <w:tcW w:type="dxa" w:w="4320"/>
          </w:tcPr>
          <w:p>
            <w:r>
              <w:t>Consent must identify the marketing purpose and, where relevant, the communication channel.</w:t>
            </w:r>
          </w:p>
        </w:tc>
      </w:tr>
      <w:tr>
        <w:tc>
          <w:tcPr>
            <w:tcW w:type="dxa" w:w="4320"/>
          </w:tcPr>
          <w:p>
            <w:r>
              <w:t>Informed</w:t>
            </w:r>
          </w:p>
        </w:tc>
        <w:tc>
          <w:tcPr>
            <w:tcW w:type="dxa" w:w="4320"/>
          </w:tcPr>
          <w:p>
            <w:r>
              <w:t>The individual must be told who is collecting the consent, what marketing will be sent, and how consent can be withdrawn.</w:t>
            </w:r>
          </w:p>
        </w:tc>
      </w:tr>
      <w:tr>
        <w:tc>
          <w:tcPr>
            <w:tcW w:type="dxa" w:w="4320"/>
          </w:tcPr>
          <w:p>
            <w:r>
              <w:t>Separate from non-marketing terms</w:t>
            </w:r>
          </w:p>
        </w:tc>
        <w:tc>
          <w:tcPr>
            <w:tcW w:type="dxa" w:w="4320"/>
          </w:tcPr>
          <w:p>
            <w:r>
              <w:t>Marketing consent must not be hidden within general terms and conditions or made a condition of receiving a core service unless the marketing is genuinely necessary for that service.</w:t>
            </w:r>
          </w:p>
        </w:tc>
      </w:tr>
      <w:tr>
        <w:tc>
          <w:tcPr>
            <w:tcW w:type="dxa" w:w="4320"/>
          </w:tcPr>
          <w:p>
            <w:r>
              <w:t>Easy withdrawal</w:t>
            </w:r>
          </w:p>
        </w:tc>
        <w:tc>
          <w:tcPr>
            <w:tcW w:type="dxa" w:w="4320"/>
          </w:tcPr>
          <w:p>
            <w:r>
              <w:t>Withdrawal must be as easy as giving consent and must be available through the same or a similarly convenient channel.</w:t>
            </w:r>
          </w:p>
        </w:tc>
      </w:tr>
      <w:tr>
        <w:tc>
          <w:tcPr>
            <w:tcW w:type="dxa" w:w="4320"/>
          </w:tcPr>
          <w:p>
            <w:r>
              <w:t>Evidence-based</w:t>
            </w:r>
          </w:p>
        </w:tc>
        <w:tc>
          <w:tcPr>
            <w:tcW w:type="dxa" w:w="4320"/>
          </w:tcPr>
          <w:p>
            <w:r>
              <w:t>The organisation must retain evidence showing when, how, and for what the individual consented.</w:t>
            </w:r>
          </w:p>
        </w:tc>
      </w:tr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Consent must be refreshed where the purpose, channel, sender, or nature of marketing materially changes.</w:t>
            </w:r>
          </w:p>
        </w:tc>
      </w:tr>
    </w:tbl>
    <w:p>
      <w:pPr>
        <w:pStyle w:val="Heading2"/>
      </w:pPr>
      <w:r>
        <w:t>Step-by-Step Procedure (numbered)</w:t>
      </w:r>
    </w:p>
    <w:p>
      <w:pPr>
        <w:pStyle w:val="Heading3"/>
      </w:pPr>
      <w:r>
        <w:t>1. Identify whether the activity is direct marketing</w:t>
      </w:r>
    </w:p>
    <w:p>
      <w:r>
        <w:t>1.1. The Marketing Owner must assess whether the planned communication promotes [Organisation Name], its products, services, events, offers, loyalty benefits, surveys for promotional purposes, partner offers, or brand engagement.</w:t>
      </w:r>
    </w:p>
    <w:p>
      <w:r>
        <w:t>1.2. If the communication contains both service information and promotional content, the promotional component must be treated as direct marketing.</w:t>
      </w:r>
    </w:p>
    <w:p>
      <w:r>
        <w:t>1.3. If the communication is purely transactional, operational, safety-related, legal, or account-servicing in nature, it may proceed outside this procedure, provided no promotional content is included.</w:t>
      </w:r>
    </w:p>
    <w:p>
      <w:r>
        <w:t>1.4. Where classification is unclear, the Marketing Owner must consult the Data Protection Officer before proceeding.</w:t>
      </w:r>
    </w:p>
    <w:p>
      <w:pPr>
        <w:pStyle w:val="Heading3"/>
      </w:pPr>
      <w:r>
        <w:t>2. Prepare the campaign brief</w:t>
      </w:r>
    </w:p>
    <w:p>
      <w:r>
        <w:t>2.1. The Marketing Owner must prepare a campaign brief using [Marketing Campaign Approval Form/System].</w:t>
      </w:r>
    </w:p>
    <w:p>
      <w:r>
        <w:t>2.2. The brief must include:</w:t>
      </w:r>
    </w:p>
    <w:p>
      <w:pPr>
        <w:pStyle w:val="ListBullet"/>
      </w:pPr>
      <w:r>
        <w:t>Campaign name.</w:t>
      </w:r>
    </w:p>
    <w:p>
      <w:pPr>
        <w:pStyle w:val="ListBullet"/>
      </w:pPr>
      <w:r>
        <w:t>Business objective.</w:t>
      </w:r>
    </w:p>
    <w:p>
      <w:pPr>
        <w:pStyle w:val="ListBullet"/>
      </w:pPr>
      <w:r>
        <w:t>Products or services promoted.</w:t>
      </w:r>
    </w:p>
    <w:p>
      <w:pPr>
        <w:pStyle w:val="ListBullet"/>
      </w:pPr>
      <w:r>
        <w:t>Target audience.</w:t>
      </w:r>
    </w:p>
    <w:p>
      <w:pPr>
        <w:pStyle w:val="ListBullet"/>
      </w:pPr>
      <w:r>
        <w:t>Communication channels.</w:t>
      </w:r>
    </w:p>
    <w:p>
      <w:pPr>
        <w:pStyle w:val="ListBullet"/>
      </w:pPr>
      <w:r>
        <w:t>Planned send dates and frequency.</w:t>
      </w:r>
    </w:p>
    <w:p>
      <w:pPr>
        <w:pStyle w:val="ListBullet"/>
      </w:pPr>
      <w:r>
        <w:t>Sender identity.</w:t>
      </w:r>
    </w:p>
    <w:p>
      <w:pPr>
        <w:pStyle w:val="ListBullet"/>
      </w:pPr>
      <w:r>
        <w:t>Source of personal data.</w:t>
      </w:r>
    </w:p>
    <w:p>
      <w:pPr>
        <w:pStyle w:val="ListBullet"/>
      </w:pPr>
      <w:r>
        <w:t>Data fields required.</w:t>
      </w:r>
    </w:p>
    <w:p>
      <w:pPr>
        <w:pStyle w:val="ListBullet"/>
      </w:pPr>
      <w:r>
        <w:t>Whether any third party will process or send the campaign.</w:t>
      </w:r>
    </w:p>
    <w:p>
      <w:pPr>
        <w:pStyle w:val="ListBullet"/>
      </w:pPr>
      <w:r>
        <w:t>Proposed consent wording.</w:t>
      </w:r>
    </w:p>
    <w:p>
      <w:pPr>
        <w:pStyle w:val="ListBullet"/>
      </w:pPr>
      <w:r>
        <w:t>Proposed withdrawal mechanism.</w:t>
      </w:r>
    </w:p>
    <w:p>
      <w:pPr>
        <w:pStyle w:val="ListBullet"/>
      </w:pPr>
      <w:r>
        <w:t>Confirmation that sensitive personal data will not be used.</w:t>
      </w:r>
    </w:p>
    <w:p>
      <w:r>
        <w:t>2.3. The campaign brief must be submitted for review before audience extraction, platform configuration, or message scheduling.</w:t>
      </w:r>
    </w:p>
    <w:p>
      <w:pPr>
        <w:pStyle w:val="Heading3"/>
      </w:pPr>
      <w:r>
        <w:t>3. Confirm that sensitive personal data is not used</w:t>
      </w:r>
    </w:p>
    <w:p>
      <w:r>
        <w:t>3.1. The Marketing Owner and Data Analyst must review all proposed data fields, segmentation rules, audience attributes, behavioural indicators, and inferred profiles.</w:t>
      </w:r>
    </w:p>
    <w:p>
      <w:r>
        <w:t>3.2. The campaign must not use sensitive personal data for:</w:t>
      </w:r>
    </w:p>
    <w:p>
      <w:pPr>
        <w:pStyle w:val="ListBullet"/>
      </w:pPr>
      <w:r>
        <w:t>Selecting recipients.</w:t>
      </w:r>
    </w:p>
    <w:p>
      <w:pPr>
        <w:pStyle w:val="ListBullet"/>
      </w:pPr>
      <w:r>
        <w:t>Excluding or including individuals based on sensitive characteristics.</w:t>
      </w:r>
    </w:p>
    <w:p>
      <w:pPr>
        <w:pStyle w:val="ListBullet"/>
      </w:pPr>
      <w:r>
        <w:t>Personalising message content.</w:t>
      </w:r>
    </w:p>
    <w:p>
      <w:pPr>
        <w:pStyle w:val="ListBullet"/>
      </w:pPr>
      <w:r>
        <w:t>Ranking propensity to buy.</w:t>
      </w:r>
    </w:p>
    <w:p>
      <w:pPr>
        <w:pStyle w:val="ListBullet"/>
      </w:pPr>
      <w:r>
        <w:t>Creating lookalike audiences.</w:t>
      </w:r>
    </w:p>
    <w:p>
      <w:pPr>
        <w:pStyle w:val="ListBullet"/>
      </w:pPr>
      <w:r>
        <w:t>Retargeting.</w:t>
      </w:r>
    </w:p>
    <w:p>
      <w:pPr>
        <w:pStyle w:val="ListBullet"/>
      </w:pPr>
      <w:r>
        <w:t>Cross-selling or upselling.</w:t>
      </w:r>
    </w:p>
    <w:p>
      <w:pPr>
        <w:pStyle w:val="ListBullet"/>
      </w:pPr>
      <w:r>
        <w:t>Measuring campaign response where sensitive inferences are generated.</w:t>
      </w:r>
    </w:p>
    <w:p>
      <w:r>
        <w:t>3.3. The following examples are prohibited for direct marketing: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Prohibited Marketing Use</w:t>
            </w:r>
          </w:p>
        </w:tc>
        <w:tc>
          <w:tcPr>
            <w:tcW w:type="dxa" w:w="4320"/>
          </w:tcPr>
          <w:p>
            <w:r>
              <w:t>Reason</w:t>
            </w:r>
          </w:p>
        </w:tc>
      </w:tr>
      <w:tr>
        <w:tc>
          <w:tcPr>
            <w:tcW w:type="dxa" w:w="4320"/>
          </w:tcPr>
          <w:p>
            <w:r>
              <w:t>Promoting services based on a person’s health condition</w:t>
            </w:r>
          </w:p>
        </w:tc>
        <w:tc>
          <w:tcPr>
            <w:tcW w:type="dxa" w:w="4320"/>
          </w:tcPr>
          <w:p>
            <w:r>
              <w:t>Uses health-related personal data</w:t>
            </w:r>
          </w:p>
        </w:tc>
      </w:tr>
      <w:tr>
        <w:tc>
          <w:tcPr>
            <w:tcW w:type="dxa" w:w="4320"/>
          </w:tcPr>
          <w:p>
            <w:r>
              <w:t>Targeting based on biometric authentication records</w:t>
            </w:r>
          </w:p>
        </w:tc>
        <w:tc>
          <w:tcPr>
            <w:tcW w:type="dxa" w:w="4320"/>
          </w:tcPr>
          <w:p>
            <w:r>
              <w:t>Uses biometric personal data</w:t>
            </w:r>
          </w:p>
        </w:tc>
      </w:tr>
      <w:tr>
        <w:tc>
          <w:tcPr>
            <w:tcW w:type="dxa" w:w="4320"/>
          </w:tcPr>
          <w:p>
            <w:r>
              <w:t>Segmenting based on religious observance or belief</w:t>
            </w:r>
          </w:p>
        </w:tc>
        <w:tc>
          <w:tcPr>
            <w:tcW w:type="dxa" w:w="4320"/>
          </w:tcPr>
          <w:p>
            <w:r>
              <w:t>Uses sensitive personal data</w:t>
            </w:r>
          </w:p>
        </w:tc>
      </w:tr>
      <w:tr>
        <w:tc>
          <w:tcPr>
            <w:tcW w:type="dxa" w:w="4320"/>
          </w:tcPr>
          <w:p>
            <w:r>
              <w:t>Marketing credit products based on creditworthiness indicators unless separately assessed and approved for a non-marketing lawful purpose</w:t>
            </w:r>
          </w:p>
        </w:tc>
        <w:tc>
          <w:tcPr>
            <w:tcW w:type="dxa" w:w="4320"/>
          </w:tcPr>
          <w:p>
            <w:r>
              <w:t>Involves credit-related personal data</w:t>
            </w:r>
          </w:p>
        </w:tc>
      </w:tr>
      <w:tr>
        <w:tc>
          <w:tcPr>
            <w:tcW w:type="dxa" w:w="4320"/>
          </w:tcPr>
          <w:p>
            <w:r>
              <w:t>Targeting based on criminal record status</w:t>
            </w:r>
          </w:p>
        </w:tc>
        <w:tc>
          <w:tcPr>
            <w:tcW w:type="dxa" w:w="4320"/>
          </w:tcPr>
          <w:p>
            <w:r>
              <w:t>Uses criminal-related personal data</w:t>
            </w:r>
          </w:p>
        </w:tc>
      </w:tr>
      <w:tr>
        <w:tc>
          <w:tcPr>
            <w:tcW w:type="dxa" w:w="4320"/>
          </w:tcPr>
          <w:p>
            <w:r>
              <w:t>Inferring sensitive conditions from purchases, searches, app behaviour, or location patterns</w:t>
            </w:r>
          </w:p>
        </w:tc>
        <w:tc>
          <w:tcPr>
            <w:tcW w:type="dxa" w:w="4320"/>
          </w:tcPr>
          <w:p>
            <w:r>
              <w:t>Creates sensitive inferences</w:t>
            </w:r>
          </w:p>
        </w:tc>
      </w:tr>
    </w:tbl>
    <w:p>
      <w:r>
        <w:t>3.4. If there is any possibility that the campaign relies on sensitive personal data or sensitive inferences, the campaign must be paused and escalated to the Data Protection Officer.</w:t>
      </w:r>
    </w:p>
    <w:p>
      <w:r>
        <w:t>3.5. The Data Protection Officer must document the decision to approve, reject, or modify the campaign before any marketing communication is sent.</w:t>
      </w:r>
    </w:p>
    <w:p>
      <w:pPr>
        <w:pStyle w:val="Heading3"/>
      </w:pPr>
      <w:r>
        <w:t>4. Verify the source of personal data</w:t>
      </w:r>
    </w:p>
    <w:p>
      <w:r>
        <w:t>4.1. The Marketing Operations team must confirm that each recipient’s personal data was collected from an approved source.</w:t>
      </w:r>
    </w:p>
    <w:p>
      <w:r>
        <w:t>4.2. Acceptable sources may include:</w:t>
      </w:r>
    </w:p>
    <w:p>
      <w:pPr>
        <w:pStyle w:val="ListBullet"/>
      </w:pPr>
      <w:r>
        <w:t>[Organisation Name] website forms.</w:t>
      </w:r>
    </w:p>
    <w:p>
      <w:pPr>
        <w:pStyle w:val="ListBullet"/>
      </w:pPr>
      <w:r>
        <w:t>Mobile app registration forms.</w:t>
      </w:r>
    </w:p>
    <w:p>
      <w:pPr>
        <w:pStyle w:val="ListBullet"/>
      </w:pPr>
      <w:r>
        <w:t>Customer account portals.</w:t>
      </w:r>
    </w:p>
    <w:p>
      <w:pPr>
        <w:pStyle w:val="ListBullet"/>
      </w:pPr>
      <w:r>
        <w:t>Event registration forms.</w:t>
      </w:r>
    </w:p>
    <w:p>
      <w:pPr>
        <w:pStyle w:val="ListBullet"/>
      </w:pPr>
      <w:r>
        <w:t>In-store or branch forms.</w:t>
      </w:r>
    </w:p>
    <w:p>
      <w:pPr>
        <w:pStyle w:val="ListBullet"/>
      </w:pPr>
      <w:r>
        <w:t>Contact centre records.</w:t>
      </w:r>
    </w:p>
    <w:p>
      <w:pPr>
        <w:pStyle w:val="ListBullet"/>
      </w:pPr>
      <w:r>
        <w:t>Approved lead generation forms where valid consent was captured for [Organisation Name].</w:t>
      </w:r>
    </w:p>
    <w:p>
      <w:pPr>
        <w:pStyle w:val="ListBullet"/>
      </w:pPr>
      <w:r>
        <w:t>Approved partner referrals where the individual gave valid marketing consent to receive communications from [Organisation Name].</w:t>
      </w:r>
    </w:p>
    <w:p>
      <w:r>
        <w:t>4.3. Personal data must not be used for marketing where it was obtained from:</w:t>
      </w:r>
    </w:p>
    <w:p>
      <w:pPr>
        <w:pStyle w:val="ListBullet"/>
      </w:pPr>
      <w:r>
        <w:t>Unverified purchased contact lists.</w:t>
      </w:r>
    </w:p>
    <w:p>
      <w:pPr>
        <w:pStyle w:val="ListBullet"/>
      </w:pPr>
      <w:r>
        <w:t>Scraped websites or social media profiles.</w:t>
      </w:r>
    </w:p>
    <w:p>
      <w:pPr>
        <w:pStyle w:val="ListBullet"/>
      </w:pPr>
      <w:r>
        <w:t>Public directories without valid opt-in consent for marketing.</w:t>
      </w:r>
    </w:p>
    <w:p>
      <w:pPr>
        <w:pStyle w:val="ListBullet"/>
      </w:pPr>
      <w:r>
        <w:t>Third-party databases lacking auditable proof of consent.</w:t>
      </w:r>
    </w:p>
    <w:p>
      <w:pPr>
        <w:pStyle w:val="ListBullet"/>
      </w:pPr>
      <w:r>
        <w:t>Service or transactional records where marketing consent was not obtained.</w:t>
      </w:r>
    </w:p>
    <w:p>
      <w:pPr>
        <w:pStyle w:val="ListBullet"/>
      </w:pPr>
      <w:r>
        <w:t>Historical records where consent status is unknown or incomplete.</w:t>
      </w:r>
    </w:p>
    <w:p>
      <w:r>
        <w:t>4.4. For each data source, Marketing Operations must verify: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Verification Item</w:t>
            </w:r>
          </w:p>
        </w:tc>
        <w:tc>
          <w:tcPr>
            <w:tcW w:type="dxa" w:w="4320"/>
          </w:tcPr>
          <w:p>
            <w:r>
              <w:t>Required Check</w:t>
            </w:r>
          </w:p>
        </w:tc>
      </w:tr>
      <w:tr>
        <w:tc>
          <w:tcPr>
            <w:tcW w:type="dxa" w:w="4320"/>
          </w:tcPr>
          <w:p>
            <w:r>
              <w:t>Collection method</w:t>
            </w:r>
          </w:p>
        </w:tc>
        <w:tc>
          <w:tcPr>
            <w:tcW w:type="dxa" w:w="4320"/>
          </w:tcPr>
          <w:p>
            <w:r>
              <w:t>How the individual provided their data</w:t>
            </w:r>
          </w:p>
        </w:tc>
      </w:tr>
      <w:tr>
        <w:tc>
          <w:tcPr>
            <w:tcW w:type="dxa" w:w="4320"/>
          </w:tcPr>
          <w:p>
            <w:r>
              <w:t>Collection date</w:t>
            </w:r>
          </w:p>
        </w:tc>
        <w:tc>
          <w:tcPr>
            <w:tcW w:type="dxa" w:w="4320"/>
          </w:tcPr>
          <w:p>
            <w:r>
              <w:t>When the data was collected</w:t>
            </w:r>
          </w:p>
        </w:tc>
      </w:tr>
      <w:tr>
        <w:tc>
          <w:tcPr>
            <w:tcW w:type="dxa" w:w="4320"/>
          </w:tcPr>
          <w:p>
            <w:r>
              <w:t>Consent status</w:t>
            </w:r>
          </w:p>
        </w:tc>
        <w:tc>
          <w:tcPr>
            <w:tcW w:type="dxa" w:w="4320"/>
          </w:tcPr>
          <w:p>
            <w:r>
              <w:t>Whether marketing consent was given</w:t>
            </w:r>
          </w:p>
        </w:tc>
      </w:tr>
      <w:tr>
        <w:tc>
          <w:tcPr>
            <w:tcW w:type="dxa" w:w="4320"/>
          </w:tcPr>
          <w:p>
            <w:r>
              <w:t>Consent scope</w:t>
            </w:r>
          </w:p>
        </w:tc>
        <w:tc>
          <w:tcPr>
            <w:tcW w:type="dxa" w:w="4320"/>
          </w:tcPr>
          <w:p>
            <w:r>
              <w:t>Channels, brand, product category, and purpose covered</w:t>
            </w:r>
          </w:p>
        </w:tc>
      </w:tr>
      <w:tr>
        <w:tc>
          <w:tcPr>
            <w:tcW w:type="dxa" w:w="4320"/>
          </w:tcPr>
          <w:p>
            <w:r>
              <w:t>Consent evidence</w:t>
            </w:r>
          </w:p>
        </w:tc>
        <w:tc>
          <w:tcPr>
            <w:tcW w:type="dxa" w:w="4320"/>
          </w:tcPr>
          <w:p>
            <w:r>
              <w:t>Availability of timestamp, wording, and source record</w:t>
            </w:r>
          </w:p>
        </w:tc>
      </w:tr>
      <w:tr>
        <w:tc>
          <w:tcPr>
            <w:tcW w:type="dxa" w:w="4320"/>
          </w:tcPr>
          <w:p>
            <w:r>
              <w:t>Withdrawal status</w:t>
            </w:r>
          </w:p>
        </w:tc>
        <w:tc>
          <w:tcPr>
            <w:tcW w:type="dxa" w:w="4320"/>
          </w:tcPr>
          <w:p>
            <w:r>
              <w:t>Whether the individual has withdrawn consent</w:t>
            </w:r>
          </w:p>
        </w:tc>
      </w:tr>
      <w:tr>
        <w:tc>
          <w:tcPr>
            <w:tcW w:type="dxa" w:w="4320"/>
          </w:tcPr>
          <w:p>
            <w:r>
              <w:t>Data accuracy</w:t>
            </w:r>
          </w:p>
        </w:tc>
        <w:tc>
          <w:tcPr>
            <w:tcW w:type="dxa" w:w="4320"/>
          </w:tcPr>
          <w:p>
            <w:r>
              <w:t>Whether contact details are current and usable</w:t>
            </w:r>
          </w:p>
        </w:tc>
      </w:tr>
    </w:tbl>
    <w:p>
      <w:r>
        <w:t>4.5. Any record lacking valid consent evidence must be excluded from the campaign.</w:t>
      </w:r>
    </w:p>
    <w:p>
      <w:pPr>
        <w:pStyle w:val="Heading3"/>
      </w:pPr>
      <w:r>
        <w:t>5. Design the opt-in consent mechanism</w:t>
      </w:r>
    </w:p>
    <w:p>
      <w:r>
        <w:t>5.1. The Marketing Owner must ensure the consent mechanism uses an active opt-in.</w:t>
      </w:r>
    </w:p>
    <w:p>
      <w:r>
        <w:t>5.2. Approved opt-in methods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Approved Opt-In Method</w:t>
            </w:r>
          </w:p>
        </w:tc>
      </w:tr>
      <w:tr>
        <w:tc>
          <w:tcPr>
            <w:tcW w:type="dxa" w:w="4320"/>
          </w:tcPr>
          <w:p>
            <w:r>
              <w:t>Website or app form</w:t>
            </w:r>
          </w:p>
        </w:tc>
        <w:tc>
          <w:tcPr>
            <w:tcW w:type="dxa" w:w="4320"/>
          </w:tcPr>
          <w:p>
            <w:r>
              <w:t>Unticked checkbox or equivalent active selection</w:t>
            </w:r>
          </w:p>
        </w:tc>
      </w:tr>
      <w:tr>
        <w:tc>
          <w:tcPr>
            <w:tcW w:type="dxa" w:w="4320"/>
          </w:tcPr>
          <w:p>
            <w:r>
              <w:t>Account preferences centre</w:t>
            </w:r>
          </w:p>
        </w:tc>
        <w:tc>
          <w:tcPr>
            <w:tcW w:type="dxa" w:w="4320"/>
          </w:tcPr>
          <w:p>
            <w:r>
              <w:t>Individual selects desired marketing channels</w:t>
            </w:r>
          </w:p>
        </w:tc>
      </w:tr>
      <w:tr>
        <w:tc>
          <w:tcPr>
            <w:tcW w:type="dxa" w:w="4320"/>
          </w:tcPr>
          <w:p>
            <w:r>
              <w:t>In-person form</w:t>
            </w:r>
          </w:p>
        </w:tc>
        <w:tc>
          <w:tcPr>
            <w:tcW w:type="dxa" w:w="4320"/>
          </w:tcPr>
          <w:p>
            <w:r>
              <w:t>Signed or electronically confirmed marketing consent</w:t>
            </w:r>
          </w:p>
        </w:tc>
      </w:tr>
      <w:tr>
        <w:tc>
          <w:tcPr>
            <w:tcW w:type="dxa" w:w="4320"/>
          </w:tcPr>
          <w:p>
            <w:r>
              <w:t>Contact centre</w:t>
            </w:r>
          </w:p>
        </w:tc>
        <w:tc>
          <w:tcPr>
            <w:tcW w:type="dxa" w:w="4320"/>
          </w:tcPr>
          <w:p>
            <w:r>
              <w:t>Recorded verbal consent using approved script</w:t>
            </w:r>
          </w:p>
        </w:tc>
      </w:tr>
      <w:tr>
        <w:tc>
          <w:tcPr>
            <w:tcW w:type="dxa" w:w="4320"/>
          </w:tcPr>
          <w:p>
            <w:r>
              <w:t>Event registration</w:t>
            </w:r>
          </w:p>
        </w:tc>
        <w:tc>
          <w:tcPr>
            <w:tcW w:type="dxa" w:w="4320"/>
          </w:tcPr>
          <w:p>
            <w:r>
              <w:t>Separate marketing consent field independent of event attendance terms</w:t>
            </w:r>
          </w:p>
        </w:tc>
      </w:tr>
      <w:tr>
        <w:tc>
          <w:tcPr>
            <w:tcW w:type="dxa" w:w="4320"/>
          </w:tcPr>
          <w:p>
            <w:r>
              <w:t>SMS subscription</w:t>
            </w:r>
          </w:p>
        </w:tc>
        <w:tc>
          <w:tcPr>
            <w:tcW w:type="dxa" w:w="4320"/>
          </w:tcPr>
          <w:p>
            <w:r>
              <w:t>Individual sends or confirms a subscription keyword where the purpose is clear</w:t>
            </w:r>
          </w:p>
        </w:tc>
      </w:tr>
      <w:tr>
        <w:tc>
          <w:tcPr>
            <w:tcW w:type="dxa" w:w="4320"/>
          </w:tcPr>
          <w:p>
            <w:r>
              <w:t>Email subscription</w:t>
            </w:r>
          </w:p>
        </w:tc>
        <w:tc>
          <w:tcPr>
            <w:tcW w:type="dxa" w:w="4320"/>
          </w:tcPr>
          <w:p>
            <w:r>
              <w:t>Individual submits subscription request and, where used, confirms via verification link</w:t>
            </w:r>
          </w:p>
        </w:tc>
      </w:tr>
    </w:tbl>
    <w:p>
      <w:r>
        <w:t>5.3. Consent must not be obtained using:</w:t>
      </w:r>
    </w:p>
    <w:p>
      <w:pPr>
        <w:pStyle w:val="ListBullet"/>
      </w:pPr>
      <w:r>
        <w:t>Pre-ticked boxes.</w:t>
      </w:r>
    </w:p>
    <w:p>
      <w:pPr>
        <w:pStyle w:val="ListBullet"/>
      </w:pPr>
      <w:r>
        <w:t>Consent embedded only in terms and conditions.</w:t>
      </w:r>
    </w:p>
    <w:p>
      <w:pPr>
        <w:pStyle w:val="ListBullet"/>
      </w:pPr>
      <w:r>
        <w:t>Statements such as “By continuing, you agree to receive marketing” without a separate affirmative action.</w:t>
      </w:r>
    </w:p>
    <w:p>
      <w:pPr>
        <w:pStyle w:val="ListBullet"/>
      </w:pPr>
      <w:r>
        <w:t>Silence, inactivity, or failure to opt out.</w:t>
      </w:r>
    </w:p>
    <w:p>
      <w:pPr>
        <w:pStyle w:val="ListBullet"/>
      </w:pPr>
      <w:r>
        <w:t>Bundled consent for unrelated purposes.</w:t>
      </w:r>
    </w:p>
    <w:p>
      <w:pPr>
        <w:pStyle w:val="ListBullet"/>
      </w:pPr>
      <w:r>
        <w:t>Consent made mandatory for receiving a product or service, unless approved by Legal and the Data Protection Officer due to exceptional circumstances.</w:t>
      </w:r>
    </w:p>
    <w:p>
      <w:pPr>
        <w:pStyle w:val="ListBullet"/>
      </w:pPr>
      <w:r>
        <w:t>Ambiguous wording such as “I agree to receive updates” where marketing intent is not clear.</w:t>
      </w:r>
    </w:p>
    <w:p>
      <w:r>
        <w:t>5.4. Where multiple marketing channels are used, the consent mechanism should allow individuals to choose their preferred channels, such as email, SMS, phone, app notification, or partner offers.</w:t>
      </w:r>
    </w:p>
    <w:p>
      <w:r>
        <w:t>5.5. Where marketing is conducted for multiple brands, affiliates, or partners, consent must clearly identify who will send the marketing or on whose behalf it will be sent.</w:t>
      </w:r>
    </w:p>
    <w:p>
      <w:pPr>
        <w:pStyle w:val="Heading3"/>
      </w:pPr>
      <w:r>
        <w:t>6. Draft and approve the consent wording</w:t>
      </w:r>
    </w:p>
    <w:p>
      <w:r>
        <w:t>6.1. The Marketing Owner must draft the consent wording in clear, simple language.</w:t>
      </w:r>
    </w:p>
    <w:p>
      <w:r>
        <w:t>6.2. Consent wording must include:</w:t>
      </w:r>
    </w:p>
    <w:p>
      <w:pPr>
        <w:pStyle w:val="ListBullet"/>
      </w:pPr>
      <w:r>
        <w:t>Identity of [Organisation Name] or the relevant sender.</w:t>
      </w:r>
    </w:p>
    <w:p>
      <w:pPr>
        <w:pStyle w:val="ListBullet"/>
      </w:pPr>
      <w:r>
        <w:t>Statement that the individual agrees to receive marketing.</w:t>
      </w:r>
    </w:p>
    <w:p>
      <w:pPr>
        <w:pStyle w:val="ListBullet"/>
      </w:pPr>
      <w:r>
        <w:t>Communication channels covered.</w:t>
      </w:r>
    </w:p>
    <w:p>
      <w:pPr>
        <w:pStyle w:val="ListBullet"/>
      </w:pPr>
      <w:r>
        <w:t>Type of products, services, or offers promoted.</w:t>
      </w:r>
    </w:p>
    <w:p>
      <w:pPr>
        <w:pStyle w:val="ListBullet"/>
      </w:pPr>
      <w:r>
        <w:t>Link or reference to the privacy notice.</w:t>
      </w:r>
    </w:p>
    <w:p>
      <w:pPr>
        <w:pStyle w:val="ListBullet"/>
      </w:pPr>
      <w:r>
        <w:t>Statement that consent can be withdrawn at any time.</w:t>
      </w:r>
    </w:p>
    <w:p>
      <w:pPr>
        <w:pStyle w:val="ListBullet"/>
      </w:pPr>
      <w:r>
        <w:t>How withdrawal can be made.</w:t>
      </w:r>
    </w:p>
    <w:p>
      <w:r>
        <w:t>6.3. Example approved wording:</w:t>
      </w:r>
    </w:p>
    <w:p>
      <w:r>
        <w:t>&gt; I agree to receive marketing communications from [Organisation Name] about its products, services, offers, and events by email, SMS, phone, and app notifications. I understand that I can withdraw my consent at any time using the unsubscribe link, account preferences centre, or by contacting [privacy contact email/phone]. For more information, please see our Privacy Notice.</w:t>
      </w:r>
    </w:p>
    <w:p>
      <w:r>
        <w:t>6.4. Where channel-specific consent is used, wording should be separated, for 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Example Consent Text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I agree to receive marketing emails from [Organisation Name].</w:t>
            </w:r>
          </w:p>
        </w:tc>
      </w:tr>
      <w:tr>
        <w:tc>
          <w:tcPr>
            <w:tcW w:type="dxa" w:w="4320"/>
          </w:tcPr>
          <w:p>
            <w:r>
              <w:t>SMS</w:t>
            </w:r>
          </w:p>
        </w:tc>
        <w:tc>
          <w:tcPr>
            <w:tcW w:type="dxa" w:w="4320"/>
          </w:tcPr>
          <w:p>
            <w:r>
              <w:t>I agree to receive marketing messages by SMS from [Organisation Name].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I agree to receive marketing calls from [Organisation Name].</w:t>
            </w:r>
          </w:p>
        </w:tc>
      </w:tr>
      <w:tr>
        <w:tc>
          <w:tcPr>
            <w:tcW w:type="dxa" w:w="4320"/>
          </w:tcPr>
          <w:p>
            <w:r>
              <w:t>App notification</w:t>
            </w:r>
          </w:p>
        </w:tc>
        <w:tc>
          <w:tcPr>
            <w:tcW w:type="dxa" w:w="4320"/>
          </w:tcPr>
          <w:p>
            <w:r>
              <w:t>I agree to receive promotional push notifications from [Organisation Name].</w:t>
            </w:r>
          </w:p>
        </w:tc>
      </w:tr>
      <w:tr>
        <w:tc>
          <w:tcPr>
            <w:tcW w:type="dxa" w:w="4320"/>
          </w:tcPr>
          <w:p>
            <w:r>
              <w:t>Partner offers</w:t>
            </w:r>
          </w:p>
        </w:tc>
        <w:tc>
          <w:tcPr>
            <w:tcW w:type="dxa" w:w="4320"/>
          </w:tcPr>
          <w:p>
            <w:r>
              <w:t>I agree to receive marketing from [Organisation Name] about offers from selected partners.</w:t>
            </w:r>
          </w:p>
        </w:tc>
      </w:tr>
    </w:tbl>
    <w:p>
      <w:r>
        <w:t>6.5. Consent wording must be reviewed and approved by the Data Protection Officer before deployment.</w:t>
      </w:r>
    </w:p>
    <w:p>
      <w:r>
        <w:t>6.6. Legal must review the wording where campaigns involve partner offers, cross-border processing, high-volume lead generation, loyalty profiling, minors, or higher-risk processing.</w:t>
      </w:r>
    </w:p>
    <w:p>
      <w:pPr>
        <w:pStyle w:val="Heading3"/>
      </w:pPr>
      <w:r>
        <w:t>7. Configure consent capture and evidence recording</w:t>
      </w:r>
    </w:p>
    <w:p>
      <w:r>
        <w:t>7.1. The System Owner must configure the approved system to capture consent evidence at the point consent is given.</w:t>
      </w:r>
    </w:p>
    <w:p>
      <w:r>
        <w:t>7.2. The consent record must include, at minimum: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Consent Record 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Individual identifier</w:t>
            </w:r>
          </w:p>
        </w:tc>
        <w:tc>
          <w:tcPr>
            <w:tcW w:type="dxa" w:w="4320"/>
          </w:tcPr>
          <w:p>
            <w:r>
              <w:t>Customer ID, lead ID, account ID, or other unique identifier</w:t>
            </w:r>
          </w:p>
        </w:tc>
      </w:tr>
      <w:tr>
        <w:tc>
          <w:tcPr>
            <w:tcW w:type="dxa" w:w="4320"/>
          </w:tcPr>
          <w:p>
            <w:r>
              <w:t>Contact detail</w:t>
            </w:r>
          </w:p>
        </w:tc>
        <w:tc>
          <w:tcPr>
            <w:tcW w:type="dxa" w:w="4320"/>
          </w:tcPr>
          <w:p>
            <w:r>
              <w:t>Email address, phone number, app ID, or other relevant channel identifier</w:t>
            </w:r>
          </w:p>
        </w:tc>
      </w:tr>
      <w:tr>
        <w:tc>
          <w:tcPr>
            <w:tcW w:type="dxa" w:w="4320"/>
          </w:tcPr>
          <w:p>
            <w:r>
              <w:t>Consent status</w:t>
            </w:r>
          </w:p>
        </w:tc>
        <w:tc>
          <w:tcPr>
            <w:tcW w:type="dxa" w:w="4320"/>
          </w:tcPr>
          <w:p>
            <w:r>
              <w:t>Opted in, opted out, withdrawn, expired, pending verification, or unknown</w:t>
            </w:r>
          </w:p>
        </w:tc>
      </w:tr>
      <w:tr>
        <w:tc>
          <w:tcPr>
            <w:tcW w:type="dxa" w:w="4320"/>
          </w:tcPr>
          <w:p>
            <w:r>
              <w:t>Consent purpose</w:t>
            </w:r>
          </w:p>
        </w:tc>
        <w:tc>
          <w:tcPr>
            <w:tcW w:type="dxa" w:w="4320"/>
          </w:tcPr>
          <w:p>
            <w:r>
              <w:t>Direct marketing and any more specific purpose</w:t>
            </w:r>
          </w:p>
        </w:tc>
      </w:tr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Email, SMS, phone, app notification, or other channel</w:t>
            </w:r>
          </w:p>
        </w:tc>
      </w:tr>
      <w:tr>
        <w:tc>
          <w:tcPr>
            <w:tcW w:type="dxa" w:w="4320"/>
          </w:tcPr>
          <w:p>
            <w:r>
              <w:t>Consent wording version</w:t>
            </w:r>
          </w:p>
        </w:tc>
        <w:tc>
          <w:tcPr>
            <w:tcW w:type="dxa" w:w="4320"/>
          </w:tcPr>
          <w:p>
            <w:r>
              <w:t>Version of the wording presented to the individual</w:t>
            </w:r>
          </w:p>
        </w:tc>
      </w:tr>
      <w:tr>
        <w:tc>
          <w:tcPr>
            <w:tcW w:type="dxa" w:w="4320"/>
          </w:tcPr>
          <w:p>
            <w:r>
              <w:t>Privacy notice version</w:t>
            </w:r>
          </w:p>
        </w:tc>
        <w:tc>
          <w:tcPr>
            <w:tcW w:type="dxa" w:w="4320"/>
          </w:tcPr>
          <w:p>
            <w:r>
              <w:t>Version of the privacy notice available at the time</w:t>
            </w:r>
          </w:p>
        </w:tc>
      </w:tr>
      <w:tr>
        <w:tc>
          <w:tcPr>
            <w:tcW w:type="dxa" w:w="4320"/>
          </w:tcPr>
          <w:p>
            <w:r>
              <w:t>Date and time</w:t>
            </w:r>
          </w:p>
        </w:tc>
        <w:tc>
          <w:tcPr>
            <w:tcW w:type="dxa" w:w="4320"/>
          </w:tcPr>
          <w:p>
            <w:r>
              <w:t>Timestamp of consent action</w:t>
            </w:r>
          </w:p>
        </w:tc>
      </w:tr>
      <w:tr>
        <w:tc>
          <w:tcPr>
            <w:tcW w:type="dxa" w:w="4320"/>
          </w:tcPr>
          <w:p>
            <w:r>
              <w:t>Collection source</w:t>
            </w:r>
          </w:p>
        </w:tc>
        <w:tc>
          <w:tcPr>
            <w:tcW w:type="dxa" w:w="4320"/>
          </w:tcPr>
          <w:p>
            <w:r>
              <w:t>Website, app, call centre, event, branch, partner, or other source</w:t>
            </w:r>
          </w:p>
        </w:tc>
      </w:tr>
      <w:tr>
        <w:tc>
          <w:tcPr>
            <w:tcW w:type="dxa" w:w="4320"/>
          </w:tcPr>
          <w:p>
            <w:r>
              <w:t>Method of consent</w:t>
            </w:r>
          </w:p>
        </w:tc>
        <w:tc>
          <w:tcPr>
            <w:tcW w:type="dxa" w:w="4320"/>
          </w:tcPr>
          <w:p>
            <w:r>
              <w:t>Checkbox, signature, verbal recording, SMS confirmation, preference centre update</w:t>
            </w:r>
          </w:p>
        </w:tc>
      </w:tr>
      <w:tr>
        <w:tc>
          <w:tcPr>
            <w:tcW w:type="dxa" w:w="4320"/>
          </w:tcPr>
          <w:p>
            <w:r>
              <w:t>IP address or device/session data</w:t>
            </w:r>
          </w:p>
        </w:tc>
        <w:tc>
          <w:tcPr>
            <w:tcW w:type="dxa" w:w="4320"/>
          </w:tcPr>
          <w:p>
            <w:r>
              <w:t>Where collected and appropriate for evidentiary purposes</w:t>
            </w:r>
          </w:p>
        </w:tc>
      </w:tr>
      <w:tr>
        <w:tc>
          <w:tcPr>
            <w:tcW w:type="dxa" w:w="4320"/>
          </w:tcPr>
          <w:p>
            <w:r>
              <w:t>Staff member or agent</w:t>
            </w:r>
          </w:p>
        </w:tc>
        <w:tc>
          <w:tcPr>
            <w:tcW w:type="dxa" w:w="4320"/>
          </w:tcPr>
          <w:p>
            <w:r>
              <w:t>Where consent was captured manually</w:t>
            </w:r>
          </w:p>
        </w:tc>
      </w:tr>
      <w:tr>
        <w:tc>
          <w:tcPr>
            <w:tcW w:type="dxa" w:w="4320"/>
          </w:tcPr>
          <w:p>
            <w:r>
              <w:t>Withdrawal date</w:t>
            </w:r>
          </w:p>
        </w:tc>
        <w:tc>
          <w:tcPr>
            <w:tcW w:type="dxa" w:w="4320"/>
          </w:tcPr>
          <w:p>
            <w:r>
              <w:t>Date and time consent was withdrawn, if applicable</w:t>
            </w:r>
          </w:p>
        </w:tc>
      </w:tr>
      <w:tr>
        <w:tc>
          <w:tcPr>
            <w:tcW w:type="dxa" w:w="4320"/>
          </w:tcPr>
          <w:p>
            <w:r>
              <w:t>Audit trail</w:t>
            </w:r>
          </w:p>
        </w:tc>
        <w:tc>
          <w:tcPr>
            <w:tcW w:type="dxa" w:w="4320"/>
          </w:tcPr>
          <w:p>
            <w:r>
              <w:t>Record of changes to consent status</w:t>
            </w:r>
          </w:p>
        </w:tc>
      </w:tr>
    </w:tbl>
    <w:p>
      <w:r>
        <w:t>7.3. The system must not allow a marketing status to be changed from non-consented to consented without recording evidence of the individual’s affirmative action.</w:t>
      </w:r>
    </w:p>
    <w:p>
      <w:r>
        <w:t>7.4. Manual changes to consent status must be restricted to authorised users and logged.</w:t>
      </w:r>
    </w:p>
    <w:p>
      <w:r>
        <w:t>7.5. Where verbal consent is captured by a contact centre, the approved script must be used and the call recording or consent confirmation record must be retained according to the retention schedule.</w:t>
      </w:r>
    </w:p>
    <w:p>
      <w:pPr>
        <w:pStyle w:val="Heading3"/>
      </w:pPr>
      <w:r>
        <w:t>8. Test the consent and withdrawal journey</w:t>
      </w:r>
    </w:p>
    <w:p>
      <w:r>
        <w:t>8.1. Before launch, the Marketing Owner and System Owner must test the full consent journey.</w:t>
      </w:r>
    </w:p>
    <w:p>
      <w:r>
        <w:t>8.2. Testing must confirm: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Area</w:t>
            </w:r>
          </w:p>
        </w:tc>
        <w:tc>
          <w:tcPr>
            <w:tcW w:type="dxa" w:w="4320"/>
          </w:tcPr>
          <w:p>
            <w:r>
              <w:t>Expected Result</w:t>
            </w:r>
          </w:p>
        </w:tc>
      </w:tr>
      <w:tr>
        <w:tc>
          <w:tcPr>
            <w:tcW w:type="dxa" w:w="4320"/>
          </w:tcPr>
          <w:p>
            <w:r>
              <w:t>Consent checkbox or selection</w:t>
            </w:r>
          </w:p>
        </w:tc>
        <w:tc>
          <w:tcPr>
            <w:tcW w:type="dxa" w:w="4320"/>
          </w:tcPr>
          <w:p>
            <w:r>
              <w:t>Not pre-selected and requires active choice</w:t>
            </w:r>
          </w:p>
        </w:tc>
      </w:tr>
      <w:tr>
        <w:tc>
          <w:tcPr>
            <w:tcW w:type="dxa" w:w="4320"/>
          </w:tcPr>
          <w:p>
            <w:r>
              <w:t>Consent wording</w:t>
            </w:r>
          </w:p>
        </w:tc>
        <w:tc>
          <w:tcPr>
            <w:tcW w:type="dxa" w:w="4320"/>
          </w:tcPr>
          <w:p>
            <w:r>
              <w:t>Matches approved wording</w:t>
            </w:r>
          </w:p>
        </w:tc>
      </w:tr>
      <w:tr>
        <w:tc>
          <w:tcPr>
            <w:tcW w:type="dxa" w:w="4320"/>
          </w:tcPr>
          <w:p>
            <w:r>
              <w:t>Privacy notice link</w:t>
            </w:r>
          </w:p>
        </w:tc>
        <w:tc>
          <w:tcPr>
            <w:tcW w:type="dxa" w:w="4320"/>
          </w:tcPr>
          <w:p>
            <w:r>
              <w:t>Works and displays the current approved notice</w:t>
            </w:r>
          </w:p>
        </w:tc>
      </w:tr>
      <w:tr>
        <w:tc>
          <w:tcPr>
            <w:tcW w:type="dxa" w:w="4320"/>
          </w:tcPr>
          <w:p>
            <w:r>
              <w:t>Consent record creation</w:t>
            </w:r>
          </w:p>
        </w:tc>
        <w:tc>
          <w:tcPr>
            <w:tcW w:type="dxa" w:w="4320"/>
          </w:tcPr>
          <w:p>
            <w:r>
              <w:t>Captures all required evidence fields</w:t>
            </w:r>
          </w:p>
        </w:tc>
      </w:tr>
      <w:tr>
        <w:tc>
          <w:tcPr>
            <w:tcW w:type="dxa" w:w="4320"/>
          </w:tcPr>
          <w:p>
            <w:r>
              <w:t>Preference centre</w:t>
            </w:r>
          </w:p>
        </w:tc>
        <w:tc>
          <w:tcPr>
            <w:tcW w:type="dxa" w:w="4320"/>
          </w:tcPr>
          <w:p>
            <w:r>
              <w:t>Allows update of marketing choices</w:t>
            </w:r>
          </w:p>
        </w:tc>
      </w:tr>
      <w:tr>
        <w:tc>
          <w:tcPr>
            <w:tcW w:type="dxa" w:w="4320"/>
          </w:tcPr>
          <w:p>
            <w:r>
              <w:t>Withdrawal mechanism</w:t>
            </w:r>
          </w:p>
        </w:tc>
        <w:tc>
          <w:tcPr>
            <w:tcW w:type="dxa" w:w="4320"/>
          </w:tcPr>
          <w:p>
            <w:r>
              <w:t>Functions correctly and is easy to complete</w:t>
            </w:r>
          </w:p>
        </w:tc>
      </w:tr>
      <w:tr>
        <w:tc>
          <w:tcPr>
            <w:tcW w:type="dxa" w:w="4320"/>
          </w:tcPr>
          <w:p>
            <w:r>
              <w:t>Suppression list</w:t>
            </w:r>
          </w:p>
        </w:tc>
        <w:tc>
          <w:tcPr>
            <w:tcW w:type="dxa" w:w="4320"/>
          </w:tcPr>
          <w:p>
            <w:r>
              <w:t>Updates promptly after withdrawal</w:t>
            </w:r>
          </w:p>
        </w:tc>
      </w:tr>
      <w:tr>
        <w:tc>
          <w:tcPr>
            <w:tcW w:type="dxa" w:w="4320"/>
          </w:tcPr>
          <w:p>
            <w:r>
              <w:t>Campaign audience</w:t>
            </w:r>
          </w:p>
        </w:tc>
        <w:tc>
          <w:tcPr>
            <w:tcW w:type="dxa" w:w="4320"/>
          </w:tcPr>
          <w:p>
            <w:r>
              <w:t>Excludes non-consented, withdrawn, and unknown records</w:t>
            </w:r>
          </w:p>
        </w:tc>
      </w:tr>
      <w:tr>
        <w:tc>
          <w:tcPr>
            <w:tcW w:type="dxa" w:w="4320"/>
          </w:tcPr>
          <w:p>
            <w:r>
              <w:t>Sensitive data exclusion</w:t>
            </w:r>
          </w:p>
        </w:tc>
        <w:tc>
          <w:tcPr>
            <w:tcW w:type="dxa" w:w="4320"/>
          </w:tcPr>
          <w:p>
            <w:r>
              <w:t>No sensitive data fields or inferred sensitive attributes are used</w:t>
            </w:r>
          </w:p>
        </w:tc>
      </w:tr>
      <w:tr>
        <w:tc>
          <w:tcPr>
            <w:tcW w:type="dxa" w:w="4320"/>
          </w:tcPr>
          <w:p>
            <w:r>
              <w:t>Third-party platform sync</w:t>
            </w:r>
          </w:p>
        </w:tc>
        <w:tc>
          <w:tcPr>
            <w:tcW w:type="dxa" w:w="4320"/>
          </w:tcPr>
          <w:p>
            <w:r>
              <w:t>Consent and suppression status are accurately transferred</w:t>
            </w:r>
          </w:p>
        </w:tc>
      </w:tr>
      <w:tr>
        <w:tc>
          <w:tcPr>
            <w:tcW w:type="dxa" w:w="4320"/>
          </w:tcPr>
          <w:p>
            <w:r>
              <w:t>Message footer or ending</w:t>
            </w:r>
          </w:p>
        </w:tc>
        <w:tc>
          <w:tcPr>
            <w:tcW w:type="dxa" w:w="4320"/>
          </w:tcPr>
          <w:p>
            <w:r>
              <w:t>Includes clear unsubscribe or withdrawal instructions</w:t>
            </w:r>
          </w:p>
        </w:tc>
      </w:tr>
    </w:tbl>
    <w:p>
      <w:r>
        <w:t>8.3. Test results must be documented and retained with the campaign approval record.</w:t>
      </w:r>
    </w:p>
    <w:p>
      <w:r>
        <w:t>8.4. Any failed test must be remediated and retested before the campaign is sent.</w:t>
      </w:r>
    </w:p>
    <w:p>
      <w:pPr>
        <w:pStyle w:val="Heading3"/>
      </w:pPr>
      <w:r>
        <w:t>9. Build and validate the campaign audience</w:t>
      </w:r>
    </w:p>
    <w:p>
      <w:r>
        <w:t>9.1. Marketing Operations must build the campaign audience only from records with valid opt-in consent for the relevant purpose and channel.</w:t>
      </w:r>
    </w:p>
    <w:p>
      <w:r>
        <w:t>9.2. The audience selection must exclude:</w:t>
      </w:r>
    </w:p>
    <w:p>
      <w:pPr>
        <w:pStyle w:val="ListBullet"/>
      </w:pPr>
      <w:r>
        <w:t>Individuals with no consent record.</w:t>
      </w:r>
    </w:p>
    <w:p>
      <w:pPr>
        <w:pStyle w:val="ListBullet"/>
      </w:pPr>
      <w:r>
        <w:t>Individuals with unknown consent status.</w:t>
      </w:r>
    </w:p>
    <w:p>
      <w:pPr>
        <w:pStyle w:val="ListBullet"/>
      </w:pPr>
      <w:r>
        <w:t>Individuals who have withdrawn consent.</w:t>
      </w:r>
    </w:p>
    <w:p>
      <w:pPr>
        <w:pStyle w:val="ListBullet"/>
      </w:pPr>
      <w:r>
        <w:t>Individuals who opted out of the selected channel.</w:t>
      </w:r>
    </w:p>
    <w:p>
      <w:pPr>
        <w:pStyle w:val="ListBullet"/>
      </w:pPr>
      <w:r>
        <w:t>Individuals on suppression lists.</w:t>
      </w:r>
    </w:p>
    <w:p>
      <w:pPr>
        <w:pStyle w:val="ListBullet"/>
      </w:pPr>
      <w:r>
        <w:t>Individuals flagged for complaint, legal hold, dispute, deceased status, or do-not-contact status.</w:t>
      </w:r>
    </w:p>
    <w:p>
      <w:pPr>
        <w:pStyle w:val="ListBullet"/>
      </w:pPr>
      <w:r>
        <w:t>Individuals whose records are incomplete or unreliable.</w:t>
      </w:r>
    </w:p>
    <w:p>
      <w:pPr>
        <w:pStyle w:val="ListBullet"/>
      </w:pPr>
      <w:r>
        <w:t>Individuals identified through sensitive personal data or sensitive inferences.</w:t>
      </w:r>
    </w:p>
    <w:p>
      <w:r>
        <w:t>9.3. Marketing Operations must run a pre-send validation report.</w:t>
      </w:r>
    </w:p>
    <w:p>
      <w:r>
        <w:t>9.4. The validation report must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Validation Metric</w:t>
            </w:r>
          </w:p>
        </w:tc>
        <w:tc>
          <w:tcPr>
            <w:tcW w:type="dxa" w:w="4320"/>
          </w:tcPr>
          <w:p>
            <w:r>
              <w:t>Required Evidence</w:t>
            </w:r>
          </w:p>
        </w:tc>
      </w:tr>
      <w:tr>
        <w:tc>
          <w:tcPr>
            <w:tcW w:type="dxa" w:w="4320"/>
          </w:tcPr>
          <w:p>
            <w:r>
              <w:t>Total proposed recipients</w:t>
            </w:r>
          </w:p>
        </w:tc>
        <w:tc>
          <w:tcPr>
            <w:tcW w:type="dxa" w:w="4320"/>
          </w:tcPr>
          <w:p>
            <w:r>
              <w:t>Count before exclusions</w:t>
            </w:r>
          </w:p>
        </w:tc>
      </w:tr>
      <w:tr>
        <w:tc>
          <w:tcPr>
            <w:tcW w:type="dxa" w:w="4320"/>
          </w:tcPr>
          <w:p>
            <w:r>
              <w:t>Excluded due to no consent</w:t>
            </w:r>
          </w:p>
        </w:tc>
        <w:tc>
          <w:tcPr>
            <w:tcW w:type="dxa" w:w="4320"/>
          </w:tcPr>
          <w:p>
            <w:r>
              <w:t>Count and reason</w:t>
            </w:r>
          </w:p>
        </w:tc>
      </w:tr>
      <w:tr>
        <w:tc>
          <w:tcPr>
            <w:tcW w:type="dxa" w:w="4320"/>
          </w:tcPr>
          <w:p>
            <w:r>
              <w:t>Excluded due to withdrawal</w:t>
            </w:r>
          </w:p>
        </w:tc>
        <w:tc>
          <w:tcPr>
            <w:tcW w:type="dxa" w:w="4320"/>
          </w:tcPr>
          <w:p>
            <w:r>
              <w:t>Count and reason</w:t>
            </w:r>
          </w:p>
        </w:tc>
      </w:tr>
      <w:tr>
        <w:tc>
          <w:tcPr>
            <w:tcW w:type="dxa" w:w="4320"/>
          </w:tcPr>
          <w:p>
            <w:r>
              <w:t>Excluded due to suppression</w:t>
            </w:r>
          </w:p>
        </w:tc>
        <w:tc>
          <w:tcPr>
            <w:tcW w:type="dxa" w:w="4320"/>
          </w:tcPr>
          <w:p>
            <w:r>
              <w:t>Count and reason</w:t>
            </w:r>
          </w:p>
        </w:tc>
      </w:tr>
      <w:tr>
        <w:tc>
          <w:tcPr>
            <w:tcW w:type="dxa" w:w="4320"/>
          </w:tcPr>
          <w:p>
            <w:r>
              <w:t>Excluded due to sensitive data concerns</w:t>
            </w:r>
          </w:p>
        </w:tc>
        <w:tc>
          <w:tcPr>
            <w:tcW w:type="dxa" w:w="4320"/>
          </w:tcPr>
          <w:p>
            <w:r>
              <w:t>Count and reason, if applicable</w:t>
            </w:r>
          </w:p>
        </w:tc>
      </w:tr>
      <w:tr>
        <w:tc>
          <w:tcPr>
            <w:tcW w:type="dxa" w:w="4320"/>
          </w:tcPr>
          <w:p>
            <w:r>
              <w:t>Final recipient count</w:t>
            </w:r>
          </w:p>
        </w:tc>
        <w:tc>
          <w:tcPr>
            <w:tcW w:type="dxa" w:w="4320"/>
          </w:tcPr>
          <w:p>
            <w:r>
              <w:t>Count approved for send</w:t>
            </w:r>
          </w:p>
        </w:tc>
      </w:tr>
      <w:tr>
        <w:tc>
          <w:tcPr>
            <w:tcW w:type="dxa" w:w="4320"/>
          </w:tcPr>
          <w:p>
            <w:r>
              <w:t>Data sources used</w:t>
            </w:r>
          </w:p>
        </w:tc>
        <w:tc>
          <w:tcPr>
            <w:tcW w:type="dxa" w:w="4320"/>
          </w:tcPr>
          <w:p>
            <w:r>
              <w:t>Systems or datasets included</w:t>
            </w:r>
          </w:p>
        </w:tc>
      </w:tr>
      <w:tr>
        <w:tc>
          <w:tcPr>
            <w:tcW w:type="dxa" w:w="4320"/>
          </w:tcPr>
          <w:p>
            <w:r>
              <w:t>Consent date range</w:t>
            </w:r>
          </w:p>
        </w:tc>
        <w:tc>
          <w:tcPr>
            <w:tcW w:type="dxa" w:w="4320"/>
          </w:tcPr>
          <w:p>
            <w:r>
              <w:t>Earliest and latest consent dates</w:t>
            </w:r>
          </w:p>
        </w:tc>
      </w:tr>
      <w:tr>
        <w:tc>
          <w:tcPr>
            <w:tcW w:type="dxa" w:w="4320"/>
          </w:tcPr>
          <w:p>
            <w:r>
              <w:t>Channel consent match</w:t>
            </w:r>
          </w:p>
        </w:tc>
        <w:tc>
          <w:tcPr>
            <w:tcW w:type="dxa" w:w="4320"/>
          </w:tcPr>
          <w:p>
            <w:r>
              <w:t>Confirmation that consent covers selected channel</w:t>
            </w:r>
          </w:p>
        </w:tc>
      </w:tr>
      <w:tr>
        <w:tc>
          <w:tcPr>
            <w:tcW w:type="dxa" w:w="4320"/>
          </w:tcPr>
          <w:p>
            <w:r>
              <w:t>Approval status</w:t>
            </w:r>
          </w:p>
        </w:tc>
        <w:tc>
          <w:tcPr>
            <w:tcW w:type="dxa" w:w="4320"/>
          </w:tcPr>
          <w:p>
            <w:r>
              <w:t>Campaign approved or rejected</w:t>
            </w:r>
          </w:p>
        </w:tc>
      </w:tr>
    </w:tbl>
    <w:p>
      <w:r>
        <w:t>9.5. The final audience file must be stored securely and shared only through approved systems.</w:t>
      </w:r>
    </w:p>
    <w:p>
      <w:r>
        <w:t>9.6. Audience files must not be downloaded, emailed, or transferred to third parties unless approved controls are in place.</w:t>
      </w:r>
    </w:p>
    <w:p>
      <w:pPr>
        <w:pStyle w:val="Heading3"/>
      </w:pPr>
      <w:r>
        <w:t>10. Review and approve the marketing communication</w:t>
      </w:r>
    </w:p>
    <w:p>
      <w:r>
        <w:t>10.1. The Marketing Owner must ensure the communication clearly identifies [Organisation Name] or the relevant sender.</w:t>
      </w:r>
    </w:p>
    <w:p>
      <w:r>
        <w:t>10.2. Each marketing communication must include, where appropriate for the channel:</w:t>
      </w:r>
    </w:p>
    <w:p>
      <w:pPr>
        <w:pStyle w:val="ListBullet"/>
      </w:pPr>
      <w:r>
        <w:t>Sender identity.</w:t>
      </w:r>
    </w:p>
    <w:p>
      <w:pPr>
        <w:pStyle w:val="ListBullet"/>
      </w:pPr>
      <w:r>
        <w:t>Clear indication that the communication is promotional.</w:t>
      </w:r>
    </w:p>
    <w:p>
      <w:pPr>
        <w:pStyle w:val="ListBullet"/>
      </w:pPr>
      <w:r>
        <w:t>Accurate and non-misleading content.</w:t>
      </w:r>
    </w:p>
    <w:p>
      <w:pPr>
        <w:pStyle w:val="ListBullet"/>
      </w:pPr>
      <w:r>
        <w:t>Unsubscribe or withdrawal instructions.</w:t>
      </w:r>
    </w:p>
    <w:p>
      <w:pPr>
        <w:pStyle w:val="ListBullet"/>
      </w:pPr>
      <w:r>
        <w:t>Contact details or link to preferences centre.</w:t>
      </w:r>
    </w:p>
    <w:p>
      <w:pPr>
        <w:pStyle w:val="ListBullet"/>
      </w:pPr>
      <w:r>
        <w:t>Any terms applicable to offers or promotions.</w:t>
      </w:r>
    </w:p>
    <w:p>
      <w:r>
        <w:t>10.3. Channel-specific withdrawal requirements must be implemented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Channel</w:t>
            </w:r>
          </w:p>
        </w:tc>
        <w:tc>
          <w:tcPr>
            <w:tcW w:type="dxa" w:w="4320"/>
          </w:tcPr>
          <w:p>
            <w:r>
              <w:t>Minimum Withdrawal Method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Unsubscribe link or preference centre link in each message</w:t>
            </w:r>
          </w:p>
        </w:tc>
      </w:tr>
      <w:tr>
        <w:tc>
          <w:tcPr>
            <w:tcW w:type="dxa" w:w="4320"/>
          </w:tcPr>
          <w:p>
            <w:r>
              <w:t>SMS</w:t>
            </w:r>
          </w:p>
        </w:tc>
        <w:tc>
          <w:tcPr>
            <w:tcW w:type="dxa" w:w="4320"/>
          </w:tcPr>
          <w:p>
            <w:r>
              <w:t>Clear opt-out instruction, such as replying with an approved unsubscribe keyword, or link to withdrawal method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Agent must honour verbal withdrawal during the call and update the consent system promptly</w:t>
            </w:r>
          </w:p>
        </w:tc>
      </w:tr>
      <w:tr>
        <w:tc>
          <w:tcPr>
            <w:tcW w:type="dxa" w:w="4320"/>
          </w:tcPr>
          <w:p>
            <w:r>
              <w:t>App push</w:t>
            </w:r>
          </w:p>
        </w:tc>
        <w:tc>
          <w:tcPr>
            <w:tcW w:type="dxa" w:w="4320"/>
          </w:tcPr>
          <w:p>
            <w:r>
              <w:t>App settings, preference centre, or clear in-app withdrawal option</w:t>
            </w:r>
          </w:p>
        </w:tc>
      </w:tr>
      <w:tr>
        <w:tc>
          <w:tcPr>
            <w:tcW w:type="dxa" w:w="4320"/>
          </w:tcPr>
          <w:p>
            <w:r>
              <w:t>Web portal</w:t>
            </w:r>
          </w:p>
        </w:tc>
        <w:tc>
          <w:tcPr>
            <w:tcW w:type="dxa" w:w="4320"/>
          </w:tcPr>
          <w:p>
            <w:r>
              <w:t>Account preferences or privacy settings page</w:t>
            </w:r>
          </w:p>
        </w:tc>
      </w:tr>
      <w:tr>
        <w:tc>
          <w:tcPr>
            <w:tcW w:type="dxa" w:w="4320"/>
          </w:tcPr>
          <w:p>
            <w:r>
              <w:t>Contact centre</w:t>
            </w:r>
          </w:p>
        </w:tc>
        <w:tc>
          <w:tcPr>
            <w:tcW w:type="dxa" w:w="4320"/>
          </w:tcPr>
          <w:p>
            <w:r>
              <w:t>Approved withdrawal script and system update</w:t>
            </w:r>
          </w:p>
        </w:tc>
      </w:tr>
    </w:tbl>
    <w:p>
      <w:r>
        <w:t>10.4. The Data Protection Officer must review and approve campaigns that are high-volume, use new segmentation logic, involve partner offers, use new tools, involve new data sources, or present elevated privacy risk.</w:t>
      </w:r>
    </w:p>
    <w:p>
      <w:r>
        <w:t>10.5. Legal must review campaigns involving prize draws, regulated products, financial products, health-related services, minors, partner promotions, or claims requiring legal substantiation.</w:t>
      </w:r>
    </w:p>
    <w:p>
      <w:pPr>
        <w:pStyle w:val="Heading3"/>
      </w:pPr>
      <w:r>
        <w:t>11. Transfer campaign data to approved platforms or processors</w:t>
      </w:r>
    </w:p>
    <w:p>
      <w:r>
        <w:t>11.1. If a third-party marketing platform, agency, messaging provider, or processor is used, the Marketing Owner must confirm the third party is approved before any data transfer.</w:t>
      </w:r>
    </w:p>
    <w:p>
      <w:r>
        <w:t>11.2. Procurement, Legal, Information Security, and the Data Protection Officer must complete required due diligence based on the nature and risk of the processing.</w:t>
      </w:r>
    </w:p>
    <w:p>
      <w:r>
        <w:t>11.3. The processor arrangement must address, as applicable:</w:t>
      </w:r>
    </w:p>
    <w:p>
      <w:pPr>
        <w:pStyle w:val="ListBullet"/>
      </w:pPr>
      <w:r>
        <w:t>Processing only on documented instructions.</w:t>
      </w:r>
    </w:p>
    <w:p>
      <w:pPr>
        <w:pStyle w:val="ListBullet"/>
      </w:pPr>
      <w:r>
        <w:t>Confidentiality obligations.</w:t>
      </w:r>
    </w:p>
    <w:p>
      <w:pPr>
        <w:pStyle w:val="ListBullet"/>
      </w:pPr>
      <w:r>
        <w:t>Security controls.</w:t>
      </w:r>
    </w:p>
    <w:p>
      <w:pPr>
        <w:pStyle w:val="ListBullet"/>
      </w:pPr>
      <w:r>
        <w:t>Restrictions on further sharing.</w:t>
      </w:r>
    </w:p>
    <w:p>
      <w:pPr>
        <w:pStyle w:val="ListBullet"/>
      </w:pPr>
      <w:r>
        <w:t>Retention and deletion requirements.</w:t>
      </w:r>
    </w:p>
    <w:p>
      <w:pPr>
        <w:pStyle w:val="ListBullet"/>
      </w:pPr>
      <w:r>
        <w:t>Incident notification.</w:t>
      </w:r>
    </w:p>
    <w:p>
      <w:pPr>
        <w:pStyle w:val="ListBullet"/>
      </w:pPr>
      <w:r>
        <w:t>Support for individual rights and consent withdrawal.</w:t>
      </w:r>
    </w:p>
    <w:p>
      <w:pPr>
        <w:pStyle w:val="ListBullet"/>
      </w:pPr>
      <w:r>
        <w:t>Restrictions on using personal data for the processor’s own marketing.</w:t>
      </w:r>
    </w:p>
    <w:p>
      <w:pPr>
        <w:pStyle w:val="ListBullet"/>
      </w:pPr>
      <w:r>
        <w:t>Location of processing and any cross-border transfer requirements.</w:t>
      </w:r>
    </w:p>
    <w:p>
      <w:pPr>
        <w:pStyle w:val="ListBullet"/>
      </w:pPr>
      <w:r>
        <w:t>Audit and assurance rights.</w:t>
      </w:r>
    </w:p>
    <w:p>
      <w:r>
        <w:t>11.4. Only the minimum personal data required for the campaign may be transferred.</w:t>
      </w:r>
    </w:p>
    <w:p>
      <w:r>
        <w:t>11.5. Suppression lists must be shared where necessary to prevent unauthorised marketing, but must be protected and used only for suppression purposes.</w:t>
      </w:r>
    </w:p>
    <w:p>
      <w:r>
        <w:t>11.6. Data transfers must use approved secure transfer methods.</w:t>
      </w:r>
    </w:p>
    <w:p>
      <w:pPr>
        <w:pStyle w:val="Heading3"/>
      </w:pPr>
      <w:r>
        <w:t>12. Obtain final campaign approval</w:t>
      </w:r>
    </w:p>
    <w:p>
      <w:r>
        <w:t>12.1. Before the campaign is scheduled or sent, the Marketing Owner must complete the campaign approval checklist.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Approval Item</w:t>
            </w:r>
          </w:p>
        </w:tc>
        <w:tc>
          <w:tcPr>
            <w:tcW w:type="dxa" w:w="2880"/>
          </w:tcPr>
          <w:p>
            <w:r>
              <w:t>Confirmed By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Campaign brief completed</w:t>
            </w:r>
          </w:p>
        </w:tc>
        <w:tc>
          <w:tcPr>
            <w:tcW w:type="dxa" w:w="2880"/>
          </w:tcPr>
          <w:p>
            <w:r>
              <w:t>Marketing Owner</w:t>
            </w:r>
          </w:p>
        </w:tc>
        <w:tc>
          <w:tcPr>
            <w:tcW w:type="dxa" w:w="2880"/>
          </w:tcPr>
          <w:p>
            <w:r>
              <w:t>Campaign record</w:t>
            </w:r>
          </w:p>
        </w:tc>
      </w:tr>
      <w:tr>
        <w:tc>
          <w:tcPr>
            <w:tcW w:type="dxa" w:w="2880"/>
          </w:tcPr>
          <w:p>
            <w:r>
              <w:t>Consent wording approved</w:t>
            </w:r>
          </w:p>
        </w:tc>
        <w:tc>
          <w:tcPr>
            <w:tcW w:type="dxa" w:w="2880"/>
          </w:tcPr>
          <w:p>
            <w:r>
              <w:t>Data Protection Officer</w:t>
            </w:r>
          </w:p>
        </w:tc>
        <w:tc>
          <w:tcPr>
            <w:tcW w:type="dxa" w:w="2880"/>
          </w:tcPr>
          <w:p>
            <w:r>
              <w:t>Approved wording/version</w:t>
            </w:r>
          </w:p>
        </w:tc>
      </w:tr>
      <w:tr>
        <w:tc>
          <w:tcPr>
            <w:tcW w:type="dxa" w:w="2880"/>
          </w:tcPr>
          <w:p>
            <w:r>
              <w:t>Privacy notice current</w:t>
            </w:r>
          </w:p>
        </w:tc>
        <w:tc>
          <w:tcPr>
            <w:tcW w:type="dxa" w:w="2880"/>
          </w:tcPr>
          <w:p>
            <w:r>
              <w:t>Data Protection Officer</w:t>
            </w:r>
          </w:p>
        </w:tc>
        <w:tc>
          <w:tcPr>
            <w:tcW w:type="dxa" w:w="2880"/>
          </w:tcPr>
          <w:p>
            <w:r>
              <w:t>Notice version</w:t>
            </w:r>
          </w:p>
        </w:tc>
      </w:tr>
      <w:tr>
        <w:tc>
          <w:tcPr>
            <w:tcW w:type="dxa" w:w="2880"/>
          </w:tcPr>
          <w:p>
            <w:r>
              <w:t>Valid opt-in audience only</w:t>
            </w:r>
          </w:p>
        </w:tc>
        <w:tc>
          <w:tcPr>
            <w:tcW w:type="dxa" w:w="2880"/>
          </w:tcPr>
          <w:p>
            <w:r>
              <w:t>Marketing Operations</w:t>
            </w:r>
          </w:p>
        </w:tc>
        <w:tc>
          <w:tcPr>
            <w:tcW w:type="dxa" w:w="2880"/>
          </w:tcPr>
          <w:p>
            <w:r>
              <w:t>Validation report</w:t>
            </w:r>
          </w:p>
        </w:tc>
      </w:tr>
      <w:tr>
        <w:tc>
          <w:tcPr>
            <w:tcW w:type="dxa" w:w="2880"/>
          </w:tcPr>
          <w:p>
            <w:r>
              <w:t>Sensitive data excluded</w:t>
            </w:r>
          </w:p>
        </w:tc>
        <w:tc>
          <w:tcPr>
            <w:tcW w:type="dxa" w:w="2880"/>
          </w:tcPr>
          <w:p>
            <w:r>
              <w:t>Marketing Owner / Data Analyst</w:t>
            </w:r>
          </w:p>
        </w:tc>
        <w:tc>
          <w:tcPr>
            <w:tcW w:type="dxa" w:w="2880"/>
          </w:tcPr>
          <w:p>
            <w:r>
              <w:t>Segmentation review</w:t>
            </w:r>
          </w:p>
        </w:tc>
      </w:tr>
      <w:tr>
        <w:tc>
          <w:tcPr>
            <w:tcW w:type="dxa" w:w="2880"/>
          </w:tcPr>
          <w:p>
            <w:r>
              <w:t>Withdrawal mechanism tested</w:t>
            </w:r>
          </w:p>
        </w:tc>
        <w:tc>
          <w:tcPr>
            <w:tcW w:type="dxa" w:w="2880"/>
          </w:tcPr>
          <w:p>
            <w:r>
              <w:t>System Owner</w:t>
            </w:r>
          </w:p>
        </w:tc>
        <w:tc>
          <w:tcPr>
            <w:tcW w:type="dxa" w:w="2880"/>
          </w:tcPr>
          <w:p>
            <w:r>
              <w:t>Test results</w:t>
            </w:r>
          </w:p>
        </w:tc>
      </w:tr>
      <w:tr>
        <w:tc>
          <w:tcPr>
            <w:tcW w:type="dxa" w:w="2880"/>
          </w:tcPr>
          <w:p>
            <w:r>
              <w:t>Suppression list applied</w:t>
            </w:r>
          </w:p>
        </w:tc>
        <w:tc>
          <w:tcPr>
            <w:tcW w:type="dxa" w:w="2880"/>
          </w:tcPr>
          <w:p>
            <w:r>
              <w:t>Marketing Operations</w:t>
            </w:r>
          </w:p>
        </w:tc>
        <w:tc>
          <w:tcPr>
            <w:tcW w:type="dxa" w:w="2880"/>
          </w:tcPr>
          <w:p>
            <w:r>
              <w:t>Suppression report</w:t>
            </w:r>
          </w:p>
        </w:tc>
      </w:tr>
      <w:tr>
        <w:tc>
          <w:tcPr>
            <w:tcW w:type="dxa" w:w="2880"/>
          </w:tcPr>
          <w:p>
            <w:r>
              <w:t>Third-party approved, if used</w:t>
            </w:r>
          </w:p>
        </w:tc>
        <w:tc>
          <w:tcPr>
            <w:tcW w:type="dxa" w:w="2880"/>
          </w:tcPr>
          <w:p>
            <w:r>
              <w:t>Procurement / Legal / DPO</w:t>
            </w:r>
          </w:p>
        </w:tc>
        <w:tc>
          <w:tcPr>
            <w:tcW w:type="dxa" w:w="2880"/>
          </w:tcPr>
          <w:p>
            <w:r>
              <w:t>Approved supplier record</w:t>
            </w:r>
          </w:p>
        </w:tc>
      </w:tr>
      <w:tr>
        <w:tc>
          <w:tcPr>
            <w:tcW w:type="dxa" w:w="2880"/>
          </w:tcPr>
          <w:p>
            <w:r>
              <w:t>Message content approved</w:t>
            </w:r>
          </w:p>
        </w:tc>
        <w:tc>
          <w:tcPr>
            <w:tcW w:type="dxa" w:w="2880"/>
          </w:tcPr>
          <w:p>
            <w:r>
              <w:t>Marketing Owner / Legal if required</w:t>
            </w:r>
          </w:p>
        </w:tc>
        <w:tc>
          <w:tcPr>
            <w:tcW w:type="dxa" w:w="2880"/>
          </w:tcPr>
          <w:p>
            <w:r>
              <w:t>Final template</w:t>
            </w:r>
          </w:p>
        </w:tc>
      </w:tr>
      <w:tr>
        <w:tc>
          <w:tcPr>
            <w:tcW w:type="dxa" w:w="2880"/>
          </w:tcPr>
          <w:p>
            <w:r>
              <w:t>Security controls applied</w:t>
            </w:r>
          </w:p>
        </w:tc>
        <w:tc>
          <w:tcPr>
            <w:tcW w:type="dxa" w:w="2880"/>
          </w:tcPr>
          <w:p>
            <w:r>
              <w:t>Information Security if required</w:t>
            </w:r>
          </w:p>
        </w:tc>
        <w:tc>
          <w:tcPr>
            <w:tcW w:type="dxa" w:w="2880"/>
          </w:tcPr>
          <w:p>
            <w:r>
              <w:t>Security review record</w:t>
            </w:r>
          </w:p>
        </w:tc>
      </w:tr>
    </w:tbl>
    <w:p>
      <w:r>
        <w:t>12.2. The campaign must not be sent until all required approvals are recorded.</w:t>
      </w:r>
    </w:p>
    <w:p>
      <w:r>
        <w:t>12.3. Emergency or urgent marketing campaigns are not exempt from opt-in consent, sensitive data prohibition, or withdrawal requirements.</w:t>
      </w:r>
    </w:p>
    <w:p>
      <w:pPr>
        <w:pStyle w:val="Heading3"/>
      </w:pPr>
      <w:r>
        <w:t>13. Send the marketing communication</w:t>
      </w:r>
    </w:p>
    <w:p>
      <w:r>
        <w:t>13.1. Marketing Operations must send the campaign only through approved systems and only to the final approved recipient list.</w:t>
      </w:r>
    </w:p>
    <w:p>
      <w:r>
        <w:t>13.2. The sender identity, content, audience, and schedule must match the approved campaign record.</w:t>
      </w:r>
    </w:p>
    <w:p>
      <w:r>
        <w:t>13.3. No additional recipients may be added after approval unless the audience is revalidated and reapproved.</w:t>
      </w:r>
    </w:p>
    <w:p>
      <w:r>
        <w:t>13.4. The send log must be retained and must include:</w:t>
      </w:r>
    </w:p>
    <w:p>
      <w:pPr>
        <w:pStyle w:val="ListBullet"/>
      </w:pPr>
      <w:r>
        <w:t>Campaign name and ID.</w:t>
      </w:r>
    </w:p>
    <w:p>
      <w:pPr>
        <w:pStyle w:val="ListBullet"/>
      </w:pPr>
      <w:r>
        <w:t>Date and time sent.</w:t>
      </w:r>
    </w:p>
    <w:p>
      <w:pPr>
        <w:pStyle w:val="ListBullet"/>
      </w:pPr>
      <w:r>
        <w:t>Channel.</w:t>
      </w:r>
    </w:p>
    <w:p>
      <w:pPr>
        <w:pStyle w:val="ListBullet"/>
      </w:pPr>
      <w:r>
        <w:t>Sender identity.</w:t>
      </w:r>
    </w:p>
    <w:p>
      <w:pPr>
        <w:pStyle w:val="ListBullet"/>
      </w:pPr>
      <w:r>
        <w:t>Recipient count.</w:t>
      </w:r>
    </w:p>
    <w:p>
      <w:pPr>
        <w:pStyle w:val="ListBullet"/>
      </w:pPr>
      <w:r>
        <w:t>Platform used.</w:t>
      </w:r>
    </w:p>
    <w:p>
      <w:pPr>
        <w:pStyle w:val="ListBullet"/>
      </w:pPr>
      <w:r>
        <w:t>Message template/version.</w:t>
      </w:r>
    </w:p>
    <w:p>
      <w:pPr>
        <w:pStyle w:val="ListBullet"/>
      </w:pPr>
      <w:r>
        <w:t>Audience list reference.</w:t>
      </w:r>
    </w:p>
    <w:p>
      <w:pPr>
        <w:pStyle w:val="ListBullet"/>
      </w:pPr>
      <w:r>
        <w:t>Approver details.</w:t>
      </w:r>
    </w:p>
    <w:p>
      <w:r>
        <w:t>13.5. Where marketing calls are made, call centre agents must follow the approved script and must not continue promotional discussion after an individual withdraws consent or asks not to be contacted.</w:t>
      </w:r>
    </w:p>
    <w:p>
      <w:pPr>
        <w:pStyle w:val="Heading3"/>
      </w:pPr>
      <w:r>
        <w:t>14. Process withdrawals and opt-outs</w:t>
      </w:r>
    </w:p>
    <w:p>
      <w:r>
        <w:t>14.1. [Organisation Name] must honour withdrawals of marketing consent promptly.</w:t>
      </w:r>
    </w:p>
    <w:p>
      <w:r>
        <w:t>14.2. Withdrawal methods must be easy to use and must not require unnecessary steps, fees, account creation, or excessive information.</w:t>
      </w:r>
    </w:p>
    <w:p>
      <w:r>
        <w:t>14.3. When an individual withdraws consent, the receiving team must update the consent management system or approved CRM without delay.</w:t>
      </w:r>
    </w:p>
    <w:p>
      <w:r>
        <w:t>14.4. The maximum internal processing time for withdrawal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Withdrawal Channel</w:t>
            </w:r>
          </w:p>
        </w:tc>
        <w:tc>
          <w:tcPr>
            <w:tcW w:type="dxa" w:w="4320"/>
          </w:tcPr>
          <w:p>
            <w:r>
              <w:t>Required Internal Action Time</w:t>
            </w:r>
          </w:p>
        </w:tc>
      </w:tr>
      <w:tr>
        <w:tc>
          <w:tcPr>
            <w:tcW w:type="dxa" w:w="4320"/>
          </w:tcPr>
          <w:p>
            <w:r>
              <w:t>Email unsubscribe link</w:t>
            </w:r>
          </w:p>
        </w:tc>
        <w:tc>
          <w:tcPr>
            <w:tcW w:type="dxa" w:w="4320"/>
          </w:tcPr>
          <w:p>
            <w:r>
              <w:t>Automatic or within 24 hours</w:t>
            </w:r>
          </w:p>
        </w:tc>
      </w:tr>
      <w:tr>
        <w:tc>
          <w:tcPr>
            <w:tcW w:type="dxa" w:w="4320"/>
          </w:tcPr>
          <w:p>
            <w:r>
              <w:t>SMS opt-out keyword</w:t>
            </w:r>
          </w:p>
        </w:tc>
        <w:tc>
          <w:tcPr>
            <w:tcW w:type="dxa" w:w="4320"/>
          </w:tcPr>
          <w:p>
            <w:r>
              <w:t>Automatic or within 24 hours</w:t>
            </w:r>
          </w:p>
        </w:tc>
      </w:tr>
      <w:tr>
        <w:tc>
          <w:tcPr>
            <w:tcW w:type="dxa" w:w="4320"/>
          </w:tcPr>
          <w:p>
            <w:r>
              <w:t>Preference centre update</w:t>
            </w:r>
          </w:p>
        </w:tc>
        <w:tc>
          <w:tcPr>
            <w:tcW w:type="dxa" w:w="4320"/>
          </w:tcPr>
          <w:p>
            <w:r>
              <w:t>Automatic or within 24 hours</w:t>
            </w:r>
          </w:p>
        </w:tc>
      </w:tr>
      <w:tr>
        <w:tc>
          <w:tcPr>
            <w:tcW w:type="dxa" w:w="4320"/>
          </w:tcPr>
          <w:p>
            <w:r>
              <w:t>Contact centre request</w:t>
            </w:r>
          </w:p>
        </w:tc>
        <w:tc>
          <w:tcPr>
            <w:tcW w:type="dxa" w:w="4320"/>
          </w:tcPr>
          <w:p>
            <w:r>
              <w:t>During the call or within 1 business day</w:t>
            </w:r>
          </w:p>
        </w:tc>
      </w:tr>
      <w:tr>
        <w:tc>
          <w:tcPr>
            <w:tcW w:type="dxa" w:w="4320"/>
          </w:tcPr>
          <w:p>
            <w:r>
              <w:t>Email to privacy mailbox</w:t>
            </w:r>
          </w:p>
        </w:tc>
        <w:tc>
          <w:tcPr>
            <w:tcW w:type="dxa" w:w="4320"/>
          </w:tcPr>
          <w:p>
            <w:r>
              <w:t>Within 2 business days</w:t>
            </w:r>
          </w:p>
        </w:tc>
      </w:tr>
      <w:tr>
        <w:tc>
          <w:tcPr>
            <w:tcW w:type="dxa" w:w="4320"/>
          </w:tcPr>
          <w:p>
            <w:r>
              <w:t>Branch or in-person request</w:t>
            </w:r>
          </w:p>
        </w:tc>
        <w:tc>
          <w:tcPr>
            <w:tcW w:type="dxa" w:w="4320"/>
          </w:tcPr>
          <w:p>
            <w:r>
              <w:t>Within 2 business days</w:t>
            </w:r>
          </w:p>
        </w:tc>
      </w:tr>
      <w:tr>
        <w:tc>
          <w:tcPr>
            <w:tcW w:type="dxa" w:w="4320"/>
          </w:tcPr>
          <w:p>
            <w:r>
              <w:t>Complaint or escalation</w:t>
            </w:r>
          </w:p>
        </w:tc>
        <w:tc>
          <w:tcPr>
            <w:tcW w:type="dxa" w:w="4320"/>
          </w:tcPr>
          <w:p>
            <w:r>
              <w:t>Immediate suppression pending investigation</w:t>
            </w:r>
          </w:p>
        </w:tc>
      </w:tr>
    </w:tbl>
    <w:p>
      <w:r>
        <w:t>14.5. Once consent is withdrawn, [Organisation Name] must stop sending direct marketing through the affected channel or all channels, depending on the individual’s request.</w:t>
      </w:r>
    </w:p>
    <w:p>
      <w:r>
        <w:t>14.6. If the individual states “do not contact me again,” “stop all marketing,” or similar wording, the withdrawal must be applied to all direct marketing channels unless the individual clearly specifies otherwise.</w:t>
      </w:r>
    </w:p>
    <w:p>
      <w:r>
        <w:t>14.7. Confirmation of withdrawal may be sent if it is purely service-related and does not contain promotional content.</w:t>
      </w:r>
    </w:p>
    <w:p>
      <w:r>
        <w:t>14.8. Withdrawal of marketing consent does not require deletion of all personal data. The minimum information necessary may be retained on a suppression list to ensure the individual is not contacted again.</w:t>
      </w:r>
    </w:p>
    <w:p>
      <w:pPr>
        <w:pStyle w:val="Heading3"/>
      </w:pPr>
      <w:r>
        <w:t>15. Handle complaints and consent disputes</w:t>
      </w:r>
    </w:p>
    <w:p>
      <w:r>
        <w:t>15.1. Any complaint alleging unsolicited marketing, failure to honour opt-out, misuse of personal data, or use of sensitive data must be logged as a privacy complaint.</w:t>
      </w:r>
    </w:p>
    <w:p>
      <w:r>
        <w:t>15.2. The receiving team must forward the complaint to the Data Protection Officer within 1 business day.</w:t>
      </w:r>
    </w:p>
    <w:p>
      <w:r>
        <w:t>15.3. The Data Protection Officer or delegate must investigate:</w:t>
      </w:r>
    </w:p>
    <w:p>
      <w:pPr>
        <w:pStyle w:val="ListBullet"/>
      </w:pPr>
      <w:r>
        <w:t>Whether valid consent existed.</w:t>
      </w:r>
    </w:p>
    <w:p>
      <w:pPr>
        <w:pStyle w:val="ListBullet"/>
      </w:pPr>
      <w:r>
        <w:t>Whether consent covered the marketing purpose and channel.</w:t>
      </w:r>
    </w:p>
    <w:p>
      <w:pPr>
        <w:pStyle w:val="ListBullet"/>
      </w:pPr>
      <w:r>
        <w:t>Whether the withdrawal mechanism worked.</w:t>
      </w:r>
    </w:p>
    <w:p>
      <w:pPr>
        <w:pStyle w:val="ListBullet"/>
      </w:pPr>
      <w:r>
        <w:t>Whether the individual had previously opted out.</w:t>
      </w:r>
    </w:p>
    <w:p>
      <w:pPr>
        <w:pStyle w:val="ListBullet"/>
      </w:pPr>
      <w:r>
        <w:t>Whether suppression lists were applied.</w:t>
      </w:r>
    </w:p>
    <w:p>
      <w:pPr>
        <w:pStyle w:val="ListBullet"/>
      </w:pPr>
      <w:r>
        <w:t>Whether a third party caused or contributed to the issue.</w:t>
      </w:r>
    </w:p>
    <w:p>
      <w:pPr>
        <w:pStyle w:val="ListBullet"/>
      </w:pPr>
      <w:r>
        <w:t>Whether sensitive personal data was used.</w:t>
      </w:r>
    </w:p>
    <w:p>
      <w:pPr>
        <w:pStyle w:val="ListBullet"/>
      </w:pPr>
      <w:r>
        <w:t>Whether the issue affected other individuals.</w:t>
      </w:r>
    </w:p>
    <w:p>
      <w:r>
        <w:t>15.4. If the complaint is valid, corrective action must be taken, which may include:</w:t>
      </w:r>
    </w:p>
    <w:p>
      <w:pPr>
        <w:pStyle w:val="ListBullet"/>
      </w:pPr>
      <w:r>
        <w:t>Immediate suppression of the individual’s record.</w:t>
      </w:r>
    </w:p>
    <w:p>
      <w:pPr>
        <w:pStyle w:val="ListBullet"/>
      </w:pPr>
      <w:r>
        <w:t>Stopping or pausing the campaign.</w:t>
      </w:r>
    </w:p>
    <w:p>
      <w:pPr>
        <w:pStyle w:val="ListBullet"/>
      </w:pPr>
      <w:r>
        <w:t>Correcting system logic.</w:t>
      </w:r>
    </w:p>
    <w:p>
      <w:pPr>
        <w:pStyle w:val="ListBullet"/>
      </w:pPr>
      <w:r>
        <w:t>Updating consent records.</w:t>
      </w:r>
    </w:p>
    <w:p>
      <w:pPr>
        <w:pStyle w:val="ListBullet"/>
      </w:pPr>
      <w:r>
        <w:t>Notifying the third-party processor of required corrective action.</w:t>
      </w:r>
    </w:p>
    <w:p>
      <w:pPr>
        <w:pStyle w:val="ListBullet"/>
      </w:pPr>
      <w:r>
        <w:t>Retraining staff.</w:t>
      </w:r>
    </w:p>
    <w:p>
      <w:pPr>
        <w:pStyle w:val="ListBullet"/>
      </w:pPr>
      <w:r>
        <w:t>Updating consent wording or privacy notices.</w:t>
      </w:r>
    </w:p>
    <w:p>
      <w:pPr>
        <w:pStyle w:val="ListBullet"/>
      </w:pPr>
      <w:r>
        <w:t>Assessing whether breach management procedures must be initiated.</w:t>
      </w:r>
    </w:p>
    <w:p>
      <w:r>
        <w:t>15.5. The response to the individual must be clear, respectful, and must explain the action taken, subject to legal and security constraints.</w:t>
      </w:r>
    </w:p>
    <w:p>
      <w:pPr>
        <w:pStyle w:val="Heading3"/>
      </w:pPr>
      <w:r>
        <w:t>16. Monitor campaign performance and compliance</w:t>
      </w:r>
    </w:p>
    <w:p>
      <w:r>
        <w:t>16.1. Marketing Operations must monitor post-send metrics to identify compliance issues.</w:t>
      </w:r>
    </w:p>
    <w:p>
      <w:r>
        <w:t>16.2. Monitoring must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Compliance Purpose</w:t>
            </w:r>
          </w:p>
        </w:tc>
      </w:tr>
      <w:tr>
        <w:tc>
          <w:tcPr>
            <w:tcW w:type="dxa" w:w="4320"/>
          </w:tcPr>
          <w:p>
            <w:r>
              <w:t>Unsubscribe rate</w:t>
            </w:r>
          </w:p>
        </w:tc>
        <w:tc>
          <w:tcPr>
            <w:tcW w:type="dxa" w:w="4320"/>
          </w:tcPr>
          <w:p>
            <w:r>
              <w:t>Identifies potential consent expectation issues</w:t>
            </w:r>
          </w:p>
        </w:tc>
      </w:tr>
      <w:tr>
        <w:tc>
          <w:tcPr>
            <w:tcW w:type="dxa" w:w="4320"/>
          </w:tcPr>
          <w:p>
            <w:r>
              <w:t>Complaint rate</w:t>
            </w:r>
          </w:p>
        </w:tc>
        <w:tc>
          <w:tcPr>
            <w:tcW w:type="dxa" w:w="4320"/>
          </w:tcPr>
          <w:p>
            <w:r>
              <w:t>Identifies possible unsolicited or unclear marketing</w:t>
            </w:r>
          </w:p>
        </w:tc>
      </w:tr>
      <w:tr>
        <w:tc>
          <w:tcPr>
            <w:tcW w:type="dxa" w:w="4320"/>
          </w:tcPr>
          <w:p>
            <w:r>
              <w:t>Delivery failures</w:t>
            </w:r>
          </w:p>
        </w:tc>
        <w:tc>
          <w:tcPr>
            <w:tcW w:type="dxa" w:w="4320"/>
          </w:tcPr>
          <w:p>
            <w:r>
              <w:t>Supports data quality management</w:t>
            </w:r>
          </w:p>
        </w:tc>
      </w:tr>
      <w:tr>
        <w:tc>
          <w:tcPr>
            <w:tcW w:type="dxa" w:w="4320"/>
          </w:tcPr>
          <w:p>
            <w:r>
              <w:t>Duplicate messages</w:t>
            </w:r>
          </w:p>
        </w:tc>
        <w:tc>
          <w:tcPr>
            <w:tcW w:type="dxa" w:w="4320"/>
          </w:tcPr>
          <w:p>
            <w:r>
              <w:t>Detects system or segmentation errors</w:t>
            </w:r>
          </w:p>
        </w:tc>
      </w:tr>
      <w:tr>
        <w:tc>
          <w:tcPr>
            <w:tcW w:type="dxa" w:w="4320"/>
          </w:tcPr>
          <w:p>
            <w:r>
              <w:t>Opt-out processing time</w:t>
            </w:r>
          </w:p>
        </w:tc>
        <w:tc>
          <w:tcPr>
            <w:tcW w:type="dxa" w:w="4320"/>
          </w:tcPr>
          <w:p>
            <w:r>
              <w:t>Confirms withdrawals are honoured promptly</w:t>
            </w:r>
          </w:p>
        </w:tc>
      </w:tr>
      <w:tr>
        <w:tc>
          <w:tcPr>
            <w:tcW w:type="dxa" w:w="4320"/>
          </w:tcPr>
          <w:p>
            <w:r>
              <w:t>Suppression failures</w:t>
            </w:r>
          </w:p>
        </w:tc>
        <w:tc>
          <w:tcPr>
            <w:tcW w:type="dxa" w:w="4320"/>
          </w:tcPr>
          <w:p>
            <w:r>
              <w:t>Identifies control breakdowns</w:t>
            </w:r>
          </w:p>
        </w:tc>
      </w:tr>
      <w:tr>
        <w:tc>
          <w:tcPr>
            <w:tcW w:type="dxa" w:w="4320"/>
          </w:tcPr>
          <w:p>
            <w:r>
              <w:t>Third-party errors</w:t>
            </w:r>
          </w:p>
        </w:tc>
        <w:tc>
          <w:tcPr>
            <w:tcW w:type="dxa" w:w="4320"/>
          </w:tcPr>
          <w:p>
            <w:r>
              <w:t>Identifies processor performance issues</w:t>
            </w:r>
          </w:p>
        </w:tc>
      </w:tr>
      <w:tr>
        <w:tc>
          <w:tcPr>
            <w:tcW w:type="dxa" w:w="4320"/>
          </w:tcPr>
          <w:p>
            <w:r>
              <w:t>Sensitive data incidents</w:t>
            </w:r>
          </w:p>
        </w:tc>
        <w:tc>
          <w:tcPr>
            <w:tcW w:type="dxa" w:w="4320"/>
          </w:tcPr>
          <w:p>
            <w:r>
              <w:t>Detects prohibited data use</w:t>
            </w:r>
          </w:p>
        </w:tc>
      </w:tr>
    </w:tbl>
    <w:p>
      <w:r>
        <w:t>16.3. Unusual complaint patterns, high opt-out rates, or evidence of non-consented marketing must be escalated to the Data Protection Officer.</w:t>
      </w:r>
    </w:p>
    <w:p>
      <w:r>
        <w:t>16.4. The Data Protection Officer may require a campaign suspension, root cause analysis, or remediation plan.</w:t>
      </w:r>
    </w:p>
    <w:p>
      <w:pPr>
        <w:pStyle w:val="Heading3"/>
      </w:pPr>
      <w:r>
        <w:t>17. Retain and dispose of records</w:t>
      </w:r>
    </w:p>
    <w:p>
      <w:r>
        <w:t>17.1. Records relating to marketing consent and campaign approval must be retained according to [Records Retention Schedule].</w:t>
      </w:r>
    </w:p>
    <w:p>
      <w:r>
        <w:t>17.2. Consent evidence must be retained for as long as the organisation relies on the consent and for an appropriate period afterward to demonstrate compliance and handle disputes.</w:t>
      </w:r>
    </w:p>
    <w:p>
      <w:r>
        <w:t>17.3. Suppression records may be retained for as long as necessary to ensure the individual is not contacted again, using only the minimum data needed for suppression.</w:t>
      </w:r>
    </w:p>
    <w:p>
      <w:r>
        <w:t>17.4. Campaign audience files, temporary extracts, test files, and processor files must be deleted when no longer required.</w:t>
      </w:r>
    </w:p>
    <w:p>
      <w:r>
        <w:t>17.5. Disposal must be performed securely and recorded where required by [Organisation Name] retention procedures.</w:t>
      </w:r>
    </w:p>
    <w:p>
      <w:pPr>
        <w:pStyle w:val="Heading2"/>
      </w:pPr>
      <w:r>
        <w:t>Roles &amp; RACI</w:t>
      </w:r>
    </w:p>
    <w:p>
      <w:pPr>
        <w:pStyle w:val="Heading3"/>
      </w:pPr>
      <w:r>
        <w:t>Role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Marketing Owner</w:t>
            </w:r>
          </w:p>
        </w:tc>
        <w:tc>
          <w:tcPr>
            <w:tcW w:type="dxa" w:w="4320"/>
          </w:tcPr>
          <w:p>
            <w:r>
              <w:t>Owns the campaign, prepares the brief, ensures marketing purpose and content are accurate, confirms consent requirements are built into the campaign, and obtains approvals.</w:t>
            </w:r>
          </w:p>
        </w:tc>
      </w:tr>
      <w:tr>
        <w:tc>
          <w:tcPr>
            <w:tcW w:type="dxa" w:w="4320"/>
          </w:tcPr>
          <w:p>
            <w:r>
              <w:t>Marketing Operations</w:t>
            </w:r>
          </w:p>
        </w:tc>
        <w:tc>
          <w:tcPr>
            <w:tcW w:type="dxa" w:w="4320"/>
          </w:tcPr>
          <w:p>
            <w:r>
              <w:t>Builds audiences, applies consent and suppression rules, schedules campaigns, maintains send logs, and monitors post-send results.</w:t>
            </w:r>
          </w:p>
        </w:tc>
      </w:tr>
      <w:tr>
        <w:tc>
          <w:tcPr>
            <w:tcW w:type="dxa" w:w="4320"/>
          </w:tcPr>
          <w:p>
            <w:r>
              <w:t>Data Protection Officer</w:t>
            </w:r>
          </w:p>
        </w:tc>
        <w:tc>
          <w:tcPr>
            <w:tcW w:type="dxa" w:w="4320"/>
          </w:tcPr>
          <w:p>
            <w:r>
              <w:t>Advises on PDPL-aligned consent requirements, approves consent wording, reviews high-risk campaigns, investigates complaints, and maintains this procedure.</w:t>
            </w:r>
          </w:p>
        </w:tc>
      </w:tr>
      <w:tr>
        <w:tc>
          <w:tcPr>
            <w:tcW w:type="dxa" w:w="4320"/>
          </w:tcPr>
          <w:p>
            <w:r>
              <w:t>Legal</w:t>
            </w:r>
          </w:p>
        </w:tc>
        <w:tc>
          <w:tcPr>
            <w:tcW w:type="dxa" w:w="4320"/>
          </w:tcPr>
          <w:p>
            <w:r>
              <w:t>Reviews higher-risk campaign content, partner marketing arrangements, regulated product claims, and contractual terms.</w:t>
            </w:r>
          </w:p>
        </w:tc>
      </w:tr>
      <w:tr>
        <w:tc>
          <w:tcPr>
            <w:tcW w:type="dxa" w:w="4320"/>
          </w:tcPr>
          <w:p>
            <w:r>
              <w:t>CRM Owner</w:t>
            </w:r>
          </w:p>
        </w:tc>
        <w:tc>
          <w:tcPr>
            <w:tcW w:type="dxa" w:w="4320"/>
          </w:tcPr>
          <w:p>
            <w:r>
              <w:t>Maintains customer records, consent fields, suppression lists, and related CRM controls.</w:t>
            </w:r>
          </w:p>
        </w:tc>
      </w:tr>
      <w:tr>
        <w:tc>
          <w:tcPr>
            <w:tcW w:type="dxa" w:w="4320"/>
          </w:tcPr>
          <w:p>
            <w:r>
              <w:t>System Owner</w:t>
            </w:r>
          </w:p>
        </w:tc>
        <w:tc>
          <w:tcPr>
            <w:tcW w:type="dxa" w:w="4320"/>
          </w:tcPr>
          <w:p>
            <w:r>
              <w:t>Configures consent capture, preference centre, unsubscribe tools, audit logs, and system integrations.</w:t>
            </w:r>
          </w:p>
        </w:tc>
      </w:tr>
      <w:tr>
        <w:tc>
          <w:tcPr>
            <w:tcW w:type="dxa" w:w="4320"/>
          </w:tcPr>
          <w:p>
            <w:r>
              <w:t>Data Analyst</w:t>
            </w:r>
          </w:p>
        </w:tc>
        <w:tc>
          <w:tcPr>
            <w:tcW w:type="dxa" w:w="4320"/>
          </w:tcPr>
          <w:p>
            <w:r>
              <w:t>Supports segmentation and confirms that sensitive personal data and sensitive inferences are not used.</w:t>
            </w:r>
          </w:p>
        </w:tc>
      </w:tr>
      <w:tr>
        <w:tc>
          <w:tcPr>
            <w:tcW w:type="dxa" w:w="4320"/>
          </w:tcPr>
          <w:p>
            <w:r>
              <w:t>Information Security</w:t>
            </w:r>
          </w:p>
        </w:tc>
        <w:tc>
          <w:tcPr>
            <w:tcW w:type="dxa" w:w="4320"/>
          </w:tcPr>
          <w:p>
            <w:r>
              <w:t>Reviews security controls for marketing systems, data transfers, third-party platforms, and access management.</w:t>
            </w:r>
          </w:p>
        </w:tc>
      </w:tr>
      <w:tr>
        <w:tc>
          <w:tcPr>
            <w:tcW w:type="dxa" w:w="4320"/>
          </w:tcPr>
          <w:p>
            <w:r>
              <w:t>Procurement</w:t>
            </w:r>
          </w:p>
        </w:tc>
        <w:tc>
          <w:tcPr>
            <w:tcW w:type="dxa" w:w="4320"/>
          </w:tcPr>
          <w:p>
            <w:r>
              <w:t>Ensures marketing suppliers and processors follow approved onboarding and contracting processes.</w:t>
            </w:r>
          </w:p>
        </w:tc>
      </w:tr>
      <w:tr>
        <w:tc>
          <w:tcPr>
            <w:tcW w:type="dxa" w:w="4320"/>
          </w:tcPr>
          <w:p>
            <w:r>
              <w:t>Contact Centre / Customer Service</w:t>
            </w:r>
          </w:p>
        </w:tc>
        <w:tc>
          <w:tcPr>
            <w:tcW w:type="dxa" w:w="4320"/>
          </w:tcPr>
          <w:p>
            <w:r>
              <w:t>Captures verbal consent where approved, processes withdrawal requests, and escalates complaints.</w:t>
            </w:r>
          </w:p>
        </w:tc>
      </w:tr>
      <w:tr>
        <w:tc>
          <w:tcPr>
            <w:tcW w:type="dxa" w:w="4320"/>
          </w:tcPr>
          <w:p>
            <w:r>
              <w:t>Third-Party Processor</w:t>
            </w:r>
          </w:p>
        </w:tc>
        <w:tc>
          <w:tcPr>
            <w:tcW w:type="dxa" w:w="4320"/>
          </w:tcPr>
          <w:p>
            <w:r>
              <w:t>Processes marketing data only under approved instructions and applies required security, consent, suppression, and deletion controls.</w:t>
            </w:r>
          </w:p>
        </w:tc>
      </w:tr>
      <w:tr>
        <w:tc>
          <w:tcPr>
            <w:tcW w:type="dxa" w:w="4320"/>
          </w:tcPr>
          <w:p>
            <w:r>
              <w:t>Internal Audit / Compliance Monitoring</w:t>
            </w:r>
          </w:p>
        </w:tc>
        <w:tc>
          <w:tcPr>
            <w:tcW w:type="dxa" w:w="4320"/>
          </w:tcPr>
          <w:p>
            <w:r>
              <w:t>Periodically reviews adherence to this procedure and validates evidence.</w:t>
            </w:r>
          </w:p>
        </w:tc>
      </w:tr>
    </w:tbl>
    <w:p>
      <w:pPr>
        <w:pStyle w:val="Heading3"/>
      </w:pPr>
      <w:r>
        <w:t>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Activity</w:t>
            </w:r>
          </w:p>
        </w:tc>
        <w:tc>
          <w:tcPr>
            <w:tcW w:type="dxa" w:w="785"/>
          </w:tcPr>
          <w:p>
            <w:r>
              <w:t>Marketing Owner</w:t>
            </w:r>
          </w:p>
        </w:tc>
        <w:tc>
          <w:tcPr>
            <w:tcW w:type="dxa" w:w="785"/>
          </w:tcPr>
          <w:p>
            <w:r>
              <w:t>Marketing Operations</w:t>
            </w:r>
          </w:p>
        </w:tc>
        <w:tc>
          <w:tcPr>
            <w:tcW w:type="dxa" w:w="785"/>
          </w:tcPr>
          <w:p>
            <w:r>
              <w:t>DPO</w:t>
            </w:r>
          </w:p>
        </w:tc>
        <w:tc>
          <w:tcPr>
            <w:tcW w:type="dxa" w:w="785"/>
          </w:tcPr>
          <w:p>
            <w:r>
              <w:t>Legal</w:t>
            </w:r>
          </w:p>
        </w:tc>
        <w:tc>
          <w:tcPr>
            <w:tcW w:type="dxa" w:w="785"/>
          </w:tcPr>
          <w:p>
            <w:r>
              <w:t>CRM Owner</w:t>
            </w:r>
          </w:p>
        </w:tc>
        <w:tc>
          <w:tcPr>
            <w:tcW w:type="dxa" w:w="785"/>
          </w:tcPr>
          <w:p>
            <w:r>
              <w:t>System Owner</w:t>
            </w:r>
          </w:p>
        </w:tc>
        <w:tc>
          <w:tcPr>
            <w:tcW w:type="dxa" w:w="785"/>
          </w:tcPr>
          <w:p>
            <w:r>
              <w:t>Data Analyst</w:t>
            </w:r>
          </w:p>
        </w:tc>
        <w:tc>
          <w:tcPr>
            <w:tcW w:type="dxa" w:w="785"/>
          </w:tcPr>
          <w:p>
            <w:r>
              <w:t>InfoSec</w:t>
            </w:r>
          </w:p>
        </w:tc>
        <w:tc>
          <w:tcPr>
            <w:tcW w:type="dxa" w:w="785"/>
          </w:tcPr>
          <w:p>
            <w:r>
              <w:t>Procurement</w:t>
            </w:r>
          </w:p>
        </w:tc>
        <w:tc>
          <w:tcPr>
            <w:tcW w:type="dxa" w:w="785"/>
          </w:tcPr>
          <w:p>
            <w:r>
              <w:t>Customer Service</w:t>
            </w:r>
          </w:p>
        </w:tc>
      </w:tr>
      <w:tr>
        <w:tc>
          <w:tcPr>
            <w:tcW w:type="dxa" w:w="785"/>
          </w:tcPr>
          <w:p>
            <w:r>
              <w:t>Classify activity as direct marketing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Prepare campaign brief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Approve consent wording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Configure consent capture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Validate audience consent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Confirm sensitive data exclusion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Apply suppression lists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</w:tr>
      <w:tr>
        <w:tc>
          <w:tcPr>
            <w:tcW w:type="dxa" w:w="785"/>
          </w:tcPr>
          <w:p>
            <w:r>
              <w:t>Review campaign content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Approve high-risk campaign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Approve third-party processor use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Send campaign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Process opt-outs and withdrawals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R</w:t>
            </w:r>
          </w:p>
        </w:tc>
      </w:tr>
      <w:tr>
        <w:tc>
          <w:tcPr>
            <w:tcW w:type="dxa" w:w="785"/>
          </w:tcPr>
          <w:p>
            <w:r>
              <w:t>Investigate complaint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A/R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R</w:t>
            </w:r>
          </w:p>
        </w:tc>
      </w:tr>
      <w:tr>
        <w:tc>
          <w:tcPr>
            <w:tcW w:type="dxa" w:w="785"/>
          </w:tcPr>
          <w:p>
            <w:r>
              <w:t>Retain campaign evidence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</w:tr>
      <w:tr>
        <w:tc>
          <w:tcPr>
            <w:tcW w:type="dxa" w:w="785"/>
          </w:tcPr>
          <w:p>
            <w:r>
              <w:t>Monitor compliance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R</w:t>
            </w:r>
          </w:p>
        </w:tc>
        <w:tc>
          <w:tcPr>
            <w:tcW w:type="dxa" w:w="785"/>
          </w:tcPr>
          <w:p>
            <w:r>
              <w:t>A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C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I</w:t>
            </w:r>
          </w:p>
        </w:tc>
        <w:tc>
          <w:tcPr>
            <w:tcW w:type="dxa" w:w="785"/>
          </w:tcPr>
          <w:p>
            <w:r>
              <w:t>C</w:t>
            </w:r>
          </w:p>
        </w:tc>
      </w:tr>
    </w:tbl>
    <w:p>
      <w:r>
        <w:t>RACI key:</w:t>
      </w:r>
    </w:p>
    <w:p>
      <w:pPr>
        <w:pStyle w:val="ListBullet"/>
      </w:pPr>
      <w:r>
        <w:t>R - Responsible for performing the activity.</w:t>
      </w:r>
    </w:p>
    <w:p>
      <w:pPr>
        <w:pStyle w:val="ListBullet"/>
      </w:pPr>
      <w:r>
        <w:t>A - Accountable for the outcome and final decision.</w:t>
      </w:r>
    </w:p>
    <w:p>
      <w:pPr>
        <w:pStyle w:val="ListBullet"/>
      </w:pPr>
      <w:r>
        <w:t>C - Consulted before or during the activity.</w:t>
      </w:r>
    </w:p>
    <w:p>
      <w:pPr>
        <w:pStyle w:val="ListBullet"/>
      </w:pPr>
      <w:r>
        <w:t>I - Informed of progress or outcome.</w:t>
      </w:r>
    </w:p>
    <w:p>
      <w:pPr>
        <w:pStyle w:val="Heading2"/>
      </w:pPr>
      <w:r>
        <w:t>Records &amp; Outputs</w:t>
      </w:r>
    </w:p>
    <w:p>
      <w:r>
        <w:t>The following records must be created, maintained, and made available for authorised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Record / Output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Minimum Retention</w:t>
            </w:r>
          </w:p>
        </w:tc>
      </w:tr>
      <w:tr>
        <w:tc>
          <w:tcPr>
            <w:tcW w:type="dxa" w:w="2160"/>
          </w:tcPr>
          <w:p>
            <w:r>
              <w:t>Campaign brief</w:t>
            </w:r>
          </w:p>
        </w:tc>
        <w:tc>
          <w:tcPr>
            <w:tcW w:type="dxa" w:w="2160"/>
          </w:tcPr>
          <w:p>
            <w:r>
              <w:t>Business purpose, audience, channels, dates, sender, data sources, and approvals</w:t>
            </w:r>
          </w:p>
        </w:tc>
        <w:tc>
          <w:tcPr>
            <w:tcW w:type="dxa" w:w="2160"/>
          </w:tcPr>
          <w:p>
            <w:r>
              <w:t>Marketing Owner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Consent wording approval</w:t>
            </w:r>
          </w:p>
        </w:tc>
        <w:tc>
          <w:tcPr>
            <w:tcW w:type="dxa" w:w="2160"/>
          </w:tcPr>
          <w:p>
            <w:r>
              <w:t>Approved wording and version history</w:t>
            </w:r>
          </w:p>
        </w:tc>
        <w:tc>
          <w:tcPr>
            <w:tcW w:type="dxa" w:w="2160"/>
          </w:tcPr>
          <w:p>
            <w:r>
              <w:t>Data Protection Officer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Privacy notice version</w:t>
            </w:r>
          </w:p>
        </w:tc>
        <w:tc>
          <w:tcPr>
            <w:tcW w:type="dxa" w:w="2160"/>
          </w:tcPr>
          <w:p>
            <w:r>
              <w:t>Notice available at the time of consent collection</w:t>
            </w:r>
          </w:p>
        </w:tc>
        <w:tc>
          <w:tcPr>
            <w:tcW w:type="dxa" w:w="2160"/>
          </w:tcPr>
          <w:p>
            <w:r>
              <w:t>Data Protection Officer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Consent records</w:t>
            </w:r>
          </w:p>
        </w:tc>
        <w:tc>
          <w:tcPr>
            <w:tcW w:type="dxa" w:w="2160"/>
          </w:tcPr>
          <w:p>
            <w:r>
              <w:t>Evidence of individual opt-in, channel, purpose, wording, timestamp, and source</w:t>
            </w:r>
          </w:p>
        </w:tc>
        <w:tc>
          <w:tcPr>
            <w:tcW w:type="dxa" w:w="2160"/>
          </w:tcPr>
          <w:p>
            <w:r>
              <w:t>CRM Owner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Withdrawal records</w:t>
            </w:r>
          </w:p>
        </w:tc>
        <w:tc>
          <w:tcPr>
            <w:tcW w:type="dxa" w:w="2160"/>
          </w:tcPr>
          <w:p>
            <w:r>
              <w:t>Evidence of opt-outs, date received, date actioned, and channels affected</w:t>
            </w:r>
          </w:p>
        </w:tc>
        <w:tc>
          <w:tcPr>
            <w:tcW w:type="dxa" w:w="2160"/>
          </w:tcPr>
          <w:p>
            <w:r>
              <w:t>CRM Owner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Suppression list</w:t>
            </w:r>
          </w:p>
        </w:tc>
        <w:tc>
          <w:tcPr>
            <w:tcW w:type="dxa" w:w="2160"/>
          </w:tcPr>
          <w:p>
            <w:r>
              <w:t>Minimum data required to prevent further marketing contact</w:t>
            </w:r>
          </w:p>
        </w:tc>
        <w:tc>
          <w:tcPr>
            <w:tcW w:type="dxa" w:w="2160"/>
          </w:tcPr>
          <w:p>
            <w:r>
              <w:t>CRM Owner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Audience validation report</w:t>
            </w:r>
          </w:p>
        </w:tc>
        <w:tc>
          <w:tcPr>
            <w:tcW w:type="dxa" w:w="2160"/>
          </w:tcPr>
          <w:p>
            <w:r>
              <w:t>Evidence that only valid opt-in recipients were selected</w:t>
            </w:r>
          </w:p>
        </w:tc>
        <w:tc>
          <w:tcPr>
            <w:tcW w:type="dxa" w:w="2160"/>
          </w:tcPr>
          <w:p>
            <w:r>
              <w:t>Marketing Operations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Sensitive data exclusion review</w:t>
            </w:r>
          </w:p>
        </w:tc>
        <w:tc>
          <w:tcPr>
            <w:tcW w:type="dxa" w:w="2160"/>
          </w:tcPr>
          <w:p>
            <w:r>
              <w:t>Confirmation that sensitive data and sensitive inferences were not used</w:t>
            </w:r>
          </w:p>
        </w:tc>
        <w:tc>
          <w:tcPr>
            <w:tcW w:type="dxa" w:w="2160"/>
          </w:tcPr>
          <w:p>
            <w:r>
              <w:t>Marketing Owner / Data Analyst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Test results</w:t>
            </w:r>
          </w:p>
        </w:tc>
        <w:tc>
          <w:tcPr>
            <w:tcW w:type="dxa" w:w="2160"/>
          </w:tcPr>
          <w:p>
            <w:r>
              <w:t>Evidence that consent capture, unsubscribe, preference centre, and suppression controls worked</w:t>
            </w:r>
          </w:p>
        </w:tc>
        <w:tc>
          <w:tcPr>
            <w:tcW w:type="dxa" w:w="2160"/>
          </w:tcPr>
          <w:p>
            <w:r>
              <w:t>System Owner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Campaign approval checklist</w:t>
            </w:r>
          </w:p>
        </w:tc>
        <w:tc>
          <w:tcPr>
            <w:tcW w:type="dxa" w:w="2160"/>
          </w:tcPr>
          <w:p>
            <w:r>
              <w:t>Final approval evidence before sending</w:t>
            </w:r>
          </w:p>
        </w:tc>
        <w:tc>
          <w:tcPr>
            <w:tcW w:type="dxa" w:w="2160"/>
          </w:tcPr>
          <w:p>
            <w:r>
              <w:t>Marketing Owner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Send logs</w:t>
            </w:r>
          </w:p>
        </w:tc>
        <w:tc>
          <w:tcPr>
            <w:tcW w:type="dxa" w:w="2160"/>
          </w:tcPr>
          <w:p>
            <w:r>
              <w:t>Date, time, channel, recipient count, platform, template, and sender</w:t>
            </w:r>
          </w:p>
        </w:tc>
        <w:tc>
          <w:tcPr>
            <w:tcW w:type="dxa" w:w="2160"/>
          </w:tcPr>
          <w:p>
            <w:r>
              <w:t>Marketing Operations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Third-party processing records</w:t>
            </w:r>
          </w:p>
        </w:tc>
        <w:tc>
          <w:tcPr>
            <w:tcW w:type="dxa" w:w="2160"/>
          </w:tcPr>
          <w:p>
            <w:r>
              <w:t>Supplier approval, contract status, transfer details, and processor instructions</w:t>
            </w:r>
          </w:p>
        </w:tc>
        <w:tc>
          <w:tcPr>
            <w:tcW w:type="dxa" w:w="2160"/>
          </w:tcPr>
          <w:p>
            <w:r>
              <w:t>Procurement / Legal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Complaint records</w:t>
            </w:r>
          </w:p>
        </w:tc>
        <w:tc>
          <w:tcPr>
            <w:tcW w:type="dxa" w:w="2160"/>
          </w:tcPr>
          <w:p>
            <w:r>
              <w:t>Complaint details, investigation outcome, corrective actions, and response</w:t>
            </w:r>
          </w:p>
        </w:tc>
        <w:tc>
          <w:tcPr>
            <w:tcW w:type="dxa" w:w="2160"/>
          </w:tcPr>
          <w:p>
            <w:r>
              <w:t>Data Protection Officer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Compliance monitoring report</w:t>
            </w:r>
          </w:p>
        </w:tc>
        <w:tc>
          <w:tcPr>
            <w:tcW w:type="dxa" w:w="2160"/>
          </w:tcPr>
          <w:p>
            <w:r>
              <w:t>Periodic review of opt-in, opt-out, complaints, and suppression performance</w:t>
            </w:r>
          </w:p>
        </w:tc>
        <w:tc>
          <w:tcPr>
            <w:tcW w:type="dxa" w:w="2160"/>
          </w:tcPr>
          <w:p>
            <w:r>
              <w:t>Data Protection Officer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  <w:tr>
        <w:tc>
          <w:tcPr>
            <w:tcW w:type="dxa" w:w="2160"/>
          </w:tcPr>
          <w:p>
            <w:r>
              <w:t>Deletion or disposal evidence</w:t>
            </w:r>
          </w:p>
        </w:tc>
        <w:tc>
          <w:tcPr>
            <w:tcW w:type="dxa" w:w="2160"/>
          </w:tcPr>
          <w:p>
            <w:r>
              <w:t>Confirmation that temporary files and third-party copies were deleted when no longer required</w:t>
            </w:r>
          </w:p>
        </w:tc>
        <w:tc>
          <w:tcPr>
            <w:tcW w:type="dxa" w:w="2160"/>
          </w:tcPr>
          <w:p>
            <w:r>
              <w:t>System Owner / Processor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</w:tr>
    </w:tbl>
    <w:p>
      <w:r>
        <w:t>Records must be stored in approved repositories, protected from unauthorised access, and retained in accordance with [Records Retention Schedule]. Personal data contained in records must be limited to what is necessary to evidence compliance and operate suppression controls.</w:t>
      </w:r>
    </w:p>
    <w:p>
      <w:pPr>
        <w:pStyle w:val="Heading2"/>
      </w:pPr>
      <w:r>
        <w:t>Exceptions &amp; Escalation</w:t>
      </w:r>
    </w:p>
    <w:p>
      <w:pPr>
        <w:pStyle w:val="Heading3"/>
      </w:pPr>
      <w:r>
        <w:t>Exceptions</w:t>
      </w:r>
    </w:p>
    <w:p>
      <w:r>
        <w:t>Exceptions to this procedure are not permitted for the following requirements:</w:t>
      </w:r>
    </w:p>
    <w:p>
      <w:pPr>
        <w:pStyle w:val="ListBullet"/>
      </w:pPr>
      <w:r>
        <w:t>Direct marketing must not be sent without valid prior opt-in consent.</w:t>
      </w:r>
    </w:p>
    <w:p>
      <w:pPr>
        <w:pStyle w:val="ListBullet"/>
      </w:pPr>
      <w:r>
        <w:t>Sensitive personal data must not be used for direct marketing.</w:t>
      </w:r>
    </w:p>
    <w:p>
      <w:pPr>
        <w:pStyle w:val="ListBullet"/>
      </w:pPr>
      <w:r>
        <w:t>Withdrawals and opt-outs must be honoured promptly.</w:t>
      </w:r>
    </w:p>
    <w:p>
      <w:pPr>
        <w:pStyle w:val="ListBullet"/>
      </w:pPr>
      <w:r>
        <w:t>Suppression lists must be applied before marketing is sent.</w:t>
      </w:r>
    </w:p>
    <w:p>
      <w:pPr>
        <w:pStyle w:val="ListBullet"/>
      </w:pPr>
      <w:r>
        <w:t>Consent evidence must be retained.</w:t>
      </w:r>
    </w:p>
    <w:p>
      <w:pPr>
        <w:pStyle w:val="ListBullet"/>
      </w:pPr>
      <w:r>
        <w:t>Third parties must not send marketing on behalf of [Organisation Name] without approval and appropriate contractual controls.</w:t>
      </w:r>
    </w:p>
    <w:p>
      <w:r>
        <w:t>Any proposed deviation from operational steps, such as using a new consent tool, alternative withdrawal mechanism, new lead source, or new processor, must be approved before implementation.</w:t>
      </w:r>
    </w:p>
    <w:p>
      <w:pPr>
        <w:pStyle w:val="Heading3"/>
      </w:pPr>
      <w:r>
        <w:t>Exception request process</w:t>
      </w:r>
    </w:p>
    <w:p>
      <w:pPr>
        <w:pStyle w:val="ListBullet"/>
      </w:pPr>
      <w:r>
        <w:t>The requester must submit an exception request to the Data Protection Officer using [Exception Request System/Form].</w:t>
      </w:r>
    </w:p>
    <w:p>
      <w:pPr>
        <w:pStyle w:val="ListBullet"/>
      </w:pPr>
      <w:r>
        <w:t>The request must include:</w:t>
      </w:r>
    </w:p>
    <w:p>
      <w:pPr>
        <w:pStyle w:val="ListBullet"/>
      </w:pPr>
      <w:r>
        <w:t>Description of the proposed exception.</w:t>
      </w:r>
    </w:p>
    <w:p>
      <w:pPr>
        <w:pStyle w:val="ListBullet"/>
      </w:pPr>
      <w:r>
        <w:t>Business justification.</w:t>
      </w:r>
    </w:p>
    <w:p>
      <w:pPr>
        <w:pStyle w:val="ListBullet"/>
      </w:pPr>
      <w:r>
        <w:t>Campaign or system affected.</w:t>
      </w:r>
    </w:p>
    <w:p>
      <w:pPr>
        <w:pStyle w:val="ListBullet"/>
      </w:pPr>
      <w:r>
        <w:t>Personal data involved.</w:t>
      </w:r>
    </w:p>
    <w:p>
      <w:pPr>
        <w:pStyle w:val="ListBullet"/>
      </w:pPr>
      <w:r>
        <w:t>Number and type of individuals affected.</w:t>
      </w:r>
    </w:p>
    <w:p>
      <w:pPr>
        <w:pStyle w:val="ListBullet"/>
      </w:pPr>
      <w:r>
        <w:t>Marketing channels involved.</w:t>
      </w:r>
    </w:p>
    <w:p>
      <w:pPr>
        <w:pStyle w:val="ListBullet"/>
      </w:pPr>
      <w:r>
        <w:t>Risk assessment.</w:t>
      </w:r>
    </w:p>
    <w:p>
      <w:pPr>
        <w:pStyle w:val="ListBullet"/>
      </w:pPr>
      <w:r>
        <w:t>Proposed compensating controls.</w:t>
      </w:r>
    </w:p>
    <w:p>
      <w:pPr>
        <w:pStyle w:val="ListBullet"/>
      </w:pPr>
      <w:r>
        <w:t>Requested duration of the exception.</w:t>
      </w:r>
    </w:p>
    <w:p>
      <w:pPr>
        <w:pStyle w:val="ListBullet"/>
      </w:pPr>
      <w:r>
        <w:t>The Data Protection Officer must review the request and consult Legal, Information Security, and other stakeholders as needed.</w:t>
      </w:r>
    </w:p>
    <w:p>
      <w:pPr>
        <w:pStyle w:val="ListBullet"/>
      </w:pPr>
      <w:r>
        <w:t>The exception must be approved, rejected, or returned for remediation.</w:t>
      </w:r>
    </w:p>
    <w:p>
      <w:pPr>
        <w:pStyle w:val="ListBullet"/>
      </w:pPr>
      <w:r>
        <w:t>Approved exceptions must be time-bound, documented, and monitored.</w:t>
      </w:r>
    </w:p>
    <w:p>
      <w:pPr>
        <w:pStyle w:val="ListBullet"/>
      </w:pPr>
      <w:r>
        <w:t>Expired exceptions must not be extended without fresh review and approval.</w:t>
      </w:r>
    </w:p>
    <w:p>
      <w:pPr>
        <w:pStyle w:val="Heading3"/>
      </w:pPr>
      <w:r>
        <w:t>Escalation triggers</w:t>
      </w:r>
    </w:p>
    <w:p>
      <w:r>
        <w:t>The following events must be escalated to the Data Protection Officer immediately, or no later than 1 business day after discovery: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Required Escalation</w:t>
            </w:r>
          </w:p>
        </w:tc>
      </w:tr>
      <w:tr>
        <w:tc>
          <w:tcPr>
            <w:tcW w:type="dxa" w:w="4320"/>
          </w:tcPr>
          <w:p>
            <w:r>
              <w:t>Marketing sent without valid consent</w:t>
            </w:r>
          </w:p>
        </w:tc>
        <w:tc>
          <w:tcPr>
            <w:tcW w:type="dxa" w:w="4320"/>
          </w:tcPr>
          <w:p>
            <w:r>
              <w:t>Escalate to DPO, Legal, Marketing Leadership, and Compliance</w:t>
            </w:r>
          </w:p>
        </w:tc>
      </w:tr>
      <w:tr>
        <w:tc>
          <w:tcPr>
            <w:tcW w:type="dxa" w:w="4320"/>
          </w:tcPr>
          <w:p>
            <w:r>
              <w:t>Sensitive personal data used or suspected in marketing</w:t>
            </w:r>
          </w:p>
        </w:tc>
        <w:tc>
          <w:tcPr>
            <w:tcW w:type="dxa" w:w="4320"/>
          </w:tcPr>
          <w:p>
            <w:r>
              <w:t>Escalate to DPO, Legal, Information Security, and Executive Sponsor</w:t>
            </w:r>
          </w:p>
        </w:tc>
      </w:tr>
      <w:tr>
        <w:tc>
          <w:tcPr>
            <w:tcW w:type="dxa" w:w="4320"/>
          </w:tcPr>
          <w:p>
            <w:r>
              <w:t>Suppression list failure</w:t>
            </w:r>
          </w:p>
        </w:tc>
        <w:tc>
          <w:tcPr>
            <w:tcW w:type="dxa" w:w="4320"/>
          </w:tcPr>
          <w:p>
            <w:r>
              <w:t>Escalate to DPO, CRM Owner, System Owner, and Marketing Operations</w:t>
            </w:r>
          </w:p>
        </w:tc>
      </w:tr>
      <w:tr>
        <w:tc>
          <w:tcPr>
            <w:tcW w:type="dxa" w:w="4320"/>
          </w:tcPr>
          <w:p>
            <w:r>
              <w:t>Withdrawal not honoured</w:t>
            </w:r>
          </w:p>
        </w:tc>
        <w:tc>
          <w:tcPr>
            <w:tcW w:type="dxa" w:w="4320"/>
          </w:tcPr>
          <w:p>
            <w:r>
              <w:t>Escalate to DPO and CRM Owner</w:t>
            </w:r>
          </w:p>
        </w:tc>
      </w:tr>
      <w:tr>
        <w:tc>
          <w:tcPr>
            <w:tcW w:type="dxa" w:w="4320"/>
          </w:tcPr>
          <w:p>
            <w:r>
              <w:t>High volume of complaints</w:t>
            </w:r>
          </w:p>
        </w:tc>
        <w:tc>
          <w:tcPr>
            <w:tcW w:type="dxa" w:w="4320"/>
          </w:tcPr>
          <w:p>
            <w:r>
              <w:t>Escalate to DPO and Marketing Leadership</w:t>
            </w:r>
          </w:p>
        </w:tc>
      </w:tr>
      <w:tr>
        <w:tc>
          <w:tcPr>
            <w:tcW w:type="dxa" w:w="4320"/>
          </w:tcPr>
          <w:p>
            <w:r>
              <w:t>Third-party processor sends unauthorised marketing</w:t>
            </w:r>
          </w:p>
        </w:tc>
        <w:tc>
          <w:tcPr>
            <w:tcW w:type="dxa" w:w="4320"/>
          </w:tcPr>
          <w:p>
            <w:r>
              <w:t>Escalate to DPO, Legal, Procurement, and Information Security</w:t>
            </w:r>
          </w:p>
        </w:tc>
      </w:tr>
      <w:tr>
        <w:tc>
          <w:tcPr>
            <w:tcW w:type="dxa" w:w="4320"/>
          </w:tcPr>
          <w:p>
            <w:r>
              <w:t>Unapproved contact list identified</w:t>
            </w:r>
          </w:p>
        </w:tc>
        <w:tc>
          <w:tcPr>
            <w:tcW w:type="dxa" w:w="4320"/>
          </w:tcPr>
          <w:p>
            <w:r>
              <w:t>Escalate to DPO and Marketing Leadership</w:t>
            </w:r>
          </w:p>
        </w:tc>
      </w:tr>
      <w:tr>
        <w:tc>
          <w:tcPr>
            <w:tcW w:type="dxa" w:w="4320"/>
          </w:tcPr>
          <w:p>
            <w:r>
              <w:t>Consent records missing or corrupted</w:t>
            </w:r>
          </w:p>
        </w:tc>
        <w:tc>
          <w:tcPr>
            <w:tcW w:type="dxa" w:w="4320"/>
          </w:tcPr>
          <w:p>
            <w:r>
              <w:t>Escalate to DPO, CRM Owner, and System Owner</w:t>
            </w:r>
          </w:p>
        </w:tc>
      </w:tr>
      <w:tr>
        <w:tc>
          <w:tcPr>
            <w:tcW w:type="dxa" w:w="4320"/>
          </w:tcPr>
          <w:p>
            <w:r>
              <w:t>Potential personal data breach</w:t>
            </w:r>
          </w:p>
        </w:tc>
        <w:tc>
          <w:tcPr>
            <w:tcW w:type="dxa" w:w="4320"/>
          </w:tcPr>
          <w:p>
            <w:r>
              <w:t>Escalate under the Data Breach Response Procedure</w:t>
            </w:r>
          </w:p>
        </w:tc>
      </w:tr>
      <w:tr>
        <w:tc>
          <w:tcPr>
            <w:tcW w:type="dxa" w:w="4320"/>
          </w:tcPr>
          <w:p>
            <w:r>
              <w:t>Regulatory inquiry or individual legal complaint</w:t>
            </w:r>
          </w:p>
        </w:tc>
        <w:tc>
          <w:tcPr>
            <w:tcW w:type="dxa" w:w="4320"/>
          </w:tcPr>
          <w:p>
            <w:r>
              <w:t>Escalate to DPO and Legal immediately</w:t>
            </w:r>
          </w:p>
        </w:tc>
      </w:tr>
    </w:tbl>
    <w:p>
      <w:pPr>
        <w:pStyle w:val="Heading3"/>
      </w:pPr>
      <w:r>
        <w:t>Immediate containment actions</w:t>
      </w:r>
    </w:p>
    <w:p>
      <w:r>
        <w:t>Where an incident or suspected non-compliance is identified, the responsible team must:</w:t>
      </w:r>
    </w:p>
    <w:p>
      <w:pPr>
        <w:pStyle w:val="ListBullet"/>
      </w:pPr>
      <w:r>
        <w:t>Pause the campaign or affected workflow.</w:t>
      </w:r>
    </w:p>
    <w:p>
      <w:pPr>
        <w:pStyle w:val="ListBullet"/>
      </w:pPr>
      <w:r>
        <w:t>Stop any scheduled sends using the affected audience.</w:t>
      </w:r>
    </w:p>
    <w:p>
      <w:pPr>
        <w:pStyle w:val="ListBullet"/>
      </w:pPr>
      <w:r>
        <w:t>Preserve relevant evidence, including audience files, consent logs, system logs, templates, approvals, and third-party instructions.</w:t>
      </w:r>
    </w:p>
    <w:p>
      <w:pPr>
        <w:pStyle w:val="ListBullet"/>
      </w:pPr>
      <w:r>
        <w:t>Suppress affected individuals where appropriate.</w:t>
      </w:r>
    </w:p>
    <w:p>
      <w:pPr>
        <w:pStyle w:val="ListBullet"/>
      </w:pPr>
      <w:r>
        <w:t>Notify the Data Protection Officer.</w:t>
      </w:r>
    </w:p>
    <w:p>
      <w:pPr>
        <w:pStyle w:val="ListBullet"/>
      </w:pPr>
      <w:r>
        <w:t>Support root cause analysis and remediation.</w:t>
      </w:r>
    </w:p>
    <w:p>
      <w:pPr>
        <w:pStyle w:val="ListBullet"/>
      </w:pPr>
      <w:r>
        <w:t>Resume marketing only after approval from the Data Protection Officer.</w:t>
      </w:r>
    </w:p>
    <w:p>
      <w:pPr>
        <w:pStyle w:val="Heading2"/>
      </w:pPr>
      <w:r>
        <w:t>Review</w:t>
      </w:r>
    </w:p>
    <w:p>
      <w:r>
        <w:t>This procedure must be reviewed at least annually and whenever any of the following occur:</w:t>
      </w:r>
    </w:p>
    <w:p>
      <w:pPr>
        <w:pStyle w:val="ListBullet"/>
      </w:pPr>
      <w:r>
        <w:t>Changes to Saudi personal data protection requirements affecting marketing consent.</w:t>
      </w:r>
    </w:p>
    <w:p>
      <w:pPr>
        <w:pStyle w:val="ListBullet"/>
      </w:pPr>
      <w:r>
        <w:t>Introduction of a new marketing platform, CRM, consent tool, or preference centre.</w:t>
      </w:r>
    </w:p>
    <w:p>
      <w:pPr>
        <w:pStyle w:val="ListBullet"/>
      </w:pPr>
      <w:r>
        <w:t>Use of a new marketing channel.</w:t>
      </w:r>
    </w:p>
    <w:p>
      <w:pPr>
        <w:pStyle w:val="ListBullet"/>
      </w:pPr>
      <w:r>
        <w:t>Use of a new lead generation source.</w:t>
      </w:r>
    </w:p>
    <w:p>
      <w:pPr>
        <w:pStyle w:val="ListBullet"/>
      </w:pPr>
      <w:r>
        <w:t>Material change to consent wording or privacy notices.</w:t>
      </w:r>
    </w:p>
    <w:p>
      <w:pPr>
        <w:pStyle w:val="ListBullet"/>
      </w:pPr>
      <w:r>
        <w:t>Significant complaint, incident, audit finding, or regulatory inquiry.</w:t>
      </w:r>
    </w:p>
    <w:p>
      <w:pPr>
        <w:pStyle w:val="ListBullet"/>
      </w:pPr>
      <w:r>
        <w:t>Change in business model, brand structure, affiliate arrangements, or partner marketing.</w:t>
      </w:r>
    </w:p>
    <w:p>
      <w:pPr>
        <w:pStyle w:val="ListBullet"/>
      </w:pPr>
      <w:r>
        <w:t>Expansion of marketing activities to new jurisdictions or audiences.</w:t>
      </w:r>
    </w:p>
    <w:p>
      <w:pPr>
        <w:pStyle w:val="ListBullet"/>
      </w:pPr>
      <w:r>
        <w:t>Evidence that opt-out, suppression, or consent controls are not operating effectively.</w:t>
      </w:r>
    </w:p>
    <w:p>
      <w:r>
        <w:t>The Data Protection Officer is responsible for coordinating the review. Marketing, Legal, CRM, Information Security, Procurement, Customer Service, and relevant business owners must participate where their processes are affected.</w:t>
      </w:r>
    </w:p>
    <w:p>
      <w:r>
        <w:t>Review activities must include:</w:t>
      </w:r>
    </w:p>
    <w:p>
      <w:pPr>
        <w:pStyle w:val="ListBullet"/>
      </w:pPr>
      <w:r>
        <w:t>Testing sample campaigns for valid opt-in consent.</w:t>
      </w:r>
    </w:p>
    <w:p>
      <w:pPr>
        <w:pStyle w:val="ListBullet"/>
      </w:pPr>
      <w:r>
        <w:t>Checking that consent wording remains clear and accurate.</w:t>
      </w:r>
    </w:p>
    <w:p>
      <w:pPr>
        <w:pStyle w:val="ListBullet"/>
      </w:pPr>
      <w:r>
        <w:t>Verifying that withdrawal mechanisms function correctly.</w:t>
      </w:r>
    </w:p>
    <w:p>
      <w:pPr>
        <w:pStyle w:val="ListBullet"/>
      </w:pPr>
      <w:r>
        <w:t>Reviewing suppression list effectiveness.</w:t>
      </w:r>
    </w:p>
    <w:p>
      <w:pPr>
        <w:pStyle w:val="ListBullet"/>
      </w:pPr>
      <w:r>
        <w:t>Confirming that sensitive personal data is not used in marketing.</w:t>
      </w:r>
    </w:p>
    <w:p>
      <w:pPr>
        <w:pStyle w:val="ListBullet"/>
      </w:pPr>
      <w:r>
        <w:t>Reviewing third-party processor compliance.</w:t>
      </w:r>
    </w:p>
    <w:p>
      <w:pPr>
        <w:pStyle w:val="ListBullet"/>
      </w:pPr>
      <w:r>
        <w:t>Assessing complaint trends and corrective actions.</w:t>
      </w:r>
    </w:p>
    <w:p>
      <w:pPr>
        <w:pStyle w:val="ListBullet"/>
      </w:pPr>
      <w:r>
        <w:t>Confirming staff awareness and training completion.</w:t>
      </w:r>
    </w:p>
    <w:p>
      <w:pPr>
        <w:pStyle w:val="ListBullet"/>
      </w:pPr>
      <w:r>
        <w:t>Updating templates, forms, system workflows, and guidance where required.</w:t>
      </w:r>
    </w:p>
    <w:p>
      <w:r>
        <w:t>Changes to this procedure must be approved by the Data Protection Officer and communicated to all affected teams before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