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Mgmt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[DOC-ID]</w:t>
            </w:r>
          </w:p>
        </w:tc>
      </w:tr>
      <w:tr>
        <w:tc>
          <w:tcPr>
            <w:tcW w:type="dxa" w:w="4320"/>
          </w:tcPr>
          <w:p>
            <w:r>
              <w:t>Version</w:t>
            </w:r>
          </w:p>
        </w:tc>
        <w:tc>
          <w:tcPr>
            <w:tcW w:type="dxa" w:w="4320"/>
          </w:tcPr>
          <w:p>
            <w:r>
              <w:t>1.0</w:t>
            </w:r>
          </w:p>
        </w:tc>
      </w:tr>
      <w:tr>
        <w:tc>
          <w:tcPr>
            <w:tcW w:type="dxa" w:w="4320"/>
          </w:tcPr>
          <w:p>
            <w:r>
              <w:t>Owner</w:t>
            </w:r>
          </w:p>
        </w:tc>
        <w:tc>
          <w:tcPr>
            <w:tcW w:type="dxa" w:w="4320"/>
          </w:tcPr>
          <w:p>
            <w:r>
              <w:t>Vendor Management Owner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SOC 2</w:t>
            </w:r>
          </w:p>
        </w:tc>
      </w:tr>
      <w:tr>
        <w:tc>
          <w:tcPr>
            <w:tcW w:type="dxa" w:w="4320"/>
          </w:tcPr>
          <w:p>
            <w:r>
              <w:t>Classification</w:t>
            </w:r>
          </w:p>
        </w:tc>
        <w:tc>
          <w:tcPr>
            <w:tcW w:type="dxa" w:w="4320"/>
          </w:tcPr>
          <w:p>
            <w:r>
              <w:t>Internal</w:t>
            </w:r>
          </w:p>
        </w:tc>
      </w:tr>
    </w:tbl>
    <w:p>
      <w:pPr>
        <w:pStyle w:val="Heading2"/>
      </w:pPr>
      <w:r>
        <w:t>Purpose</w:t>
      </w:r>
    </w:p>
    <w:p>
      <w:r>
        <w:t>The purpose of this Vendor Mgmt Policy is to establish mandatory requirements for identifying, assessing, onboarding, monitoring, and managing vendors and sub-service organizations that may affect the organization’s systems, data, service commitments, security obligations, availability commitments, confidentiality requirements, processing integrity, and privacy responsibilities.</w:t>
      </w:r>
    </w:p>
    <w:p>
      <w:r>
        <w:t>This policy ensures that third-party services are selected and managed based on risk, contractual obligations are clearly defined, and ongoing vendor performance and control effectiveness are monitored throughout the vendor lifecycle.</w:t>
      </w:r>
    </w:p>
    <w:p>
      <w:pPr>
        <w:pStyle w:val="Heading2"/>
      </w:pPr>
      <w:r>
        <w:t>Scope</w:t>
      </w:r>
    </w:p>
    <w:p>
      <w:r>
        <w:t>This policy applies to:</w:t>
      </w:r>
    </w:p>
    <w:p>
      <w:pPr>
        <w:pStyle w:val="ListBullet"/>
      </w:pPr>
      <w:r>
        <w:t>All employees, contractors, and business units that request, select, approve, manage, or terminate vendor relationships.</w:t>
      </w:r>
    </w:p>
    <w:p>
      <w:pPr>
        <w:pStyle w:val="ListBullet"/>
      </w:pPr>
      <w:r>
        <w:t>All vendors, suppliers, contractors, consultants, cloud service providers, managed service providers, data processors, software providers, infrastructure providers, and other sub-service organizations that provide goods or services to the organization.</w:t>
      </w:r>
    </w:p>
    <w:p>
      <w:pPr>
        <w:pStyle w:val="ListBullet"/>
      </w:pPr>
      <w:r>
        <w:t>Vendors that access, process, transmit, store, or support the organization’s data, customer data, production systems, corporate systems, security tools, infrastructure, or business processes.</w:t>
      </w:r>
    </w:p>
    <w:p>
      <w:pPr>
        <w:pStyle w:val="ListBullet"/>
      </w:pPr>
      <w:r>
        <w:t>Vendors that may affect the organization’s ability to meet customer commitments, service-level commitments, legal obligations, regulatory obligations, or contractual requirements.</w:t>
      </w:r>
    </w:p>
    <w:p>
      <w:r>
        <w:t>This policy applies throughout the full vendor lifecycle, including:</w:t>
      </w:r>
    </w:p>
    <w:p>
      <w:pPr>
        <w:pStyle w:val="ListBullet"/>
      </w:pPr>
      <w:r>
        <w:t>Vendor identification and business justification.</w:t>
      </w:r>
    </w:p>
    <w:p>
      <w:pPr>
        <w:pStyle w:val="ListBullet"/>
      </w:pPr>
      <w:r>
        <w:t>Risk assessment and due diligence.</w:t>
      </w:r>
    </w:p>
    <w:p>
      <w:pPr>
        <w:pStyle w:val="ListBullet"/>
      </w:pPr>
      <w:r>
        <w:t>Contract review and approval.</w:t>
      </w:r>
    </w:p>
    <w:p>
      <w:pPr>
        <w:pStyle w:val="ListBullet"/>
      </w:pPr>
      <w:r>
        <w:t>Vendor onboarding.</w:t>
      </w:r>
    </w:p>
    <w:p>
      <w:pPr>
        <w:pStyle w:val="ListBullet"/>
      </w:pPr>
      <w:r>
        <w:t>Access provisioning.</w:t>
      </w:r>
    </w:p>
    <w:p>
      <w:pPr>
        <w:pStyle w:val="ListBullet"/>
      </w:pPr>
      <w:r>
        <w:t>Ongoing monitoring.</w:t>
      </w:r>
    </w:p>
    <w:p>
      <w:pPr>
        <w:pStyle w:val="ListBullet"/>
      </w:pPr>
      <w:r>
        <w:t>Performance review.</w:t>
      </w:r>
    </w:p>
    <w:p>
      <w:pPr>
        <w:pStyle w:val="ListBullet"/>
      </w:pPr>
      <w:r>
        <w:t>Contract renewal.</w:t>
      </w:r>
    </w:p>
    <w:p>
      <w:pPr>
        <w:pStyle w:val="ListBullet"/>
      </w:pPr>
      <w:r>
        <w:t>Termination and offboarding.</w:t>
      </w:r>
    </w:p>
    <w:p>
      <w:r>
        <w:t>This policy does not replace procurement, legal, privacy, information security, finance, or contracting requirements. Where another internal policy imposes stricter requirements, the stricter requirement shall apply.</w:t>
      </w:r>
    </w:p>
    <w:p>
      <w:pPr>
        <w:pStyle w:val="Heading2"/>
      </w:pPr>
      <w:r>
        <w:t>Policy Statements</w:t>
      </w:r>
    </w:p>
    <w:p>
      <w:pPr>
        <w:pStyle w:val="ListBullet"/>
      </w:pPr>
      <w:r>
        <w:t>The organization shall maintain a centralized inventory of all active vendors and sub-service organizations used to support business operations, technology services, customer commitments, and internal control activities.</w:t>
      </w:r>
    </w:p>
    <w:p>
      <w:pPr>
        <w:pStyle w:val="ListBullet"/>
      </w:pPr>
      <w:r>
        <w:t>The vendor inventory shall include, at minimum, the vendor name, business owner, service description, risk rating, data handled, system access level, contract owner, contract start date, renewal or expiration date, review date, and current status.</w:t>
      </w:r>
    </w:p>
    <w:p>
      <w:pPr>
        <w:pStyle w:val="ListBullet"/>
      </w:pPr>
      <w:r>
        <w:t>All new vendors shall be reviewed and approved before any contract is signed, service is activated, data is shared, system access is granted, or purchase commitment is made.</w:t>
      </w:r>
    </w:p>
    <w:p>
      <w:pPr>
        <w:pStyle w:val="ListBullet"/>
      </w:pPr>
      <w:r>
        <w:t>Each vendor shall have an assigned internal business owner who is accountable for the vendor relationship, business justification, performance monitoring, risk review coordination, and timely completion of required vendor management activities.</w:t>
      </w:r>
    </w:p>
    <w:p>
      <w:pPr>
        <w:pStyle w:val="ListBullet"/>
      </w:pPr>
      <w:r>
        <w:t>Vendors shall be classified according to risk before onboarding using defined criteria that consider the type of service provided, access to systems, access to sensitive data, impact on customer-facing services, reliance on the vendor for critical operations, and contractual or regulatory obligations.</w:t>
      </w:r>
    </w:p>
    <w:p>
      <w:pPr>
        <w:pStyle w:val="ListBullet"/>
      </w:pPr>
      <w:r>
        <w:t>Vendors shall be assigned a risk rating of Critical, High, Medium, or Low, or an equivalent rating approved by the Vendor Management Owner.</w:t>
      </w:r>
    </w:p>
    <w:p>
      <w:pPr>
        <w:pStyle w:val="ListBullet"/>
      </w:pPr>
      <w:r>
        <w:t>Vendors that host, process, transmit, or store customer data, confidential information, production data, authentication credentials, encryption keys, or regulated data shall be subject to enhanced due diligence before approval.</w:t>
      </w:r>
    </w:p>
    <w:p>
      <w:pPr>
        <w:pStyle w:val="ListBullet"/>
      </w:pPr>
      <w:r>
        <w:t>Vendors that support production infrastructure, security operations, availability of customer services, incident response, backup and recovery, software development, payment processing, identity management, or other critical business functions shall be evaluated as higher-risk vendors unless a documented risk assessment supports a lower rating.</w:t>
      </w:r>
    </w:p>
    <w:p>
      <w:pPr>
        <w:pStyle w:val="ListBullet"/>
      </w:pPr>
      <w:r>
        <w:t>Vendor due diligence shall be commensurate with vendor risk and shall be completed before onboarding unless an approved exception is documented.</w:t>
      </w:r>
    </w:p>
    <w:p>
      <w:pPr>
        <w:pStyle w:val="ListBullet"/>
      </w:pPr>
      <w:r>
        <w:t>Due diligence for higher-risk vendors shall include, as applicable, review of security, availability, confidentiality, privacy, processing integrity, compliance, financial stability, operational resilience, incident response, business continuity, disaster recovery, insurance, and subcontractor management practices.</w:t>
      </w:r>
    </w:p>
    <w:p>
      <w:pPr>
        <w:pStyle w:val="ListBullet"/>
      </w:pPr>
      <w:r>
        <w:t>Vendor due diligence shall include review of independent assurance reports, security questionnaires, certifications, penetration test summaries, policies, privacy documentation, vulnerability management practices, and other relevant evidence where appropriate.</w:t>
      </w:r>
    </w:p>
    <w:p>
      <w:pPr>
        <w:pStyle w:val="ListBullet"/>
      </w:pPr>
      <w:r>
        <w:t>The organization shall evaluate whether a vendor uses its own subcontractors or sub-service organizations to deliver services to the organization and shall assess the associated risk where such reliance is material.</w:t>
      </w:r>
    </w:p>
    <w:p>
      <w:pPr>
        <w:pStyle w:val="ListBullet"/>
      </w:pPr>
      <w:r>
        <w:t>Vendors shall not be approved solely based on cost, convenience, business preference, or market reputation where risk assessment or due diligence identifies unresolved material risks.</w:t>
      </w:r>
    </w:p>
    <w:p>
      <w:pPr>
        <w:pStyle w:val="ListBullet"/>
      </w:pPr>
      <w:r>
        <w:t>Vendor approval shall be documented and retained, including evidence of risk rating, due diligence performed, approval decision, risk treatment requirements, and any conditions of use.</w:t>
      </w:r>
    </w:p>
    <w:p>
      <w:pPr>
        <w:pStyle w:val="ListBullet"/>
      </w:pPr>
      <w:r>
        <w:t>Contracts with vendors shall be executed before the vendor begins providing services, unless an approved exception permits temporary use.</w:t>
      </w:r>
    </w:p>
    <w:p>
      <w:pPr>
        <w:pStyle w:val="ListBullet"/>
      </w:pPr>
      <w:r>
        <w:t>Vendor contracts shall define the services to be provided, ownership of data, confidentiality obligations, security responsibilities, privacy requirements, service levels, availability expectations, support obligations, incident notification requirements, audit or assurance rights, termination rights, data return or destruction requirements, and liability provisions as applicable to the vendor risk level.</w:t>
      </w:r>
    </w:p>
    <w:p>
      <w:pPr>
        <w:pStyle w:val="ListBullet"/>
      </w:pPr>
      <w:r>
        <w:t>Contracts with vendors that access or process sensitive data shall require the vendor to protect such data using appropriate administrative, technical, and physical safeguards.</w:t>
      </w:r>
    </w:p>
    <w:p>
      <w:pPr>
        <w:pStyle w:val="ListBullet"/>
      </w:pPr>
      <w:r>
        <w:t>Contracts with vendors that process personal information shall include privacy, data protection, cross-border transfer, breach notification, deletion, retention, and data subject request obligations as applicable.</w:t>
      </w:r>
    </w:p>
    <w:p>
      <w:pPr>
        <w:pStyle w:val="ListBullet"/>
      </w:pPr>
      <w:r>
        <w:t>Contracts with vendors that materially support production services or customer commitments shall include service-level expectations or equivalent performance obligations.</w:t>
      </w:r>
    </w:p>
    <w:p>
      <w:pPr>
        <w:pStyle w:val="ListBullet"/>
      </w:pPr>
      <w:r>
        <w:t>Contracts with vendors that materially affect service availability shall include requirements for business continuity, disaster recovery, incident response, and timely communication of service disruptions.</w:t>
      </w:r>
    </w:p>
    <w:p>
      <w:pPr>
        <w:pStyle w:val="ListBullet"/>
      </w:pPr>
      <w:r>
        <w:t>Vendors shall be required to notify the organization of security incidents, data breaches, material service failures, significant control failures, or unauthorized access affecting the organization’s data, systems, or services within contractually defined timeframes.</w:t>
      </w:r>
    </w:p>
    <w:p>
      <w:pPr>
        <w:pStyle w:val="ListBullet"/>
      </w:pPr>
      <w:r>
        <w:t>Vendors shall be required to notify the organization of material changes that may affect service delivery, security posture, data processing, subcontractor usage, hosting location, compliance status, or ability to meet contractual obligations.</w:t>
      </w:r>
    </w:p>
    <w:p>
      <w:pPr>
        <w:pStyle w:val="ListBullet"/>
      </w:pPr>
      <w:r>
        <w:t>Vendors shall be granted access only to the systems, data, facilities, and resources necessary to perform approved services.</w:t>
      </w:r>
    </w:p>
    <w:p>
      <w:pPr>
        <w:pStyle w:val="ListBullet"/>
      </w:pPr>
      <w:r>
        <w:t>Vendor access shall be approved by the business owner and provisioned in accordance with the organization’s access control requirements.</w:t>
      </w:r>
    </w:p>
    <w:p>
      <w:pPr>
        <w:pStyle w:val="ListBullet"/>
      </w:pPr>
      <w:r>
        <w:t>Vendor access to production systems, administrative interfaces, sensitive data repositories, or security tooling shall require heightened review and approval.</w:t>
      </w:r>
    </w:p>
    <w:p>
      <w:pPr>
        <w:pStyle w:val="ListBullet"/>
      </w:pPr>
      <w:r>
        <w:t>Vendor access shall be time-bound where practical and shall be reviewed periodically based on risk.</w:t>
      </w:r>
    </w:p>
    <w:p>
      <w:pPr>
        <w:pStyle w:val="ListBullet"/>
      </w:pPr>
      <w:r>
        <w:t>Shared, generic, or unmanaged vendor accounts shall not be used unless explicitly approved through an exception and supported by compensating controls.</w:t>
      </w:r>
    </w:p>
    <w:p>
      <w:pPr>
        <w:pStyle w:val="ListBullet"/>
      </w:pPr>
      <w:r>
        <w:t>Vendors shall comply with the organization’s security, acceptable use, confidentiality, privacy, access, and incident reporting requirements where relevant to the services provided.</w:t>
      </w:r>
    </w:p>
    <w:p>
      <w:pPr>
        <w:pStyle w:val="ListBullet"/>
      </w:pPr>
      <w:r>
        <w:t>Vendor performance and risk shall be monitored throughout the relationship based on the vendor’s risk rating and business criticality.</w:t>
      </w:r>
    </w:p>
    <w:p>
      <w:pPr>
        <w:pStyle w:val="ListBullet"/>
      </w:pPr>
      <w:r>
        <w:t>Critical and High-risk vendors shall be reviewed at least annually.</w:t>
      </w:r>
    </w:p>
    <w:p>
      <w:pPr>
        <w:pStyle w:val="ListBullet"/>
      </w:pPr>
      <w:r>
        <w:t>Medium-risk vendors shall be reviewed at least every two years or more frequently where business conditions, risk profile, incidents, or contractual obligations require it.</w:t>
      </w:r>
    </w:p>
    <w:p>
      <w:pPr>
        <w:pStyle w:val="ListBullet"/>
      </w:pPr>
      <w:r>
        <w:t>Low-risk vendors shall be reviewed at renewal, upon material change, or at a frequency approved by the Vendor Management Owner.</w:t>
      </w:r>
    </w:p>
    <w:p>
      <w:pPr>
        <w:pStyle w:val="ListBullet"/>
      </w:pPr>
      <w:r>
        <w:t>Ongoing monitoring shall include assessment of service performance, security posture, incident history, open issues, control evidence, contractual compliance, changes in services, and continued business need where applicable.</w:t>
      </w:r>
    </w:p>
    <w:p>
      <w:pPr>
        <w:pStyle w:val="ListBullet"/>
      </w:pPr>
      <w:r>
        <w:t>The organization shall track and manage vendor issues, risks, remediation actions, and exceptions through closure.</w:t>
      </w:r>
    </w:p>
    <w:p>
      <w:pPr>
        <w:pStyle w:val="ListBullet"/>
      </w:pPr>
      <w:r>
        <w:t>Vendor issues that present material risk to the organization or customers shall be escalated to appropriate leadership, information security, legal, privacy, or risk management stakeholders.</w:t>
      </w:r>
    </w:p>
    <w:p>
      <w:pPr>
        <w:pStyle w:val="ListBullet"/>
      </w:pPr>
      <w:r>
        <w:t>Business owners shall review vendor relationships before contract renewal to confirm continued need, acceptable performance, current risk rating, completion of required reviews, and continued compliance with contractual obligations.</w:t>
      </w:r>
    </w:p>
    <w:p>
      <w:pPr>
        <w:pStyle w:val="ListBullet"/>
      </w:pPr>
      <w:r>
        <w:t>Vendors shall not be renewed where material unresolved risks remain without documented acceptance by authorized leadership.</w:t>
      </w:r>
    </w:p>
    <w:p>
      <w:pPr>
        <w:pStyle w:val="ListBullet"/>
      </w:pPr>
      <w:r>
        <w:t>The organization shall maintain a list of vendors and sub-service organizations that are relevant to customer commitments where such transparency is required by contract or business practice.</w:t>
      </w:r>
    </w:p>
    <w:p>
      <w:pPr>
        <w:pStyle w:val="ListBullet"/>
      </w:pPr>
      <w:r>
        <w:t>Customers shall be notified of changes to material sub-service organizations where required by contract, customer commitment, or internal standard.</w:t>
      </w:r>
    </w:p>
    <w:p>
      <w:pPr>
        <w:pStyle w:val="ListBullet"/>
      </w:pPr>
      <w:r>
        <w:t>The organization shall ensure that vendor offboarding is completed when services are terminated, contracts expire, or access is no longer required.</w:t>
      </w:r>
    </w:p>
    <w:p>
      <w:pPr>
        <w:pStyle w:val="ListBullet"/>
      </w:pPr>
      <w:r>
        <w:t>Vendor offboarding shall include revocation of system access, return or destruction of data, recovery of company assets, termination of integrations, removal of credentials, confirmation of final deliverables, and documentation of closure activities as applicable.</w:t>
      </w:r>
    </w:p>
    <w:p>
      <w:pPr>
        <w:pStyle w:val="ListBullet"/>
      </w:pPr>
      <w:r>
        <w:t>The organization shall retain vendor management records in accordance with legal, contractual, business, and evidence retention requirements.</w:t>
      </w:r>
    </w:p>
    <w:p>
      <w:pPr>
        <w:pStyle w:val="ListBullet"/>
      </w:pPr>
      <w:r>
        <w:t>The following minimum vendor review schedule shall apply unless a stricter requirement is established by contract, law, customer commitment, or internal risk decision: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Vendor Risk Rating</w:t>
            </w:r>
          </w:p>
        </w:tc>
        <w:tc>
          <w:tcPr>
            <w:tcW w:type="dxa" w:w="2160"/>
          </w:tcPr>
          <w:p>
            <w:r>
              <w:t>Minimum Due Diligence Before Onboarding</w:t>
            </w:r>
          </w:p>
        </w:tc>
        <w:tc>
          <w:tcPr>
            <w:tcW w:type="dxa" w:w="2160"/>
          </w:tcPr>
          <w:p>
            <w:r>
              <w:t>Ongoing Review Frequency</w:t>
            </w:r>
          </w:p>
        </w:tc>
        <w:tc>
          <w:tcPr>
            <w:tcW w:type="dxa" w:w="2160"/>
          </w:tcPr>
          <w:p>
            <w:r>
              <w:t>Approval Requirement</w:t>
            </w:r>
          </w:p>
        </w:tc>
      </w:tr>
      <w:tr>
        <w:tc>
          <w:tcPr>
            <w:tcW w:type="dxa" w:w="2160"/>
          </w:tcPr>
          <w:p>
            <w:r>
              <w:t>Critical</w:t>
            </w:r>
          </w:p>
        </w:tc>
        <w:tc>
          <w:tcPr>
            <w:tcW w:type="dxa" w:w="2160"/>
          </w:tcPr>
          <w:p>
            <w:r>
              <w:t>Full risk assessment, security review, contractual review, privacy review where applicable, assurance evidence review, business continuity review</w:t>
            </w:r>
          </w:p>
        </w:tc>
        <w:tc>
          <w:tcPr>
            <w:tcW w:type="dxa" w:w="2160"/>
          </w:tcPr>
          <w:p>
            <w:r>
              <w:t>At least annually</w:t>
            </w:r>
          </w:p>
        </w:tc>
        <w:tc>
          <w:tcPr>
            <w:tcW w:type="dxa" w:w="2160"/>
          </w:tcPr>
          <w:p>
            <w:r>
              <w:t>Business Owner, Information Security, Legal or Privacy as applicable, Vendor Management Owner</w:t>
            </w:r>
          </w:p>
        </w:tc>
      </w:tr>
      <w:tr>
        <w:tc>
          <w:tcPr>
            <w:tcW w:type="dxa" w:w="2160"/>
          </w:tcPr>
          <w:p>
            <w:r>
              <w:t>High</w:t>
            </w:r>
          </w:p>
        </w:tc>
        <w:tc>
          <w:tcPr>
            <w:tcW w:type="dxa" w:w="2160"/>
          </w:tcPr>
          <w:p>
            <w:r>
              <w:t>Risk assessment, security review, contractual review, privacy review where applicable, assurance evidence review</w:t>
            </w:r>
          </w:p>
        </w:tc>
        <w:tc>
          <w:tcPr>
            <w:tcW w:type="dxa" w:w="2160"/>
          </w:tcPr>
          <w:p>
            <w:r>
              <w:t>At least annually</w:t>
            </w:r>
          </w:p>
        </w:tc>
        <w:tc>
          <w:tcPr>
            <w:tcW w:type="dxa" w:w="2160"/>
          </w:tcPr>
          <w:p>
            <w:r>
              <w:t>Business Owner, Information Security, Legal or Privacy as applicable</w:t>
            </w:r>
          </w:p>
        </w:tc>
      </w:tr>
      <w:tr>
        <w:tc>
          <w:tcPr>
            <w:tcW w:type="dxa" w:w="2160"/>
          </w:tcPr>
          <w:p>
            <w:r>
              <w:t>Medium</w:t>
            </w:r>
          </w:p>
        </w:tc>
        <w:tc>
          <w:tcPr>
            <w:tcW w:type="dxa" w:w="2160"/>
          </w:tcPr>
          <w:p>
            <w:r>
              <w:t>Risk assessment, contract review, targeted security or privacy review where applicable</w:t>
            </w:r>
          </w:p>
        </w:tc>
        <w:tc>
          <w:tcPr>
            <w:tcW w:type="dxa" w:w="2160"/>
          </w:tcPr>
          <w:p>
            <w:r>
              <w:t>At least every two years</w:t>
            </w:r>
          </w:p>
        </w:tc>
        <w:tc>
          <w:tcPr>
            <w:tcW w:type="dxa" w:w="2160"/>
          </w:tcPr>
          <w:p>
            <w:r>
              <w:t>Business Owner and Vendor Management Owner or delegate</w:t>
            </w:r>
          </w:p>
        </w:tc>
      </w:tr>
      <w:tr>
        <w:tc>
          <w:tcPr>
            <w:tcW w:type="dxa" w:w="2160"/>
          </w:tcPr>
          <w:p>
            <w:r>
              <w:t>Low</w:t>
            </w:r>
          </w:p>
        </w:tc>
        <w:tc>
          <w:tcPr>
            <w:tcW w:type="dxa" w:w="2160"/>
          </w:tcPr>
          <w:p>
            <w:r>
              <w:t>Basic vendor record, business justification, standard contract or purchase approval</w:t>
            </w:r>
          </w:p>
        </w:tc>
        <w:tc>
          <w:tcPr>
            <w:tcW w:type="dxa" w:w="2160"/>
          </w:tcPr>
          <w:p>
            <w:r>
              <w:t>At renewal or upon material change</w:t>
            </w:r>
          </w:p>
        </w:tc>
        <w:tc>
          <w:tcPr>
            <w:tcW w:type="dxa" w:w="2160"/>
          </w:tcPr>
          <w:p>
            <w:r>
              <w:t>Business Owner</w:t>
            </w:r>
          </w:p>
        </w:tc>
      </w:tr>
    </w:tbl>
    <w:p>
      <w:pPr>
        <w:pStyle w:val="ListBullet"/>
      </w:pPr>
      <w:r>
        <w:t>The following minimum vendor inventory fields shall be maintained: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Vendor Name</w:t>
            </w:r>
          </w:p>
        </w:tc>
        <w:tc>
          <w:tcPr>
            <w:tcW w:type="dxa" w:w="4320"/>
          </w:tcPr>
          <w:p>
            <w:r>
              <w:t>Legal or commonly used vendor name</w:t>
            </w:r>
          </w:p>
        </w:tc>
      </w:tr>
      <w:tr>
        <w:tc>
          <w:tcPr>
            <w:tcW w:type="dxa" w:w="4320"/>
          </w:tcPr>
          <w:p>
            <w:r>
              <w:t>Business Owner</w:t>
            </w:r>
          </w:p>
        </w:tc>
        <w:tc>
          <w:tcPr>
            <w:tcW w:type="dxa" w:w="4320"/>
          </w:tcPr>
          <w:p>
            <w:r>
              <w:t>Internal accountable owner</w:t>
            </w:r>
          </w:p>
        </w:tc>
      </w:tr>
      <w:tr>
        <w:tc>
          <w:tcPr>
            <w:tcW w:type="dxa" w:w="4320"/>
          </w:tcPr>
          <w:p>
            <w:r>
              <w:t>Service Description</w:t>
            </w:r>
          </w:p>
        </w:tc>
        <w:tc>
          <w:tcPr>
            <w:tcW w:type="dxa" w:w="4320"/>
          </w:tcPr>
          <w:p>
            <w:r>
              <w:t>Summary of services provided</w:t>
            </w:r>
          </w:p>
        </w:tc>
      </w:tr>
      <w:tr>
        <w:tc>
          <w:tcPr>
            <w:tcW w:type="dxa" w:w="4320"/>
          </w:tcPr>
          <w:p>
            <w:r>
              <w:t>Risk Rating</w:t>
            </w:r>
          </w:p>
        </w:tc>
        <w:tc>
          <w:tcPr>
            <w:tcW w:type="dxa" w:w="4320"/>
          </w:tcPr>
          <w:p>
            <w:r>
              <w:t>Critical, High, Medium, Low, or approved equivalent</w:t>
            </w:r>
          </w:p>
        </w:tc>
      </w:tr>
      <w:tr>
        <w:tc>
          <w:tcPr>
            <w:tcW w:type="dxa" w:w="4320"/>
          </w:tcPr>
          <w:p>
            <w:r>
              <w:t>Data Access</w:t>
            </w:r>
          </w:p>
        </w:tc>
        <w:tc>
          <w:tcPr>
            <w:tcW w:type="dxa" w:w="4320"/>
          </w:tcPr>
          <w:p>
            <w:r>
              <w:t>Type and sensitivity of data accessed, processed, stored, or transmitted</w:t>
            </w:r>
          </w:p>
        </w:tc>
      </w:tr>
      <w:tr>
        <w:tc>
          <w:tcPr>
            <w:tcW w:type="dxa" w:w="4320"/>
          </w:tcPr>
          <w:p>
            <w:r>
              <w:t>System Access</w:t>
            </w:r>
          </w:p>
        </w:tc>
        <w:tc>
          <w:tcPr>
            <w:tcW w:type="dxa" w:w="4320"/>
          </w:tcPr>
          <w:p>
            <w:r>
              <w:t>Description of systems, environments, integrations, or administrative access</w:t>
            </w:r>
          </w:p>
        </w:tc>
      </w:tr>
      <w:tr>
        <w:tc>
          <w:tcPr>
            <w:tcW w:type="dxa" w:w="4320"/>
          </w:tcPr>
          <w:p>
            <w:r>
              <w:t>Sub-service Organization Relevance</w:t>
            </w:r>
          </w:p>
        </w:tc>
        <w:tc>
          <w:tcPr>
            <w:tcW w:type="dxa" w:w="4320"/>
          </w:tcPr>
          <w:p>
            <w:r>
              <w:t>Whether the vendor supports customer-facing services or material internal controls</w:t>
            </w:r>
          </w:p>
        </w:tc>
      </w:tr>
      <w:tr>
        <w:tc>
          <w:tcPr>
            <w:tcW w:type="dxa" w:w="4320"/>
          </w:tcPr>
          <w:p>
            <w:r>
              <w:t>Contract Owner</w:t>
            </w:r>
          </w:p>
        </w:tc>
        <w:tc>
          <w:tcPr>
            <w:tcW w:type="dxa" w:w="4320"/>
          </w:tcPr>
          <w:p>
            <w:r>
              <w:t>Person or function responsible for contract management</w:t>
            </w:r>
          </w:p>
        </w:tc>
      </w:tr>
      <w:tr>
        <w:tc>
          <w:tcPr>
            <w:tcW w:type="dxa" w:w="4320"/>
          </w:tcPr>
          <w:p>
            <w:r>
              <w:t>Contract Dates</w:t>
            </w:r>
          </w:p>
        </w:tc>
        <w:tc>
          <w:tcPr>
            <w:tcW w:type="dxa" w:w="4320"/>
          </w:tcPr>
          <w:p>
            <w:r>
              <w:t>Start date, renewal date, and expiration date where applicable</w:t>
            </w:r>
          </w:p>
        </w:tc>
      </w:tr>
      <w:tr>
        <w:tc>
          <w:tcPr>
            <w:tcW w:type="dxa" w:w="4320"/>
          </w:tcPr>
          <w:p>
            <w:r>
              <w:t>Review Date</w:t>
            </w:r>
          </w:p>
        </w:tc>
        <w:tc>
          <w:tcPr>
            <w:tcW w:type="dxa" w:w="4320"/>
          </w:tcPr>
          <w:p>
            <w:r>
              <w:t>Last completed review and next scheduled review</w:t>
            </w:r>
          </w:p>
        </w:tc>
      </w:tr>
      <w:tr>
        <w:tc>
          <w:tcPr>
            <w:tcW w:type="dxa" w:w="4320"/>
          </w:tcPr>
          <w:p>
            <w:r>
              <w:t>Status</w:t>
            </w:r>
          </w:p>
        </w:tc>
        <w:tc>
          <w:tcPr>
            <w:tcW w:type="dxa" w:w="4320"/>
          </w:tcPr>
          <w:p>
            <w:r>
              <w:t>Proposed, active, pending renewal, suspended, terminated, or archived</w:t>
            </w:r>
          </w:p>
        </w:tc>
      </w:tr>
      <w:tr>
        <w:tc>
          <w:tcPr>
            <w:tcW w:type="dxa" w:w="4320"/>
          </w:tcPr>
          <w:p>
            <w:r>
              <w:t>Key Evidence</w:t>
            </w:r>
          </w:p>
        </w:tc>
        <w:tc>
          <w:tcPr>
            <w:tcW w:type="dxa" w:w="4320"/>
          </w:tcPr>
          <w:p>
            <w:r>
              <w:t>Location or reference to due diligence, approvals, contract, and monitoring records</w:t>
            </w:r>
          </w:p>
        </w:tc>
      </w:tr>
    </w:tbl>
    <w:p>
      <w:pPr>
        <w:pStyle w:val="ListBullet"/>
      </w:pPr>
      <w:r>
        <w:t>The following minimum event-based review triggers shall apply:</w:t>
      </w:r>
    </w:p>
    <w:tbl>
      <w:tblPr>
        <w:tblStyle w:val="TableGrid"/>
        <w:tblW w:type="auto" w:w="0"/>
        <w:tblLook w:firstColumn="1" w:firstRow="1" w:lastColumn="0" w:lastRow="0" w:noHBand="0" w:noVBand="1" w:val="04A0"/>
      </w:tblPr>
      <w:tblGrid>
        <w:gridCol w:w="4320"/>
        <w:gridCol w:w="4320"/>
      </w:tblGrid>
      <w:tr>
        <w:tc>
          <w:tcPr>
            <w:tcW w:type="dxa" w:w="4320"/>
          </w:tcPr>
          <w:p>
            <w:r>
              <w:t>Trigger Event</w:t>
            </w:r>
          </w:p>
        </w:tc>
        <w:tc>
          <w:tcPr>
            <w:tcW w:type="dxa" w:w="4320"/>
          </w:tcPr>
          <w:p>
            <w:r>
              <w:t>Required Action</w:t>
            </w:r>
          </w:p>
        </w:tc>
      </w:tr>
      <w:tr>
        <w:tc>
          <w:tcPr>
            <w:tcW w:type="dxa" w:w="4320"/>
          </w:tcPr>
          <w:p>
            <w:r>
              <w:t>New vendor request</w:t>
            </w:r>
          </w:p>
        </w:tc>
        <w:tc>
          <w:tcPr>
            <w:tcW w:type="dxa" w:w="4320"/>
          </w:tcPr>
          <w:p>
            <w:r>
              <w:t>Complete risk rating and due diligence before approval</w:t>
            </w:r>
          </w:p>
        </w:tc>
      </w:tr>
      <w:tr>
        <w:tc>
          <w:tcPr>
            <w:tcW w:type="dxa" w:w="4320"/>
          </w:tcPr>
          <w:p>
            <w:r>
              <w:t>New access to sensitive data or systems</w:t>
            </w:r>
          </w:p>
        </w:tc>
        <w:tc>
          <w:tcPr>
            <w:tcW w:type="dxa" w:w="4320"/>
          </w:tcPr>
          <w:p>
            <w:r>
              <w:t>Reassess vendor risk and approve access before provisioning</w:t>
            </w:r>
          </w:p>
        </w:tc>
      </w:tr>
      <w:tr>
        <w:tc>
          <w:tcPr>
            <w:tcW w:type="dxa" w:w="4320"/>
          </w:tcPr>
          <w:p>
            <w:r>
              <w:t>Material change in service scope</w:t>
            </w:r>
          </w:p>
        </w:tc>
        <w:tc>
          <w:tcPr>
            <w:tcW w:type="dxa" w:w="4320"/>
          </w:tcPr>
          <w:p>
            <w:r>
              <w:t>Reassess risk and update contract or controls where needed</w:t>
            </w:r>
          </w:p>
        </w:tc>
      </w:tr>
      <w:tr>
        <w:tc>
          <w:tcPr>
            <w:tcW w:type="dxa" w:w="4320"/>
          </w:tcPr>
          <w:p>
            <w:r>
              <w:t>Vendor security incident or service outage</w:t>
            </w:r>
          </w:p>
        </w:tc>
        <w:tc>
          <w:tcPr>
            <w:tcW w:type="dxa" w:w="4320"/>
          </w:tcPr>
          <w:p>
            <w:r>
              <w:t>Assess impact, track remediation, and escalate as appropriate</w:t>
            </w:r>
          </w:p>
        </w:tc>
      </w:tr>
      <w:tr>
        <w:tc>
          <w:tcPr>
            <w:tcW w:type="dxa" w:w="4320"/>
          </w:tcPr>
          <w:p>
            <w:r>
              <w:t>Change in subcontractor or hosting location</w:t>
            </w:r>
          </w:p>
        </w:tc>
        <w:tc>
          <w:tcPr>
            <w:tcW w:type="dxa" w:w="4320"/>
          </w:tcPr>
          <w:p>
            <w:r>
              <w:t>Review risk and contractual implications</w:t>
            </w:r>
          </w:p>
        </w:tc>
      </w:tr>
      <w:tr>
        <w:tc>
          <w:tcPr>
            <w:tcW w:type="dxa" w:w="4320"/>
          </w:tcPr>
          <w:p>
            <w:r>
              <w:t>Contract renewal</w:t>
            </w:r>
          </w:p>
        </w:tc>
        <w:tc>
          <w:tcPr>
            <w:tcW w:type="dxa" w:w="4320"/>
          </w:tcPr>
          <w:p>
            <w:r>
              <w:t>Confirm business need, risk status, performance, and required evidence</w:t>
            </w:r>
          </w:p>
        </w:tc>
      </w:tr>
      <w:tr>
        <w:tc>
          <w:tcPr>
            <w:tcW w:type="dxa" w:w="4320"/>
          </w:tcPr>
          <w:p>
            <w:r>
              <w:t>Termination of service</w:t>
            </w:r>
          </w:p>
        </w:tc>
        <w:tc>
          <w:tcPr>
            <w:tcW w:type="dxa" w:w="4320"/>
          </w:tcPr>
          <w:p>
            <w:r>
              <w:t>Complete offboarding and confirm access removal and data handling</w:t>
            </w:r>
          </w:p>
        </w:tc>
      </w:tr>
    </w:tbl>
    <w:p>
      <w:pPr>
        <w:pStyle w:val="ListBullet"/>
      </w:pPr>
      <w:r>
        <w:t>Vendors shall not be used in a manner that bypasses established procurement, security, legal, privacy, finance, or vendor management review requirements.</w:t>
      </w:r>
    </w:p>
    <w:p>
      <w:pPr>
        <w:pStyle w:val="ListBullet"/>
      </w:pPr>
      <w:r>
        <w:t>Employees shall not upload, share, transmit, or store organization data or customer data with unapproved vendors or unapproved services.</w:t>
      </w:r>
    </w:p>
    <w:p>
      <w:pPr>
        <w:pStyle w:val="ListBullet"/>
      </w:pPr>
      <w:r>
        <w:t>The organization shall maintain evidence demonstrating that vendor risks are identified, assessed, approved, monitored, and addressed throughout the vendor lifecycle.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Provides oversight for vendor risk management, supports enforcement of this policy, and approves material vendor risk acceptance where required.</w:t>
            </w:r>
          </w:p>
        </w:tc>
      </w:tr>
      <w:tr>
        <w:tc>
          <w:tcPr>
            <w:tcW w:type="dxa" w:w="4320"/>
          </w:tcPr>
          <w:p>
            <w:r>
              <w:t>Vendor Management Owner</w:t>
            </w:r>
          </w:p>
        </w:tc>
        <w:tc>
          <w:tcPr>
            <w:tcW w:type="dxa" w:w="4320"/>
          </w:tcPr>
          <w:p>
            <w:r>
              <w:t>Owns this policy, maintains the vendor management process, defines vendor risk criteria, maintains the vendor inventory, monitors review completion, and reports vendor risk status to leadership.</w:t>
            </w:r>
          </w:p>
        </w:tc>
      </w:tr>
      <w:tr>
        <w:tc>
          <w:tcPr>
            <w:tcW w:type="dxa" w:w="4320"/>
          </w:tcPr>
          <w:p>
            <w:r>
              <w:t>Business Owner</w:t>
            </w:r>
          </w:p>
        </w:tc>
        <w:tc>
          <w:tcPr>
            <w:tcW w:type="dxa" w:w="4320"/>
          </w:tcPr>
          <w:p>
            <w:r>
              <w:t>Sponsors the vendor relationship, documents business need, initiates vendor review, confirms service requirements, monitors vendor performance, supports risk assessments, and ensures timely renewal or termination decisions.</w:t>
            </w:r>
          </w:p>
        </w:tc>
      </w:tr>
      <w:tr>
        <w:tc>
          <w:tcPr>
            <w:tcW w:type="dxa" w:w="4320"/>
          </w:tcPr>
          <w:p>
            <w:r>
              <w:t>Information Security</w:t>
            </w:r>
          </w:p>
        </w:tc>
        <w:tc>
          <w:tcPr>
            <w:tcW w:type="dxa" w:w="4320"/>
          </w:tcPr>
          <w:p>
            <w:r>
              <w:t>Performs security due diligence, evaluates vendor security posture, reviews assurance evidence, identifies security risks, recommends controls, and supports incident response for vendor-related security events.</w:t>
            </w:r>
          </w:p>
        </w:tc>
      </w:tr>
      <w:tr>
        <w:tc>
          <w:tcPr>
            <w:tcW w:type="dxa" w:w="4320"/>
          </w:tcPr>
          <w:p>
            <w:r>
              <w:t>Legal</w:t>
            </w:r>
          </w:p>
        </w:tc>
        <w:tc>
          <w:tcPr>
            <w:tcW w:type="dxa" w:w="4320"/>
          </w:tcPr>
          <w:p>
            <w:r>
              <w:t>Reviews and approves contractual terms, including confidentiality, liability, termination, audit rights, service commitments, breach notification, intellectual property, and data protection provisions where applicable.</w:t>
            </w:r>
          </w:p>
        </w:tc>
      </w:tr>
      <w:tr>
        <w:tc>
          <w:tcPr>
            <w:tcW w:type="dxa" w:w="4320"/>
          </w:tcPr>
          <w:p>
            <w:r>
              <w:t>Privacy or Data Protection Function</w:t>
            </w:r>
          </w:p>
        </w:tc>
        <w:tc>
          <w:tcPr>
            <w:tcW w:type="dxa" w:w="4320"/>
          </w:tcPr>
          <w:p>
            <w:r>
              <w:t>Reviews vendors that process personal information, assesses privacy obligations, supports data processing terms, and advises on privacy-related risks and requirements.</w:t>
            </w:r>
          </w:p>
        </w:tc>
      </w:tr>
      <w:tr>
        <w:tc>
          <w:tcPr>
            <w:tcW w:type="dxa" w:w="4320"/>
          </w:tcPr>
          <w:p>
            <w:r>
              <w:t>Procurement or Finance</w:t>
            </w:r>
          </w:p>
        </w:tc>
        <w:tc>
          <w:tcPr>
            <w:tcW w:type="dxa" w:w="4320"/>
          </w:tcPr>
          <w:p>
            <w:r>
              <w:t>Ensures purchasing activity follows approved procurement processes, verifies required approvals before purchase, and supports contract and renewal tracking.</w:t>
            </w:r>
          </w:p>
        </w:tc>
      </w:tr>
      <w:tr>
        <w:tc>
          <w:tcPr>
            <w:tcW w:type="dxa" w:w="4320"/>
          </w:tcPr>
          <w:p>
            <w:r>
              <w:t>IT or System Owners</w:t>
            </w:r>
          </w:p>
        </w:tc>
        <w:tc>
          <w:tcPr>
            <w:tcW w:type="dxa" w:w="4320"/>
          </w:tcPr>
          <w:p>
            <w:r>
              <w:t>Approve and manage vendor technical access, integrations, credentials, connectivity, and access termination in accordance with access control requirements.</w:t>
            </w:r>
          </w:p>
        </w:tc>
      </w:tr>
      <w:tr>
        <w:tc>
          <w:tcPr>
            <w:tcW w:type="dxa" w:w="4320"/>
          </w:tcPr>
          <w:p>
            <w:r>
              <w:t>Risk or Compliance Function</w:t>
            </w:r>
          </w:p>
        </w:tc>
        <w:tc>
          <w:tcPr>
            <w:tcW w:type="dxa" w:w="4320"/>
          </w:tcPr>
          <w:p>
            <w:r>
              <w:t>Supports risk methodology, monitors compliance with this policy, validates evidence, coordinates internal readiness activities, and reports exceptions or control gaps.</w:t>
            </w:r>
          </w:p>
        </w:tc>
      </w:tr>
      <w:tr>
        <w:tc>
          <w:tcPr>
            <w:tcW w:type="dxa" w:w="4320"/>
          </w:tcPr>
          <w:p>
            <w:r>
              <w:t>Employees and Contractors</w:t>
            </w:r>
          </w:p>
        </w:tc>
        <w:tc>
          <w:tcPr>
            <w:tcW w:type="dxa" w:w="4320"/>
          </w:tcPr>
          <w:p>
            <w:r>
              <w:t>Use only approved vendors, follow onboarding and data sharing requirements, report vendor concerns, and comply with this policy when engaging third parties.</w:t>
            </w:r>
          </w:p>
        </w:tc>
      </w:tr>
    </w:tbl>
    <w:p>
      <w:pPr>
        <w:pStyle w:val="Heading2"/>
      </w:pPr>
      <w:r>
        <w:t>Compliance, Monitoring &amp; Enforcement</w:t>
      </w:r>
    </w:p>
    <w:p>
      <w:r>
        <w:t>Compliance with this policy is mandatory. The organization shall monitor adherence through periodic review of vendor records, onboarding approvals, due diligence evidence, contract status, access records, renewal activities, issue tracking, and offboarding documentation.</w:t>
      </w:r>
    </w:p>
    <w:p>
      <w:r>
        <w:t>The Vendor Management Owner shall maintain reporting that includes, at minimum:</w:t>
      </w:r>
    </w:p>
    <w:p>
      <w:pPr>
        <w:pStyle w:val="ListBullet"/>
      </w:pPr>
      <w:r>
        <w:t>Number of active vendors by risk rating.</w:t>
      </w:r>
    </w:p>
    <w:p>
      <w:pPr>
        <w:pStyle w:val="ListBullet"/>
      </w:pPr>
      <w:r>
        <w:t>Upcoming vendor reviews and renewals.</w:t>
      </w:r>
    </w:p>
    <w:p>
      <w:pPr>
        <w:pStyle w:val="ListBullet"/>
      </w:pPr>
      <w:r>
        <w:t>Overdue vendor reviews.</w:t>
      </w:r>
    </w:p>
    <w:p>
      <w:pPr>
        <w:pStyle w:val="ListBullet"/>
      </w:pPr>
      <w:r>
        <w:t>High-risk or critical vendors without current assurance evidence.</w:t>
      </w:r>
    </w:p>
    <w:p>
      <w:pPr>
        <w:pStyle w:val="ListBullet"/>
      </w:pPr>
      <w:r>
        <w:t>Open vendor issues and remediation status.</w:t>
      </w:r>
    </w:p>
    <w:p>
      <w:pPr>
        <w:pStyle w:val="ListBullet"/>
      </w:pPr>
      <w:r>
        <w:t>Approved exceptions and upcoming exception expirations.</w:t>
      </w:r>
    </w:p>
    <w:p>
      <w:pPr>
        <w:pStyle w:val="ListBullet"/>
      </w:pPr>
      <w:r>
        <w:t>Vendor incidents or material service failures.</w:t>
      </w:r>
    </w:p>
    <w:p>
      <w:pPr>
        <w:pStyle w:val="ListBullet"/>
      </w:pPr>
      <w:r>
        <w:t>Vendor offboarding completion status.</w:t>
      </w:r>
    </w:p>
    <w:p>
      <w:r>
        <w:t>The organization shall perform periodic testing or internal review of vendor management activities to confirm that:</w:t>
      </w:r>
    </w:p>
    <w:p>
      <w:pPr>
        <w:pStyle w:val="ListBullet"/>
      </w:pPr>
      <w:r>
        <w:t>Vendors are recorded in the centralized inventory.</w:t>
      </w:r>
    </w:p>
    <w:p>
      <w:pPr>
        <w:pStyle w:val="ListBullet"/>
      </w:pPr>
      <w:r>
        <w:t>Risk ratings are assigned and current.</w:t>
      </w:r>
    </w:p>
    <w:p>
      <w:pPr>
        <w:pStyle w:val="ListBullet"/>
      </w:pPr>
      <w:r>
        <w:t>Required due diligence is completed before onboarding.</w:t>
      </w:r>
    </w:p>
    <w:p>
      <w:pPr>
        <w:pStyle w:val="ListBullet"/>
      </w:pPr>
      <w:r>
        <w:t>Higher-risk vendors have appropriate evidence and approvals.</w:t>
      </w:r>
    </w:p>
    <w:p>
      <w:pPr>
        <w:pStyle w:val="ListBullet"/>
      </w:pPr>
      <w:r>
        <w:t>Contracts include required security, confidentiality, privacy, incident, and termination terms where applicable.</w:t>
      </w:r>
    </w:p>
    <w:p>
      <w:pPr>
        <w:pStyle w:val="ListBullet"/>
      </w:pPr>
      <w:r>
        <w:t>Vendor access is approved, appropriate, and removed when no longer needed.</w:t>
      </w:r>
    </w:p>
    <w:p>
      <w:pPr>
        <w:pStyle w:val="ListBullet"/>
      </w:pPr>
      <w:r>
        <w:t>Ongoing reviews are performed according to required frequency.</w:t>
      </w:r>
    </w:p>
    <w:p>
      <w:pPr>
        <w:pStyle w:val="ListBullet"/>
      </w:pPr>
      <w:r>
        <w:t>Vendor issues are tracked and remediated.</w:t>
      </w:r>
    </w:p>
    <w:p>
      <w:pPr>
        <w:pStyle w:val="ListBullet"/>
      </w:pPr>
      <w:r>
        <w:t>Terminated vendors are offboarded completely.</w:t>
      </w:r>
    </w:p>
    <w:p>
      <w:r>
        <w:t>Non-compliance with this policy may result in one or more of the following actions:</w:t>
      </w:r>
    </w:p>
    <w:p>
      <w:pPr>
        <w:pStyle w:val="ListBullet"/>
      </w:pPr>
      <w:r>
        <w:t>Suspension of vendor onboarding or use.</w:t>
      </w:r>
    </w:p>
    <w:p>
      <w:pPr>
        <w:pStyle w:val="ListBullet"/>
      </w:pPr>
      <w:r>
        <w:t>Revocation of vendor access.</w:t>
      </w:r>
    </w:p>
    <w:p>
      <w:pPr>
        <w:pStyle w:val="ListBullet"/>
      </w:pPr>
      <w:r>
        <w:t>Required remediation plan.</w:t>
      </w:r>
    </w:p>
    <w:p>
      <w:pPr>
        <w:pStyle w:val="ListBullet"/>
      </w:pPr>
      <w:r>
        <w:t>Escalation to management.</w:t>
      </w:r>
    </w:p>
    <w:p>
      <w:pPr>
        <w:pStyle w:val="ListBullet"/>
      </w:pPr>
      <w:r>
        <w:t>Contractual remedies.</w:t>
      </w:r>
    </w:p>
    <w:p>
      <w:pPr>
        <w:pStyle w:val="ListBullet"/>
      </w:pPr>
      <w:r>
        <w:t>Termination of the vendor relationship.</w:t>
      </w:r>
    </w:p>
    <w:p>
      <w:pPr>
        <w:pStyle w:val="ListBullet"/>
      </w:pPr>
      <w:r>
        <w:t>Disciplinary action for employees or contractors.</w:t>
      </w:r>
    </w:p>
    <w:p>
      <w:pPr>
        <w:pStyle w:val="ListBullet"/>
      </w:pPr>
      <w:r>
        <w:t>Formal risk acceptance by authorized leadership where remediation is not immediately feasible.</w:t>
      </w:r>
    </w:p>
    <w:p>
      <w:r>
        <w:t>Material violations, unresolved high-risk vendor issues, unauthorized vendor use, or vendor incidents affecting customer commitments shall be escalated to executive management and appropriate risk, security, legal, or privacy stakeholders.</w:t>
      </w:r>
    </w:p>
    <w:p>
      <w:pPr>
        <w:pStyle w:val="Heading2"/>
      </w:pPr>
      <w:r>
        <w:t>Exceptions</w:t>
      </w:r>
    </w:p>
    <w:p>
      <w:r>
        <w:t>Exceptions to this policy shall be documented, risk-assessed, approved, time-bound, and reviewed before expiration.</w:t>
      </w:r>
    </w:p>
    <w:p>
      <w:r>
        <w:t>An exception request shall include:</w:t>
      </w:r>
    </w:p>
    <w:p>
      <w:pPr>
        <w:pStyle w:val="ListBullet"/>
      </w:pPr>
      <w:r>
        <w:t>Vendor name.</w:t>
      </w:r>
    </w:p>
    <w:p>
      <w:pPr>
        <w:pStyle w:val="ListBullet"/>
      </w:pPr>
      <w:r>
        <w:t>Business owner.</w:t>
      </w:r>
    </w:p>
    <w:p>
      <w:pPr>
        <w:pStyle w:val="ListBullet"/>
      </w:pPr>
      <w:r>
        <w:t>Description of the exception.</w:t>
      </w:r>
    </w:p>
    <w:p>
      <w:pPr>
        <w:pStyle w:val="ListBullet"/>
      </w:pPr>
      <w:r>
        <w:t>Business justification.</w:t>
      </w:r>
    </w:p>
    <w:p>
      <w:pPr>
        <w:pStyle w:val="ListBullet"/>
      </w:pPr>
      <w:r>
        <w:t>Risk rating.</w:t>
      </w:r>
    </w:p>
    <w:p>
      <w:pPr>
        <w:pStyle w:val="ListBullet"/>
      </w:pPr>
      <w:r>
        <w:t>Data or systems affected.</w:t>
      </w:r>
    </w:p>
    <w:p>
      <w:pPr>
        <w:pStyle w:val="ListBullet"/>
      </w:pPr>
      <w:r>
        <w:t>Risks created by the exception.</w:t>
      </w:r>
    </w:p>
    <w:p>
      <w:pPr>
        <w:pStyle w:val="ListBullet"/>
      </w:pPr>
      <w:r>
        <w:t>Compensating controls.</w:t>
      </w:r>
    </w:p>
    <w:p>
      <w:pPr>
        <w:pStyle w:val="ListBullet"/>
      </w:pPr>
      <w:r>
        <w:t>Required remediation actions.</w:t>
      </w:r>
    </w:p>
    <w:p>
      <w:pPr>
        <w:pStyle w:val="ListBullet"/>
      </w:pPr>
      <w:r>
        <w:t>Requested duration.</w:t>
      </w:r>
    </w:p>
    <w:p>
      <w:pPr>
        <w:pStyle w:val="ListBullet"/>
      </w:pPr>
      <w:r>
        <w:t>Approval from authorized stakeholders.</w:t>
      </w:r>
    </w:p>
    <w:p>
      <w:r>
        <w:t>Exceptions involving Critical or High-risk vendors, sensitive data, production access, customer commitments, or legal obligations shall require approval from the Vendor Management Owner and appropriate leadership, with review by Information Security, Legal, or Privacy where applicable.</w:t>
      </w:r>
    </w:p>
    <w:p>
      <w:r>
        <w:t>Emergency vendor use may be permitted only when required to address urgent operational, security, legal, or customer-impacting needs. Emergency use shall be documented as soon as practical and shall undergo retrospective review within [Number of Business Days] business days.</w:t>
      </w:r>
    </w:p>
    <w:p>
      <w:r>
        <w:t>Expired exceptions shall not remain valid. If an exception is still required, it shall be reassessed and reapproved before expiration.</w:t>
      </w:r>
    </w:p>
    <w:p>
      <w:pPr>
        <w:pStyle w:val="Heading2"/>
      </w:pPr>
      <w:r>
        <w:t>Review &amp; Maintenance</w:t>
      </w:r>
    </w:p>
    <w:p>
      <w:r>
        <w:t>This policy shall be reviewed at least annually and whenever material changes occur to the organization’s services, systems, vendor ecosystem, customer commitments, legal obligations, risk environment, or operating model.</w:t>
      </w:r>
    </w:p>
    <w:p>
      <w:r>
        <w:t>The Vendor Management Owner is responsible for coordinating the review and ensuring the policy remains current, practical, and aligned with the organization’s vendor risk management objectives.</w:t>
      </w:r>
    </w:p>
    <w:p>
      <w:r>
        <w:t>Policy updates shall be approved by authorized leadership and communicated to relevant personnel. Superseded versions shall be retained in accordance with the organization’s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