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Controls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POL-HIPAA-AUDIT-CONTROLS</w:t>
            </w:r>
          </w:p>
        </w:tc>
        <w:tc>
          <w:tcPr>
            <w:tcW w:type="dxa" w:w="1440"/>
          </w:tcPr>
          <w:p>
            <w:r>
              <w:t>1.0</w:t>
            </w:r>
          </w:p>
        </w:tc>
        <w:tc>
          <w:tcPr>
            <w:tcW w:type="dxa" w:w="1440"/>
          </w:tcPr>
          <w:p>
            <w:r>
              <w:t>[Privacy and Security Officer]</w:t>
            </w:r>
          </w:p>
        </w:tc>
        <w:tc>
          <w:tcPr>
            <w:tcW w:type="dxa" w:w="1440"/>
          </w:tcPr>
          <w:p>
            <w:r>
              <w:t>[Effective Date]</w:t>
            </w:r>
          </w:p>
        </w:tc>
        <w:tc>
          <w:tcPr>
            <w:tcW w:type="dxa" w:w="1440"/>
          </w:tcPr>
          <w:p>
            <w:r>
              <w:t>HIPAA</w:t>
            </w:r>
          </w:p>
        </w:tc>
        <w:tc>
          <w:tcPr>
            <w:tcW w:type="dxa" w:w="1440"/>
          </w:tcPr>
          <w:p>
            <w:r>
              <w:t>Internal Use</w:t>
            </w:r>
          </w:p>
        </w:tc>
      </w:tr>
    </w:tbl>
    <w:p>
      <w:pPr>
        <w:pStyle w:val="Heading2"/>
      </w:pPr>
      <w:r>
        <w:t>Purpose</w:t>
      </w:r>
    </w:p>
    <w:p>
      <w:r>
        <w:t>The purpose of this Audit Controls Policy is to establish mandatory requirements for implementing and maintaining hardware, software, and procedural mechanisms that record and examine activity in systems that create, receive, maintain, transmit, or otherwise process electronic protected health information (ePHI).</w:t>
      </w:r>
    </w:p>
    <w:p>
      <w:r>
        <w:t>This policy supports the organization’s ability to detect inappropriate access, investigate security and privacy incidents, demonstrate accountability, and maintain reliable evidence of system activity affecting ePHI.</w:t>
      </w:r>
    </w:p>
    <w:p>
      <w:pPr>
        <w:pStyle w:val="Heading2"/>
      </w:pPr>
      <w:r>
        <w:t>Scope</w:t>
      </w:r>
    </w:p>
    <w:p>
      <w:r>
        <w:t>This policy applies to:</w:t>
      </w:r>
    </w:p>
    <w:p>
      <w:pPr>
        <w:pStyle w:val="ListBullet"/>
      </w:pPr>
      <w:r>
        <w:t>All workforce members, including employees, contractors, temporary staff, volunteers, interns, and third parties who access systems containing ePHI.</w:t>
      </w:r>
    </w:p>
    <w:p>
      <w:pPr>
        <w:pStyle w:val="ListBullet"/>
      </w:pPr>
      <w:r>
        <w:t>All information systems, applications, databases, cloud services, medical devices, infrastructure platforms, network devices, identity services, and end-user technologies that create, receive, maintain, transmit, or support access to ePHI.</w:t>
      </w:r>
    </w:p>
    <w:p>
      <w:pPr>
        <w:pStyle w:val="ListBullet"/>
      </w:pPr>
      <w:r>
        <w:t>All environments where ePHI is processed, including production, staging, testing, backup, disaster recovery, remote access, and third-party hosted environments.</w:t>
      </w:r>
    </w:p>
    <w:p>
      <w:pPr>
        <w:pStyle w:val="ListBullet"/>
      </w:pPr>
      <w:r>
        <w:t>All audit logs, security event records, access logs, administrative activity records, system alerts, and supporting evidence used to monitor and investigate activity involving ePHI.</w:t>
      </w:r>
    </w:p>
    <w:p>
      <w:r>
        <w:t>This policy does not replace detailed operational procedures for log configuration, monitoring, incident response, or forensic investigation. Those procedures shall align with this policy.</w:t>
      </w:r>
    </w:p>
    <w:p>
      <w:pPr>
        <w:pStyle w:val="Heading2"/>
      </w:pPr>
      <w:r>
        <w:t>Policy Statements</w:t>
      </w:r>
    </w:p>
    <w:p>
      <w:pPr>
        <w:pStyle w:val="ListBullet"/>
      </w:pPr>
      <w:r>
        <w:t>The organization shall implement audit controls for all systems that create, receive, maintain, transmit, or support access to ePHI.</w:t>
      </w:r>
    </w:p>
    <w:p>
      <w:pPr>
        <w:pStyle w:val="ListBullet"/>
      </w:pPr>
      <w:r>
        <w:t>The organization shall use appropriate hardware, software, and procedural mechanisms to record user activity, administrative activity, system activity, and security-relevant events involving ePHI.</w:t>
      </w:r>
    </w:p>
    <w:p>
      <w:pPr>
        <w:pStyle w:val="ListBullet"/>
      </w:pPr>
      <w:r>
        <w:t>Audit logging shall be enabled before any system processing ePHI is placed into production use.</w:t>
      </w:r>
    </w:p>
    <w:p>
      <w:pPr>
        <w:pStyle w:val="ListBullet"/>
      </w:pPr>
      <w:r>
        <w:t>Systems processing ePHI shall not be approved for production deployment unless audit logging requirements have been reviewed and accepted by the Information Security function or another authorized control owner.</w:t>
      </w:r>
    </w:p>
    <w:p>
      <w:pPr>
        <w:pStyle w:val="ListBullet"/>
      </w:pPr>
      <w:r>
        <w:t>Audit logs shall record sufficient detail to support detection, investigation, and accountability, including, where technically feasible:</w:t>
      </w:r>
    </w:p>
    <w:p>
      <w:pPr>
        <w:pStyle w:val="ListBullet"/>
      </w:pPr>
      <w:r>
        <w:t>Unique user or service account identifier.</w:t>
      </w:r>
    </w:p>
    <w:p>
      <w:pPr>
        <w:pStyle w:val="ListBullet"/>
      </w:pPr>
      <w:r>
        <w:t>Date and time of activity.</w:t>
      </w:r>
    </w:p>
    <w:p>
      <w:pPr>
        <w:pStyle w:val="ListBullet"/>
      </w:pPr>
      <w:r>
        <w:t>Source location, device, network address, or session information.</w:t>
      </w:r>
    </w:p>
    <w:p>
      <w:pPr>
        <w:pStyle w:val="ListBullet"/>
      </w:pPr>
      <w:r>
        <w:t>System, application, database, file, or record accessed.</w:t>
      </w:r>
    </w:p>
    <w:p>
      <w:pPr>
        <w:pStyle w:val="ListBullet"/>
      </w:pPr>
      <w:r>
        <w:t>Type of activity performed.</w:t>
      </w:r>
    </w:p>
    <w:p>
      <w:pPr>
        <w:pStyle w:val="ListBullet"/>
      </w:pPr>
      <w:r>
        <w:t>Success or failure of the activity.</w:t>
      </w:r>
    </w:p>
    <w:p>
      <w:pPr>
        <w:pStyle w:val="ListBullet"/>
      </w:pPr>
      <w:r>
        <w:t>Privileged or administrative action performed.</w:t>
      </w:r>
    </w:p>
    <w:p>
      <w:pPr>
        <w:pStyle w:val="ListBullet"/>
      </w:pPr>
      <w:r>
        <w:t>Changes to security settings, permissions, accounts, roles, or audit configurations.</w:t>
      </w:r>
    </w:p>
    <w:p>
      <w:pPr>
        <w:pStyle w:val="ListBullet"/>
      </w:pPr>
      <w:r>
        <w:t>Systems containing ePHI shall log access to patient, member, client, or subject records where the system supports such logging.</w:t>
      </w:r>
    </w:p>
    <w:p>
      <w:pPr>
        <w:pStyle w:val="ListBullet"/>
      </w:pPr>
      <w:r>
        <w:t>The organization shall log authentication and access control events for systems containing ePHI, including successful logins, failed login attempts, account lockouts, password resets, multi-factor authentication events, session termination, and access denials.</w:t>
      </w:r>
    </w:p>
    <w:p>
      <w:pPr>
        <w:pStyle w:val="ListBullet"/>
      </w:pPr>
      <w:r>
        <w:t>The organization shall log privileged account activity in systems containing or supporting ePHI, including creation, modification, use, disablement, and deletion of administrative accounts.</w:t>
      </w:r>
    </w:p>
    <w:p>
      <w:pPr>
        <w:pStyle w:val="ListBullet"/>
      </w:pPr>
      <w:r>
        <w:t>The organization shall log changes to user access rights, role assignments, group memberships, access control lists, and authorization rules for systems containing or supporting ePHI.</w:t>
      </w:r>
    </w:p>
    <w:p>
      <w:pPr>
        <w:pStyle w:val="ListBullet"/>
      </w:pPr>
      <w:r>
        <w:t>The organization shall log changes to audit logging settings, log retention settings, time synchronization settings, security alerting rules, and log forwarding configurations.</w:t>
      </w:r>
    </w:p>
    <w:p>
      <w:pPr>
        <w:pStyle w:val="ListBullet"/>
      </w:pPr>
      <w:r>
        <w:t>The organization shall log security-relevant system events, including malware detections, firewall events, intrusion detection events, endpoint protection alerts, vulnerability exploitation attempts, unauthorized configuration changes, and abnormal system behavior affecting ePHI environments.</w:t>
      </w:r>
    </w:p>
    <w:p>
      <w:pPr>
        <w:pStyle w:val="ListBullet"/>
      </w:pPr>
      <w:r>
        <w:t>The organization shall log database activity involving ePHI where technically feasible, including privileged queries, bulk exports, direct database access, schema changes, permission changes, and access outside approved application workflows.</w:t>
      </w:r>
    </w:p>
    <w:p>
      <w:pPr>
        <w:pStyle w:val="ListBullet"/>
      </w:pPr>
      <w:r>
        <w:t>The organization shall log creation, modification, deletion, transmission, export, download, and printing of ePHI where supported by the applicable system.</w:t>
      </w:r>
    </w:p>
    <w:p>
      <w:pPr>
        <w:pStyle w:val="ListBullet"/>
      </w:pPr>
      <w:r>
        <w:t>Audit logging shall be configured in accordance with an approved logging standard or baseline that defines minimum event types, log detail, retention periods, protection requirements, and monitoring expectations.</w:t>
      </w:r>
    </w:p>
    <w:p>
      <w:pPr>
        <w:pStyle w:val="ListBullet"/>
      </w:pPr>
      <w:r>
        <w:t>Audit logs shall be protected against unauthorized access, modification, deletion, disabling, or destruction.</w:t>
      </w:r>
    </w:p>
    <w:p>
      <w:pPr>
        <w:pStyle w:val="ListBullet"/>
      </w:pPr>
      <w:r>
        <w:t>Access to audit logs shall be restricted to authorized personnel with a legitimate business need, such as security monitoring, privacy investigations, system administration, compliance review, audit, or incident response.</w:t>
      </w:r>
    </w:p>
    <w:p>
      <w:pPr>
        <w:pStyle w:val="ListBullet"/>
      </w:pPr>
      <w:r>
        <w:t>Workforce members shall not alter, delete, suppress, or disable audit logs unless explicitly authorized and documented for a legitimate operational purpose.</w:t>
      </w:r>
    </w:p>
    <w:p>
      <w:pPr>
        <w:pStyle w:val="ListBullet"/>
      </w:pPr>
      <w:r>
        <w:t>Administrative users shall not have unrestricted ability to modify or delete audit records related to their own activity without compensating controls, such as centralized log forwarding, independent monitoring, or separation of duties.</w:t>
      </w:r>
    </w:p>
    <w:p>
      <w:pPr>
        <w:pStyle w:val="ListBullet"/>
      </w:pPr>
      <w:r>
        <w:t>Systems processing ePHI shall forward security-relevant audit logs to an approved centralized logging, monitoring, or security information and event management platform where technically feasible.</w:t>
      </w:r>
    </w:p>
    <w:p>
      <w:pPr>
        <w:pStyle w:val="ListBullet"/>
      </w:pPr>
      <w:r>
        <w:t>Centralized log repositories shall be configured to preserve the integrity, availability, and confidentiality of audit records.</w:t>
      </w:r>
    </w:p>
    <w:p>
      <w:pPr>
        <w:pStyle w:val="ListBullet"/>
      </w:pPr>
      <w:r>
        <w:t>Audit logs shall be time-stamped using an approved and synchronized time source to support accurate event correlation and investigation.</w:t>
      </w:r>
    </w:p>
    <w:p>
      <w:pPr>
        <w:pStyle w:val="ListBullet"/>
      </w:pPr>
      <w:r>
        <w:t>Systems processing ePHI shall be configured to use consistent time zones or include clear time zone information in audit records.</w:t>
      </w:r>
    </w:p>
    <w:p>
      <w:pPr>
        <w:pStyle w:val="ListBullet"/>
      </w:pPr>
      <w:r>
        <w:t>Audit logs shall be retained for a period appropriate to legal, regulatory, contractual, operational, and investigative needs, and shall not be retained for less than the minimum period defined in the organization’s records retention requirements.</w:t>
      </w:r>
    </w:p>
    <w:p>
      <w:pPr>
        <w:pStyle w:val="ListBullet"/>
      </w:pPr>
      <w:r>
        <w:t>The following minimum retention requirements shall apply unless a longer period is required by law, contract, investigation, litigation hold, or organizational records retention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Log Category</w:t>
            </w:r>
          </w:p>
        </w:tc>
        <w:tc>
          <w:tcPr>
            <w:tcW w:type="dxa" w:w="2880"/>
          </w:tcPr>
          <w:p>
            <w:r>
              <w:t>Minimum Retention Requirement</w:t>
            </w:r>
          </w:p>
        </w:tc>
        <w:tc>
          <w:tcPr>
            <w:tcW w:type="dxa" w:w="2880"/>
          </w:tcPr>
          <w:p>
            <w:r>
              <w:t>Example Sources</w:t>
            </w:r>
          </w:p>
        </w:tc>
      </w:tr>
      <w:tr>
        <w:tc>
          <w:tcPr>
            <w:tcW w:type="dxa" w:w="2880"/>
          </w:tcPr>
          <w:p>
            <w:r>
              <w:t>Access logs for systems containing ePHI</w:t>
            </w:r>
          </w:p>
        </w:tc>
        <w:tc>
          <w:tcPr>
            <w:tcW w:type="dxa" w:w="2880"/>
          </w:tcPr>
          <w:p>
            <w:r>
              <w:t>[Minimum Retention Period]</w:t>
            </w:r>
          </w:p>
        </w:tc>
        <w:tc>
          <w:tcPr>
            <w:tcW w:type="dxa" w:w="2880"/>
          </w:tcPr>
          <w:p>
            <w:r>
              <w:t>EHR, practice management, billing, claims, care coordination platforms</w:t>
            </w:r>
          </w:p>
        </w:tc>
      </w:tr>
      <w:tr>
        <w:tc>
          <w:tcPr>
            <w:tcW w:type="dxa" w:w="2880"/>
          </w:tcPr>
          <w:p>
            <w:r>
              <w:t>Authentication and identity logs</w:t>
            </w:r>
          </w:p>
        </w:tc>
        <w:tc>
          <w:tcPr>
            <w:tcW w:type="dxa" w:w="2880"/>
          </w:tcPr>
          <w:p>
            <w:r>
              <w:t>[Minimum Retention Period]</w:t>
            </w:r>
          </w:p>
        </w:tc>
        <w:tc>
          <w:tcPr>
            <w:tcW w:type="dxa" w:w="2880"/>
          </w:tcPr>
          <w:p>
            <w:r>
              <w:t>Identity provider, directory services, single sign-on, multi-factor authentication</w:t>
            </w:r>
          </w:p>
        </w:tc>
      </w:tr>
      <w:tr>
        <w:tc>
          <w:tcPr>
            <w:tcW w:type="dxa" w:w="2880"/>
          </w:tcPr>
          <w:p>
            <w:r>
              <w:t>Privileged activity logs</w:t>
            </w:r>
          </w:p>
        </w:tc>
        <w:tc>
          <w:tcPr>
            <w:tcW w:type="dxa" w:w="2880"/>
          </w:tcPr>
          <w:p>
            <w:r>
              <w:t>[Minimum Retention Period]</w:t>
            </w:r>
          </w:p>
        </w:tc>
        <w:tc>
          <w:tcPr>
            <w:tcW w:type="dxa" w:w="2880"/>
          </w:tcPr>
          <w:p>
            <w:r>
              <w:t>Administrative consoles, servers, databases, cloud platforms</w:t>
            </w:r>
          </w:p>
        </w:tc>
      </w:tr>
      <w:tr>
        <w:tc>
          <w:tcPr>
            <w:tcW w:type="dxa" w:w="2880"/>
          </w:tcPr>
          <w:p>
            <w:r>
              <w:t>Security monitoring logs</w:t>
            </w:r>
          </w:p>
        </w:tc>
        <w:tc>
          <w:tcPr>
            <w:tcW w:type="dxa" w:w="2880"/>
          </w:tcPr>
          <w:p>
            <w:r>
              <w:t>[Minimum Retention Period]</w:t>
            </w:r>
          </w:p>
        </w:tc>
        <w:tc>
          <w:tcPr>
            <w:tcW w:type="dxa" w:w="2880"/>
          </w:tcPr>
          <w:p>
            <w:r>
              <w:t>SIEM, EDR, IDS/IPS, firewall, web gateway</w:t>
            </w:r>
          </w:p>
        </w:tc>
      </w:tr>
      <w:tr>
        <w:tc>
          <w:tcPr>
            <w:tcW w:type="dxa" w:w="2880"/>
          </w:tcPr>
          <w:p>
            <w:r>
              <w:t>Network and infrastructure logs supporting ePHI systems</w:t>
            </w:r>
          </w:p>
        </w:tc>
        <w:tc>
          <w:tcPr>
            <w:tcW w:type="dxa" w:w="2880"/>
          </w:tcPr>
          <w:p>
            <w:r>
              <w:t>[Minimum Retention Period]</w:t>
            </w:r>
          </w:p>
        </w:tc>
        <w:tc>
          <w:tcPr>
            <w:tcW w:type="dxa" w:w="2880"/>
          </w:tcPr>
          <w:p>
            <w:r>
              <w:t>Network devices, VPN, load balancers, cloud infrastructure</w:t>
            </w:r>
          </w:p>
        </w:tc>
      </w:tr>
      <w:tr>
        <w:tc>
          <w:tcPr>
            <w:tcW w:type="dxa" w:w="2880"/>
          </w:tcPr>
          <w:p>
            <w:r>
              <w:t>Audit trail exports used in investigations</w:t>
            </w:r>
          </w:p>
        </w:tc>
        <w:tc>
          <w:tcPr>
            <w:tcW w:type="dxa" w:w="2880"/>
          </w:tcPr>
          <w:p>
            <w:r>
              <w:t>Until investigation closure plus [Retention Period]</w:t>
            </w:r>
          </w:p>
        </w:tc>
        <w:tc>
          <w:tcPr>
            <w:tcW w:type="dxa" w:w="2880"/>
          </w:tcPr>
          <w:p>
            <w:r>
              <w:t>Case files, legal holds, incident response evidence repositories</w:t>
            </w:r>
          </w:p>
        </w:tc>
      </w:tr>
    </w:tbl>
    <w:p>
      <w:pPr>
        <w:pStyle w:val="ListBullet"/>
      </w:pPr>
      <w:r>
        <w:t>Audit records subject to investigation, legal hold, privacy complaint, security incident, breach assessment, or regulatory inquiry shall be preserved until formally released by Legal, Compliance, Privacy, or another authorized function.</w:t>
      </w:r>
    </w:p>
    <w:p>
      <w:pPr>
        <w:pStyle w:val="ListBullet"/>
      </w:pPr>
      <w:r>
        <w:t>Audit logs shall be reviewed on a risk-based basis to identify inappropriate access, unauthorized activity, anomalous behavior, suspicious activity, and control failures involving ePHI.</w:t>
      </w:r>
    </w:p>
    <w:p>
      <w:pPr>
        <w:pStyle w:val="ListBullet"/>
      </w:pPr>
      <w:r>
        <w:t>The organization shall define routine log review expectations, including frequency, responsible party, review method, escalation criteria, and evidence of completion.</w:t>
      </w:r>
    </w:p>
    <w:p>
      <w:pPr>
        <w:pStyle w:val="ListBullet"/>
      </w:pPr>
      <w:r>
        <w:t>At minimum, the following audit review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Minimum Frequency</w:t>
            </w:r>
          </w:p>
        </w:tc>
        <w:tc>
          <w:tcPr>
            <w:tcW w:type="dxa" w:w="2160"/>
          </w:tcPr>
          <w:p>
            <w:r>
              <w:t>Responsible Role</w:t>
            </w:r>
          </w:p>
        </w:tc>
        <w:tc>
          <w:tcPr>
            <w:tcW w:type="dxa" w:w="2160"/>
          </w:tcPr>
          <w:p>
            <w:r>
              <w:t>Evidence Required</w:t>
            </w:r>
          </w:p>
        </w:tc>
      </w:tr>
      <w:tr>
        <w:tc>
          <w:tcPr>
            <w:tcW w:type="dxa" w:w="2160"/>
          </w:tcPr>
          <w:p>
            <w:r>
              <w:t>Review of high-risk security alerts involving ePHI systems</w:t>
            </w:r>
          </w:p>
        </w:tc>
        <w:tc>
          <w:tcPr>
            <w:tcW w:type="dxa" w:w="2160"/>
          </w:tcPr>
          <w:p>
            <w:r>
              <w:t>Daily business day or continuous monitoring where available</w:t>
            </w:r>
          </w:p>
        </w:tc>
        <w:tc>
          <w:tcPr>
            <w:tcW w:type="dxa" w:w="2160"/>
          </w:tcPr>
          <w:p>
            <w:r>
              <w:t>Security Operations</w:t>
            </w:r>
          </w:p>
        </w:tc>
        <w:tc>
          <w:tcPr>
            <w:tcW w:type="dxa" w:w="2160"/>
          </w:tcPr>
          <w:p>
            <w:r>
              <w:t>Alert records, ticket notes, disposition</w:t>
            </w:r>
          </w:p>
        </w:tc>
      </w:tr>
      <w:tr>
        <w:tc>
          <w:tcPr>
            <w:tcW w:type="dxa" w:w="2160"/>
          </w:tcPr>
          <w:p>
            <w:r>
              <w:t>Review of privileged access activity in critical ePHI systems</w:t>
            </w:r>
          </w:p>
        </w:tc>
        <w:tc>
          <w:tcPr>
            <w:tcW w:type="dxa" w:w="2160"/>
          </w:tcPr>
          <w:p>
            <w:r>
              <w:t>Monthly</w:t>
            </w:r>
          </w:p>
        </w:tc>
        <w:tc>
          <w:tcPr>
            <w:tcW w:type="dxa" w:w="2160"/>
          </w:tcPr>
          <w:p>
            <w:r>
              <w:t>Information Security or System Owner</w:t>
            </w:r>
          </w:p>
        </w:tc>
        <w:tc>
          <w:tcPr>
            <w:tcW w:type="dxa" w:w="2160"/>
          </w:tcPr>
          <w:p>
            <w:r>
              <w:t>Review report, exceptions, remediation actions</w:t>
            </w:r>
          </w:p>
        </w:tc>
      </w:tr>
      <w:tr>
        <w:tc>
          <w:tcPr>
            <w:tcW w:type="dxa" w:w="2160"/>
          </w:tcPr>
          <w:p>
            <w:r>
              <w:t>Review of user access to sensitive ePHI records where supported</w:t>
            </w:r>
          </w:p>
        </w:tc>
        <w:tc>
          <w:tcPr>
            <w:tcW w:type="dxa" w:w="2160"/>
          </w:tcPr>
          <w:p>
            <w:r>
              <w:t>Monthly or risk-based</w:t>
            </w:r>
          </w:p>
        </w:tc>
        <w:tc>
          <w:tcPr>
            <w:tcW w:type="dxa" w:w="2160"/>
          </w:tcPr>
          <w:p>
            <w:r>
              <w:t>Privacy Office or Compliance</w:t>
            </w:r>
          </w:p>
        </w:tc>
        <w:tc>
          <w:tcPr>
            <w:tcW w:type="dxa" w:w="2160"/>
          </w:tcPr>
          <w:p>
            <w:r>
              <w:t>Audit trail review log, investigation notes</w:t>
            </w:r>
          </w:p>
        </w:tc>
      </w:tr>
      <w:tr>
        <w:tc>
          <w:tcPr>
            <w:tcW w:type="dxa" w:w="2160"/>
          </w:tcPr>
          <w:p>
            <w:r>
              <w:t>Review of failed login trends and account lockouts</w:t>
            </w:r>
          </w:p>
        </w:tc>
        <w:tc>
          <w:tcPr>
            <w:tcW w:type="dxa" w:w="2160"/>
          </w:tcPr>
          <w:p>
            <w:r>
              <w:t>Monthly</w:t>
            </w:r>
          </w:p>
        </w:tc>
        <w:tc>
          <w:tcPr>
            <w:tcW w:type="dxa" w:w="2160"/>
          </w:tcPr>
          <w:p>
            <w:r>
              <w:t>IT Operations or Security Operations</w:t>
            </w:r>
          </w:p>
        </w:tc>
        <w:tc>
          <w:tcPr>
            <w:tcW w:type="dxa" w:w="2160"/>
          </w:tcPr>
          <w:p>
            <w:r>
              <w:t>Report, analysis, follow-up actions</w:t>
            </w:r>
          </w:p>
        </w:tc>
      </w:tr>
      <w:tr>
        <w:tc>
          <w:tcPr>
            <w:tcW w:type="dxa" w:w="2160"/>
          </w:tcPr>
          <w:p>
            <w:r>
              <w:t>Review of audit logging status for critical ePHI systems</w:t>
            </w:r>
          </w:p>
        </w:tc>
        <w:tc>
          <w:tcPr>
            <w:tcW w:type="dxa" w:w="2160"/>
          </w:tcPr>
          <w:p>
            <w:r>
              <w:t>Quarterly</w:t>
            </w:r>
          </w:p>
        </w:tc>
        <w:tc>
          <w:tcPr>
            <w:tcW w:type="dxa" w:w="2160"/>
          </w:tcPr>
          <w:p>
            <w:r>
              <w:t>Information Security</w:t>
            </w:r>
          </w:p>
        </w:tc>
        <w:tc>
          <w:tcPr>
            <w:tcW w:type="dxa" w:w="2160"/>
          </w:tcPr>
          <w:p>
            <w:r>
              <w:t>Control checklist, system evidence</w:t>
            </w:r>
          </w:p>
        </w:tc>
      </w:tr>
      <w:tr>
        <w:tc>
          <w:tcPr>
            <w:tcW w:type="dxa" w:w="2160"/>
          </w:tcPr>
          <w:p>
            <w:r>
              <w:t>Review of log retention and centralized forwarding coverage</w:t>
            </w:r>
          </w:p>
        </w:tc>
        <w:tc>
          <w:tcPr>
            <w:tcW w:type="dxa" w:w="2160"/>
          </w:tcPr>
          <w:p>
            <w:r>
              <w:t>Quarterly</w:t>
            </w:r>
          </w:p>
        </w:tc>
        <w:tc>
          <w:tcPr>
            <w:tcW w:type="dxa" w:w="2160"/>
          </w:tcPr>
          <w:p>
            <w:r>
              <w:t>Information Security</w:t>
            </w:r>
          </w:p>
        </w:tc>
        <w:tc>
          <w:tcPr>
            <w:tcW w:type="dxa" w:w="2160"/>
          </w:tcPr>
          <w:p>
            <w:r>
              <w:t>Coverage report, remediation plan</w:t>
            </w:r>
          </w:p>
        </w:tc>
      </w:tr>
      <w:tr>
        <w:tc>
          <w:tcPr>
            <w:tcW w:type="dxa" w:w="2160"/>
          </w:tcPr>
          <w:p>
            <w:r>
              <w:t>Review of audit control effectiveness</w:t>
            </w:r>
          </w:p>
        </w:tc>
        <w:tc>
          <w:tcPr>
            <w:tcW w:type="dxa" w:w="2160"/>
          </w:tcPr>
          <w:p>
            <w:r>
              <w:t>Annually</w:t>
            </w:r>
          </w:p>
        </w:tc>
        <w:tc>
          <w:tcPr>
            <w:tcW w:type="dxa" w:w="2160"/>
          </w:tcPr>
          <w:p>
            <w:r>
              <w:t>Privacy and Security Officer</w:t>
            </w:r>
          </w:p>
        </w:tc>
        <w:tc>
          <w:tcPr>
            <w:tcW w:type="dxa" w:w="2160"/>
          </w:tcPr>
          <w:p>
            <w:r>
              <w:t>Assessment results, corrective actions</w:t>
            </w:r>
          </w:p>
        </w:tc>
      </w:tr>
    </w:tbl>
    <w:p>
      <w:pPr>
        <w:pStyle w:val="ListBullet"/>
      </w:pPr>
      <w:r>
        <w:t>Automated alerts shall be configured for high-risk events involving ePHI systems where technically feasible.</w:t>
      </w:r>
    </w:p>
    <w:p>
      <w:pPr>
        <w:pStyle w:val="ListBullet"/>
      </w:pPr>
      <w:r>
        <w:t>High-risk events requiring alerting or prompt review shall include, as applicable:</w:t>
      </w:r>
    </w:p>
    <w:p>
      <w:pPr>
        <w:pStyle w:val="ListBullet"/>
      </w:pPr>
      <w:r>
        <w:t>Unauthorized or failed access attempts to ePHI systems.</w:t>
      </w:r>
    </w:p>
    <w:p>
      <w:pPr>
        <w:pStyle w:val="ListBullet"/>
      </w:pPr>
      <w:r>
        <w:t>Use of disabled, terminated, shared, generic, or emergency accounts.</w:t>
      </w:r>
    </w:p>
    <w:p>
      <w:pPr>
        <w:pStyle w:val="ListBullet"/>
      </w:pPr>
      <w:r>
        <w:t>Privileged access outside approved maintenance windows.</w:t>
      </w:r>
    </w:p>
    <w:p>
      <w:pPr>
        <w:pStyle w:val="ListBullet"/>
      </w:pPr>
      <w:r>
        <w:t>Unusual access to a large number of patient or member records.</w:t>
      </w:r>
    </w:p>
    <w:p>
      <w:pPr>
        <w:pStyle w:val="ListBullet"/>
      </w:pPr>
      <w:r>
        <w:t>Access to VIP, employee, family member, minor, restricted, or specially protected records where supported by business rules.</w:t>
      </w:r>
    </w:p>
    <w:p>
      <w:pPr>
        <w:pStyle w:val="ListBullet"/>
      </w:pPr>
      <w:r>
        <w:t>Access from unusual locations, devices, or networks.</w:t>
      </w:r>
    </w:p>
    <w:p>
      <w:pPr>
        <w:pStyle w:val="ListBullet"/>
      </w:pPr>
      <w:r>
        <w:t>Bulk export, download, transmission, or printing of ePHI.</w:t>
      </w:r>
    </w:p>
    <w:p>
      <w:pPr>
        <w:pStyle w:val="ListBullet"/>
      </w:pPr>
      <w:r>
        <w:t>Changes to audit logging, access control, encryption, firewall, or security monitoring settings.</w:t>
      </w:r>
    </w:p>
    <w:p>
      <w:pPr>
        <w:pStyle w:val="ListBullet"/>
      </w:pPr>
      <w:r>
        <w:t>Disabling of endpoint protection, logging agents, monitoring agents, or security tools.</w:t>
      </w:r>
    </w:p>
    <w:p>
      <w:pPr>
        <w:pStyle w:val="ListBullet"/>
      </w:pPr>
      <w:r>
        <w:t>Evidence of malware, ransomware, unauthorized scanning, or attempted exploitation.</w:t>
      </w:r>
    </w:p>
    <w:p>
      <w:pPr>
        <w:pStyle w:val="ListBullet"/>
      </w:pPr>
      <w:r>
        <w:t>Repeated failed login attempts or credential misuse indicators.</w:t>
      </w:r>
    </w:p>
    <w:p>
      <w:pPr>
        <w:pStyle w:val="ListBullet"/>
      </w:pPr>
      <w:r>
        <w:t>Use of service accounts outside expected patterns.</w:t>
      </w:r>
    </w:p>
    <w:p>
      <w:pPr>
        <w:pStyle w:val="ListBullet"/>
      </w:pPr>
      <w:r>
        <w:t>Alerts and audit review findings shall be triaged, documented, assigned, and resolved within defined timeframes based on risk.</w:t>
      </w:r>
    </w:p>
    <w:p>
      <w:pPr>
        <w:pStyle w:val="ListBullet"/>
      </w:pPr>
      <w:r>
        <w:t>Suspected inappropriate access, unauthorized disclosure, security incident, or breach involving ePHI shall be escalated in accordance with the organization’s incident response, privacy incident, and breach assessment procedures.</w:t>
      </w:r>
    </w:p>
    <w:p>
      <w:pPr>
        <w:pStyle w:val="ListBullet"/>
      </w:pPr>
      <w:r>
        <w:t>Audit logs and monitoring data shall be used only for authorized business purposes, including security operations, privacy monitoring, compliance, investigations, audits, system troubleshooting, fraud prevention, and legal support.</w:t>
      </w:r>
    </w:p>
    <w:p>
      <w:pPr>
        <w:pStyle w:val="ListBullet"/>
      </w:pPr>
      <w:r>
        <w:t>Workforce monitoring involving audit logs shall be conducted in a manner consistent with applicable law, organizational policies, human resources requirements, and privacy expectations.</w:t>
      </w:r>
    </w:p>
    <w:p>
      <w:pPr>
        <w:pStyle w:val="ListBullet"/>
      </w:pPr>
      <w:r>
        <w:t>System owners shall identify audit logging capabilities and limitations for systems processing ePHI and shall document any gaps that prevent required events from being captured.</w:t>
      </w:r>
    </w:p>
    <w:p>
      <w:pPr>
        <w:pStyle w:val="ListBullet"/>
      </w:pPr>
      <w:r>
        <w:t>Where a system cannot produce required audit logs, the organization shall implement compensating controls, such as network logging, database logging, access gateway logging, application-level monitoring, manual review procedures, or contractual requirements for vendor-provided reports.</w:t>
      </w:r>
    </w:p>
    <w:p>
      <w:pPr>
        <w:pStyle w:val="ListBullet"/>
      </w:pPr>
      <w:r>
        <w:t>Third-party service providers and business associates that host, process, maintain, or support ePHI on behalf of the organization shall maintain audit controls appropriate to the services provided.</w:t>
      </w:r>
    </w:p>
    <w:p>
      <w:pPr>
        <w:pStyle w:val="ListBullet"/>
      </w:pPr>
      <w:r>
        <w:t>Contracts or agreements with relevant third parties shall require access to audit information, security event notifications, investigation support, and evidence of audit control operation where appropriate.</w:t>
      </w:r>
    </w:p>
    <w:p>
      <w:pPr>
        <w:pStyle w:val="ListBullet"/>
      </w:pPr>
      <w:r>
        <w:t>The organization shall evaluate audit logging and monitoring capabilities during procurement, implementation, significant system change, and vendor risk assessment activities for systems involving ePHI.</w:t>
      </w:r>
    </w:p>
    <w:p>
      <w:pPr>
        <w:pStyle w:val="ListBullet"/>
      </w:pPr>
      <w:r>
        <w:t>Audit control requirements shall be included in system design, configuration, testing, and acceptance processes for new or materially changed ePHI systems.</w:t>
      </w:r>
    </w:p>
    <w:p>
      <w:pPr>
        <w:pStyle w:val="ListBullet"/>
      </w:pPr>
      <w:r>
        <w:t>Audit logs shall be backed up, replicated, or otherwise protected where required to meet availability, investigation, and retention needs.</w:t>
      </w:r>
    </w:p>
    <w:p>
      <w:pPr>
        <w:pStyle w:val="ListBullet"/>
      </w:pPr>
      <w:r>
        <w:t>Audit log storage shall be sized and monitored to prevent loss of audit records due to storage exhaustion, misconfiguration, ingestion failure, licensing constraints, or system malfunction.</w:t>
      </w:r>
    </w:p>
    <w:p>
      <w:pPr>
        <w:pStyle w:val="ListBullet"/>
      </w:pPr>
      <w:r>
        <w:t>Failures in audit logging, log forwarding, monitoring agents, or log storage for critical ePHI systems shall be treated as operational and security issues requiring timely remediation.</w:t>
      </w:r>
    </w:p>
    <w:p>
      <w:pPr>
        <w:pStyle w:val="ListBullet"/>
      </w:pPr>
      <w:r>
        <w:t>Critical audit control failures affecting ePHI systems shall be escalated to Information Security, the System Owner, and the Privacy and Security Officer.</w:t>
      </w:r>
    </w:p>
    <w:p>
      <w:pPr>
        <w:pStyle w:val="ListBullet"/>
      </w:pPr>
      <w:r>
        <w:t>Evidence of audit log reviews, alerts, investigations, exceptions, and remediation actions shall be retained in accordance with organizational records retention requirements.</w:t>
      </w:r>
    </w:p>
    <w:p>
      <w:pPr>
        <w:pStyle w:val="ListBullet"/>
      </w:pPr>
      <w:r>
        <w:t>The organization shall maintain procedures for requesting, retrieving, reviewing, exporting, preserving, and securely sharing audit logs for investigations and audits.</w:t>
      </w:r>
    </w:p>
    <w:p>
      <w:pPr>
        <w:pStyle w:val="ListBullet"/>
      </w:pPr>
      <w:r>
        <w:t>Audit logs containing ePHI or sensitive security information shall be handled, transmitted, stored, and disposed of securely.</w:t>
      </w:r>
    </w:p>
    <w:p>
      <w:pPr>
        <w:pStyle w:val="ListBullet"/>
      </w:pPr>
      <w:r>
        <w:t>Audit log exports shall be encrypted or otherwise protected when stored or transmitted outside approved logging platforms.</w:t>
      </w:r>
    </w:p>
    <w:p>
      <w:pPr>
        <w:pStyle w:val="ListBullet"/>
      </w:pPr>
      <w:r>
        <w:t>Audit data used in reports shall be limited to the minimum necessary information required for the business purpose.</w:t>
      </w:r>
    </w:p>
    <w:p>
      <w:pPr>
        <w:pStyle w:val="ListBullet"/>
      </w:pPr>
      <w:r>
        <w:t>Workforce members shall cooperate with authorized audit reviews, investigations, and requests for information related to system activity involving ePHI.</w:t>
      </w:r>
    </w:p>
    <w:p>
      <w:pPr>
        <w:pStyle w:val="ListBullet"/>
      </w:pPr>
      <w:r>
        <w:t>The organization shall provide training or awareness to relevant workforce members regarding acceptable system use, monitoring expectations, audit logging, and consequences for inappropriate access to ePHI.</w:t>
      </w:r>
    </w:p>
    <w:p>
      <w:pPr>
        <w:pStyle w:val="ListBullet"/>
      </w:pPr>
      <w:r>
        <w:t>The organization shall periodically test or validate that audit controls are operating as intended for critical systems containing ePHI.</w:t>
      </w:r>
    </w:p>
    <w:p>
      <w:pPr>
        <w:pStyle w:val="ListBullet"/>
      </w:pPr>
      <w:r>
        <w:t>Audit control weaknesses shall be documented, risk-rated, assigned to an accountable owner, and remediated according to organizational risk management requirements.</w:t>
      </w:r>
    </w:p>
    <w:p>
      <w:pPr>
        <w:pStyle w:val="ListBullet"/>
      </w:pPr>
      <w:r>
        <w:t>The organization shall maintain an inventory of systems processing ePHI and shall identify the audit logging status for each system.</w:t>
      </w:r>
    </w:p>
    <w:p>
      <w:pPr>
        <w:pStyle w:val="ListBullet"/>
      </w:pPr>
      <w:r>
        <w:t>The organization shall maintain evidence sufficient to demonstrate implementation and operation of audit controls, including configurations, screenshots, reports, tickets, review records, monitoring dashboards, and assessment results.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Privacy and Security Officer</w:t>
            </w:r>
          </w:p>
        </w:tc>
        <w:tc>
          <w:tcPr>
            <w:tcW w:type="dxa" w:w="4320"/>
          </w:tcPr>
          <w:p>
            <w:r>
              <w:t>Owns this policy; ensures audit controls support privacy and security obligations; oversees review of inappropriate access and potential ePHI incidents; reports significant issues to leadership.</w:t>
            </w:r>
          </w:p>
        </w:tc>
      </w:tr>
      <w:tr>
        <w:tc>
          <w:tcPr>
            <w:tcW w:type="dxa" w:w="4320"/>
          </w:tcPr>
          <w:p>
            <w:r>
              <w:t>Information Security</w:t>
            </w:r>
          </w:p>
        </w:tc>
        <w:tc>
          <w:tcPr>
            <w:tcW w:type="dxa" w:w="4320"/>
          </w:tcPr>
          <w:p>
            <w:r>
              <w:t>Defines logging and monitoring standards; reviews audit control design; manages or oversees centralized logging and alerting; monitors security events; investigates suspected security incidents; tracks remediation of audit control gaps.</w:t>
            </w:r>
          </w:p>
        </w:tc>
      </w:tr>
      <w:tr>
        <w:tc>
          <w:tcPr>
            <w:tcW w:type="dxa" w:w="4320"/>
          </w:tcPr>
          <w:p>
            <w:r>
              <w:t>Privacy Office</w:t>
            </w:r>
          </w:p>
        </w:tc>
        <w:tc>
          <w:tcPr>
            <w:tcW w:type="dxa" w:w="4320"/>
          </w:tcPr>
          <w:p>
            <w:r>
              <w:t>Reviews access to ePHI for potential inappropriate use or disclosure; supports privacy investigations; determines whether access activity requires further assessment or notification; maintains privacy investigation records.</w:t>
            </w:r>
          </w:p>
        </w:tc>
      </w:tr>
      <w:tr>
        <w:tc>
          <w:tcPr>
            <w:tcW w:type="dxa" w:w="4320"/>
          </w:tcPr>
          <w:p>
            <w:r>
              <w:t>Compliance</w:t>
            </w:r>
          </w:p>
        </w:tc>
        <w:tc>
          <w:tcPr>
            <w:tcW w:type="dxa" w:w="4320"/>
          </w:tcPr>
          <w:p>
            <w:r>
              <w:t>Supports audit readiness; verifies that audit control processes are documented and operating; coordinates internal or external audit requests; monitors corrective action plans where applicable.</w:t>
            </w:r>
          </w:p>
        </w:tc>
      </w:tr>
      <w:tr>
        <w:tc>
          <w:tcPr>
            <w:tcW w:type="dxa" w:w="4320"/>
          </w:tcPr>
          <w:p>
            <w:r>
              <w:t>System Owners</w:t>
            </w:r>
          </w:p>
        </w:tc>
        <w:tc>
          <w:tcPr>
            <w:tcW w:type="dxa" w:w="4320"/>
          </w:tcPr>
          <w:p>
            <w:r>
              <w:t>Ensure systems under their ownership meet audit logging requirements; approve logging configurations; review access and activity reports as required; remediate logging gaps; retain system-specific evidence.</w:t>
            </w:r>
          </w:p>
        </w:tc>
      </w:tr>
      <w:tr>
        <w:tc>
          <w:tcPr>
            <w:tcW w:type="dxa" w:w="4320"/>
          </w:tcPr>
          <w:p>
            <w:r>
              <w:t>IT Operations</w:t>
            </w:r>
          </w:p>
        </w:tc>
        <w:tc>
          <w:tcPr>
            <w:tcW w:type="dxa" w:w="4320"/>
          </w:tcPr>
          <w:p>
            <w:r>
              <w:t>Implements and maintains logging configurations, log forwarding, time synchronization, storage capacity, backup, and platform availability; responds to logging failures and operational alerts.</w:t>
            </w:r>
          </w:p>
        </w:tc>
      </w:tr>
      <w:tr>
        <w:tc>
          <w:tcPr>
            <w:tcW w:type="dxa" w:w="4320"/>
          </w:tcPr>
          <w:p>
            <w:r>
              <w:t>Security Operations</w:t>
            </w:r>
          </w:p>
        </w:tc>
        <w:tc>
          <w:tcPr>
            <w:tcW w:type="dxa" w:w="4320"/>
          </w:tcPr>
          <w:p>
            <w:r>
              <w:t>Monitors security events and alerts; triages suspicious activity; documents alert disposition; escalates potential incidents; supports investigations involving ePHI systems.</w:t>
            </w:r>
          </w:p>
        </w:tc>
      </w:tr>
      <w:tr>
        <w:tc>
          <w:tcPr>
            <w:tcW w:type="dxa" w:w="4320"/>
          </w:tcPr>
          <w:p>
            <w:r>
              <w:t>Database Administrators</w:t>
            </w:r>
          </w:p>
        </w:tc>
        <w:tc>
          <w:tcPr>
            <w:tcW w:type="dxa" w:w="4320"/>
          </w:tcPr>
          <w:p>
            <w:r>
              <w:t>Enable and maintain database audit logging where required; monitor privileged database activity; protect database audit records; support investigations and evidence collection.</w:t>
            </w:r>
          </w:p>
        </w:tc>
      </w:tr>
      <w:tr>
        <w:tc>
          <w:tcPr>
            <w:tcW w:type="dxa" w:w="4320"/>
          </w:tcPr>
          <w:p>
            <w:r>
              <w:t>Application Administrators</w:t>
            </w:r>
          </w:p>
        </w:tc>
        <w:tc>
          <w:tcPr>
            <w:tcW w:type="dxa" w:w="4320"/>
          </w:tcPr>
          <w:p>
            <w:r>
              <w:t>Configure application-level audit logging; ensure user activity and administrative changes are captured; assist with audit trail retrieval and review.</w:t>
            </w:r>
          </w:p>
        </w:tc>
      </w:tr>
      <w:tr>
        <w:tc>
          <w:tcPr>
            <w:tcW w:type="dxa" w:w="4320"/>
          </w:tcPr>
          <w:p>
            <w:r>
              <w:t>Identity and Access Management</w:t>
            </w:r>
          </w:p>
        </w:tc>
        <w:tc>
          <w:tcPr>
            <w:tcW w:type="dxa" w:w="4320"/>
          </w:tcPr>
          <w:p>
            <w:r>
              <w:t>Ensures authentication, authorization, account lifecycle, privileged access, and access change events are logged; supports access-related reviews and investigations.</w:t>
            </w:r>
          </w:p>
        </w:tc>
      </w:tr>
      <w:tr>
        <w:tc>
          <w:tcPr>
            <w:tcW w:type="dxa" w:w="4320"/>
          </w:tcPr>
          <w:p>
            <w:r>
              <w:t>Legal</w:t>
            </w:r>
          </w:p>
        </w:tc>
        <w:tc>
          <w:tcPr>
            <w:tcW w:type="dxa" w:w="4320"/>
          </w:tcPr>
          <w:p>
            <w:r>
              <w:t>Advises on legal holds, preservation obligations, subpoenas, regulatory inquiries, and evidentiary handling of audit logs.</w:t>
            </w:r>
          </w:p>
        </w:tc>
      </w:tr>
      <w:tr>
        <w:tc>
          <w:tcPr>
            <w:tcW w:type="dxa" w:w="4320"/>
          </w:tcPr>
          <w:p>
            <w:r>
              <w:t>Human Resources</w:t>
            </w:r>
          </w:p>
        </w:tc>
        <w:tc>
          <w:tcPr>
            <w:tcW w:type="dxa" w:w="4320"/>
          </w:tcPr>
          <w:p>
            <w:r>
              <w:t>Supports workforce investigations and disciplinary processes related to inappropriate access or misuse of systems containing ePHI.</w:t>
            </w:r>
          </w:p>
        </w:tc>
      </w:tr>
      <w:tr>
        <w:tc>
          <w:tcPr>
            <w:tcW w:type="dxa" w:w="4320"/>
          </w:tcPr>
          <w:p>
            <w:r>
              <w:t>Procurement and Vendor Management</w:t>
            </w:r>
          </w:p>
        </w:tc>
        <w:tc>
          <w:tcPr>
            <w:tcW w:type="dxa" w:w="4320"/>
          </w:tcPr>
          <w:p>
            <w:r>
              <w:t>Ensures audit control requirements are considered in vendor selection, contracts, risk assessments, and ongoing third-party oversight.</w:t>
            </w:r>
          </w:p>
        </w:tc>
      </w:tr>
      <w:tr>
        <w:tc>
          <w:tcPr>
            <w:tcW w:type="dxa" w:w="4320"/>
          </w:tcPr>
          <w:p>
            <w:r>
              <w:t>Business Associates and Third-Party Providers</w:t>
            </w:r>
          </w:p>
        </w:tc>
        <w:tc>
          <w:tcPr>
            <w:tcW w:type="dxa" w:w="4320"/>
          </w:tcPr>
          <w:p>
            <w:r>
              <w:t>Maintain audit controls for hosted or supported ePHI systems; provide audit records, security event information, and investigation support as contractually required.</w:t>
            </w:r>
          </w:p>
        </w:tc>
      </w:tr>
      <w:tr>
        <w:tc>
          <w:tcPr>
            <w:tcW w:type="dxa" w:w="4320"/>
          </w:tcPr>
          <w:p>
            <w:r>
              <w:t>Workforce Members</w:t>
            </w:r>
          </w:p>
        </w:tc>
        <w:tc>
          <w:tcPr>
            <w:tcW w:type="dxa" w:w="4320"/>
          </w:tcPr>
          <w:p>
            <w:r>
              <w:t>Use systems appropriately; access ePHI only for authorized purposes; comply with monitoring expectations; report suspected misuse, suspicious activity, or audit control failures.</w:t>
            </w:r>
          </w:p>
        </w:tc>
      </w:tr>
    </w:tbl>
    <w:p>
      <w:pPr>
        <w:pStyle w:val="Heading2"/>
      </w:pPr>
      <w:r>
        <w:t>Compliance, Monitoring &amp; Enforcement</w:t>
      </w:r>
    </w:p>
    <w:p>
      <w:r>
        <w:t>Compliance with this policy shall be monitored through a combination of technical controls, management oversight, audit activities, and risk management processes.</w:t>
      </w:r>
    </w:p>
    <w:p>
      <w:r>
        <w:t>The organization shall maintain an audit control monitoring program that includes:</w:t>
      </w:r>
    </w:p>
    <w:p>
      <w:pPr>
        <w:pStyle w:val="ListBullet"/>
      </w:pPr>
      <w:r>
        <w:t>Verification that required systems have audit logging enabled.</w:t>
      </w:r>
    </w:p>
    <w:p>
      <w:pPr>
        <w:pStyle w:val="ListBullet"/>
      </w:pPr>
      <w:r>
        <w:t>Review of centralized log ingestion and coverage.</w:t>
      </w:r>
    </w:p>
    <w:p>
      <w:pPr>
        <w:pStyle w:val="ListBullet"/>
      </w:pPr>
      <w:r>
        <w:t>Review of privileged user activity.</w:t>
      </w:r>
    </w:p>
    <w:p>
      <w:pPr>
        <w:pStyle w:val="ListBullet"/>
      </w:pPr>
      <w:r>
        <w:t>Review of high-risk ePHI access patterns.</w:t>
      </w:r>
    </w:p>
    <w:p>
      <w:pPr>
        <w:pStyle w:val="ListBullet"/>
      </w:pPr>
      <w:r>
        <w:t>Investigation of suspicious or inappropriate activity.</w:t>
      </w:r>
    </w:p>
    <w:p>
      <w:pPr>
        <w:pStyle w:val="ListBullet"/>
      </w:pPr>
      <w:r>
        <w:t>Tracking of audit control gaps and remediation actions.</w:t>
      </w:r>
    </w:p>
    <w:p>
      <w:pPr>
        <w:pStyle w:val="ListBullet"/>
      </w:pPr>
      <w:r>
        <w:t>Periodic assessment of logging, monitoring, retention, and evidence preservation practices.</w:t>
      </w:r>
    </w:p>
    <w:p>
      <w:r>
        <w:t>The following compliance measures shall be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Compliance Activity</w:t>
            </w:r>
          </w:p>
        </w:tc>
        <w:tc>
          <w:tcPr>
            <w:tcW w:type="dxa" w:w="2160"/>
          </w:tcPr>
          <w:p>
            <w:r>
              <w:t>Frequency</w:t>
            </w:r>
          </w:p>
        </w:tc>
        <w:tc>
          <w:tcPr>
            <w:tcW w:type="dxa" w:w="2160"/>
          </w:tcPr>
          <w:p>
            <w:r>
              <w:t>Owner</w:t>
            </w:r>
          </w:p>
        </w:tc>
        <w:tc>
          <w:tcPr>
            <w:tcW w:type="dxa" w:w="2160"/>
          </w:tcPr>
          <w:p>
            <w:r>
              <w:t>Output</w:t>
            </w:r>
          </w:p>
        </w:tc>
      </w:tr>
      <w:tr>
        <w:tc>
          <w:tcPr>
            <w:tcW w:type="dxa" w:w="2160"/>
          </w:tcPr>
          <w:p>
            <w:r>
              <w:t>Audit logging coverage review for ePHI systems</w:t>
            </w:r>
          </w:p>
        </w:tc>
        <w:tc>
          <w:tcPr>
            <w:tcW w:type="dxa" w:w="2160"/>
          </w:tcPr>
          <w:p>
            <w:r>
              <w:t>Quarterly</w:t>
            </w:r>
          </w:p>
        </w:tc>
        <w:tc>
          <w:tcPr>
            <w:tcW w:type="dxa" w:w="2160"/>
          </w:tcPr>
          <w:p>
            <w:r>
              <w:t>Information Security</w:t>
            </w:r>
          </w:p>
        </w:tc>
        <w:tc>
          <w:tcPr>
            <w:tcW w:type="dxa" w:w="2160"/>
          </w:tcPr>
          <w:p>
            <w:r>
              <w:t>Coverage report and remediation tracker</w:t>
            </w:r>
          </w:p>
        </w:tc>
      </w:tr>
      <w:tr>
        <w:tc>
          <w:tcPr>
            <w:tcW w:type="dxa" w:w="2160"/>
          </w:tcPr>
          <w:p>
            <w:r>
              <w:t>Review of critical logging failures</w:t>
            </w:r>
          </w:p>
        </w:tc>
        <w:tc>
          <w:tcPr>
            <w:tcW w:type="dxa" w:w="2160"/>
          </w:tcPr>
          <w:p>
            <w:r>
              <w:t>As identified</w:t>
            </w:r>
          </w:p>
        </w:tc>
        <w:tc>
          <w:tcPr>
            <w:tcW w:type="dxa" w:w="2160"/>
          </w:tcPr>
          <w:p>
            <w:r>
              <w:t>IT Operations and Information Security</w:t>
            </w:r>
          </w:p>
        </w:tc>
        <w:tc>
          <w:tcPr>
            <w:tcW w:type="dxa" w:w="2160"/>
          </w:tcPr>
          <w:p>
            <w:r>
              <w:t>Incident or service ticket</w:t>
            </w:r>
          </w:p>
        </w:tc>
      </w:tr>
      <w:tr>
        <w:tc>
          <w:tcPr>
            <w:tcW w:type="dxa" w:w="2160"/>
          </w:tcPr>
          <w:p>
            <w:r>
              <w:t>Review of high-risk ePHI access activity</w:t>
            </w:r>
          </w:p>
        </w:tc>
        <w:tc>
          <w:tcPr>
            <w:tcW w:type="dxa" w:w="2160"/>
          </w:tcPr>
          <w:p>
            <w:r>
              <w:t>Monthly or risk-based</w:t>
            </w:r>
          </w:p>
        </w:tc>
        <w:tc>
          <w:tcPr>
            <w:tcW w:type="dxa" w:w="2160"/>
          </w:tcPr>
          <w:p>
            <w:r>
              <w:t>Privacy Office</w:t>
            </w:r>
          </w:p>
        </w:tc>
        <w:tc>
          <w:tcPr>
            <w:tcW w:type="dxa" w:w="2160"/>
          </w:tcPr>
          <w:p>
            <w:r>
              <w:t>Review record and investigation notes</w:t>
            </w:r>
          </w:p>
        </w:tc>
      </w:tr>
      <w:tr>
        <w:tc>
          <w:tcPr>
            <w:tcW w:type="dxa" w:w="2160"/>
          </w:tcPr>
          <w:p>
            <w:r>
              <w:t>Privileged activity review</w:t>
            </w:r>
          </w:p>
        </w:tc>
        <w:tc>
          <w:tcPr>
            <w:tcW w:type="dxa" w:w="2160"/>
          </w:tcPr>
          <w:p>
            <w:r>
              <w:t>Monthly</w:t>
            </w:r>
          </w:p>
        </w:tc>
        <w:tc>
          <w:tcPr>
            <w:tcW w:type="dxa" w:w="2160"/>
          </w:tcPr>
          <w:p>
            <w:r>
              <w:t>System Owner or Information Security</w:t>
            </w:r>
          </w:p>
        </w:tc>
        <w:tc>
          <w:tcPr>
            <w:tcW w:type="dxa" w:w="2160"/>
          </w:tcPr>
          <w:p>
            <w:r>
              <w:t>Review evidence and exception list</w:t>
            </w:r>
          </w:p>
        </w:tc>
      </w:tr>
      <w:tr>
        <w:tc>
          <w:tcPr>
            <w:tcW w:type="dxa" w:w="2160"/>
          </w:tcPr>
          <w:p>
            <w:r>
              <w:t>Vendor audit control review for applicable third parties</w:t>
            </w:r>
          </w:p>
        </w:tc>
        <w:tc>
          <w:tcPr>
            <w:tcW w:type="dxa" w:w="2160"/>
          </w:tcPr>
          <w:p>
            <w:r>
              <w:t>At onboarding and periodically thereafter</w:t>
            </w:r>
          </w:p>
        </w:tc>
        <w:tc>
          <w:tcPr>
            <w:tcW w:type="dxa" w:w="2160"/>
          </w:tcPr>
          <w:p>
            <w:r>
              <w:t>Vendor Management</w:t>
            </w:r>
          </w:p>
        </w:tc>
        <w:tc>
          <w:tcPr>
            <w:tcW w:type="dxa" w:w="2160"/>
          </w:tcPr>
          <w:p>
            <w:r>
              <w:t>Vendor risk assessment record</w:t>
            </w:r>
          </w:p>
        </w:tc>
      </w:tr>
      <w:tr>
        <w:tc>
          <w:tcPr>
            <w:tcW w:type="dxa" w:w="2160"/>
          </w:tcPr>
          <w:p>
            <w:r>
              <w:t>Policy compliance assessment</w:t>
            </w:r>
          </w:p>
        </w:tc>
        <w:tc>
          <w:tcPr>
            <w:tcW w:type="dxa" w:w="2160"/>
          </w:tcPr>
          <w:p>
            <w:r>
              <w:t>Annually</w:t>
            </w:r>
          </w:p>
        </w:tc>
        <w:tc>
          <w:tcPr>
            <w:tcW w:type="dxa" w:w="2160"/>
          </w:tcPr>
          <w:p>
            <w:r>
              <w:t>Compliance or Internal Audit</w:t>
            </w:r>
          </w:p>
        </w:tc>
        <w:tc>
          <w:tcPr>
            <w:tcW w:type="dxa" w:w="2160"/>
          </w:tcPr>
          <w:p>
            <w:r>
              <w:t>Assessment report and corrective action plan</w:t>
            </w:r>
          </w:p>
        </w:tc>
      </w:tr>
      <w:tr>
        <w:tc>
          <w:tcPr>
            <w:tcW w:type="dxa" w:w="2160"/>
          </w:tcPr>
          <w:p>
            <w:r>
              <w:t>Audit evidence preservation check</w:t>
            </w:r>
          </w:p>
        </w:tc>
        <w:tc>
          <w:tcPr>
            <w:tcW w:type="dxa" w:w="2160"/>
          </w:tcPr>
          <w:p>
            <w:r>
              <w:t>Annually or after major incident</w:t>
            </w:r>
          </w:p>
        </w:tc>
        <w:tc>
          <w:tcPr>
            <w:tcW w:type="dxa" w:w="2160"/>
          </w:tcPr>
          <w:p>
            <w:r>
              <w:t>Information Security and Compliance</w:t>
            </w:r>
          </w:p>
        </w:tc>
        <w:tc>
          <w:tcPr>
            <w:tcW w:type="dxa" w:w="2160"/>
          </w:tcPr>
          <w:p>
            <w:r>
              <w:t>Evidence retention validation</w:t>
            </w:r>
          </w:p>
        </w:tc>
      </w:tr>
    </w:tbl>
    <w:p>
      <w:r>
        <w:t>Non-compliance with this policy may result in corrective action, including access removal, retraining, disciplinary action, contract remedies, vendor escalation, or legal action, depending on the nature and severity of the violation.</w:t>
      </w:r>
    </w:p>
    <w:p>
      <w:r>
        <w:t>Violations involving suspected inappropriate access, impermissible use or disclosure of ePHI, intentional log tampering, disabling of audit controls, or obstruction of an investigation shall be escalated promptly to the Privacy and Security Officer and handled through the appropriate incident response, privacy, compliance, legal, and human resources processes.</w:t>
      </w:r>
    </w:p>
    <w:p>
      <w:r>
        <w:t>The organization shall treat intentional alteration, deletion, suppression, or unauthorized disabling of audit logs as a serious security violation.</w:t>
      </w:r>
    </w:p>
    <w:p>
      <w:pPr>
        <w:pStyle w:val="Heading2"/>
      </w:pPr>
      <w:r>
        <w:t>Exceptions</w:t>
      </w:r>
    </w:p>
    <w:p>
      <w:r>
        <w:t>Exceptions to this policy are permitted only when there is a documented business, technical, legal, or operational justification and the associated risk has been reviewed and accepted by authorized management.</w:t>
      </w:r>
    </w:p>
    <w:p>
      <w:r>
        <w:t>Exception requests shall include:</w:t>
      </w:r>
    </w:p>
    <w:p>
      <w:pPr>
        <w:pStyle w:val="ListBullet"/>
      </w:pPr>
      <w:r>
        <w:t>System, application, process, or vendor affected.</w:t>
      </w:r>
    </w:p>
    <w:p>
      <w:pPr>
        <w:pStyle w:val="ListBullet"/>
      </w:pPr>
      <w:r>
        <w:t>Specific policy requirement that cannot be met.</w:t>
      </w:r>
    </w:p>
    <w:p>
      <w:pPr>
        <w:pStyle w:val="ListBullet"/>
      </w:pPr>
      <w:r>
        <w:t>Reason for the exception.</w:t>
      </w:r>
    </w:p>
    <w:p>
      <w:pPr>
        <w:pStyle w:val="ListBullet"/>
      </w:pPr>
      <w:r>
        <w:t>Description of ePHI involved.</w:t>
      </w:r>
    </w:p>
    <w:p>
      <w:pPr>
        <w:pStyle w:val="ListBullet"/>
      </w:pPr>
      <w:r>
        <w:t>Risk assessment and potential impact.</w:t>
      </w:r>
    </w:p>
    <w:p>
      <w:pPr>
        <w:pStyle w:val="ListBullet"/>
      </w:pPr>
      <w:r>
        <w:t>Compensating controls.</w:t>
      </w:r>
    </w:p>
    <w:p>
      <w:pPr>
        <w:pStyle w:val="ListBullet"/>
      </w:pPr>
      <w:r>
        <w:t>Exception owner.</w:t>
      </w:r>
    </w:p>
    <w:p>
      <w:pPr>
        <w:pStyle w:val="ListBullet"/>
      </w:pPr>
      <w:r>
        <w:t>Remediation plan or target compliance date.</w:t>
      </w:r>
    </w:p>
    <w:p>
      <w:pPr>
        <w:pStyle w:val="ListBullet"/>
      </w:pPr>
      <w:r>
        <w:t>Requested duration of the exception.</w:t>
      </w:r>
    </w:p>
    <w:p>
      <w:pPr>
        <w:pStyle w:val="ListBullet"/>
      </w:pPr>
      <w:r>
        <w:t>Required approvals.</w:t>
      </w:r>
    </w:p>
    <w:p>
      <w:r>
        <w:t>Exceptions shall be documented using the organization’s approved exception management process and shall be approved by the Privacy and Security Officer, Information Security, System Owner, and other stakeholders as appropriate based on risk.</w:t>
      </w:r>
    </w:p>
    <w:p>
      <w:r>
        <w:t>Exceptions shall be time-bound and reviewed at least periodically until closed. Permanent exceptions are not permitted unless formally approved as a risk acceptance by executive management or the designated risk authority.</w:t>
      </w:r>
    </w:p>
    <w:p>
      <w:r>
        <w:t>The following table defines minimum exception review expectations: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Risk Level</w:t>
            </w:r>
          </w:p>
        </w:tc>
        <w:tc>
          <w:tcPr>
            <w:tcW w:type="dxa" w:w="2160"/>
          </w:tcPr>
          <w:p>
            <w:r>
              <w:t>Maximum Approval Period</w:t>
            </w:r>
          </w:p>
        </w:tc>
        <w:tc>
          <w:tcPr>
            <w:tcW w:type="dxa" w:w="2160"/>
          </w:tcPr>
          <w:p>
            <w:r>
              <w:t>Minimum Review Frequency</w:t>
            </w:r>
          </w:p>
        </w:tc>
        <w:tc>
          <w:tcPr>
            <w:tcW w:type="dxa" w:w="2160"/>
          </w:tcPr>
          <w:p>
            <w:r>
              <w:t>Required Approval</w:t>
            </w:r>
          </w:p>
        </w:tc>
      </w:tr>
      <w:tr>
        <w:tc>
          <w:tcPr>
            <w:tcW w:type="dxa" w:w="2160"/>
          </w:tcPr>
          <w:p>
            <w:r>
              <w:t>Low</w:t>
            </w:r>
          </w:p>
        </w:tc>
        <w:tc>
          <w:tcPr>
            <w:tcW w:type="dxa" w:w="2160"/>
          </w:tcPr>
          <w:p>
            <w:r>
              <w:t>12 months</w:t>
            </w:r>
          </w:p>
        </w:tc>
        <w:tc>
          <w:tcPr>
            <w:tcW w:type="dxa" w:w="2160"/>
          </w:tcPr>
          <w:p>
            <w:r>
              <w:t>Annually</w:t>
            </w:r>
          </w:p>
        </w:tc>
        <w:tc>
          <w:tcPr>
            <w:tcW w:type="dxa" w:w="2160"/>
          </w:tcPr>
          <w:p>
            <w:r>
              <w:t>System Owner and Information Security</w:t>
            </w:r>
          </w:p>
        </w:tc>
      </w:tr>
      <w:tr>
        <w:tc>
          <w:tcPr>
            <w:tcW w:type="dxa" w:w="2160"/>
          </w:tcPr>
          <w:p>
            <w:r>
              <w:t>Moderate</w:t>
            </w:r>
          </w:p>
        </w:tc>
        <w:tc>
          <w:tcPr>
            <w:tcW w:type="dxa" w:w="2160"/>
          </w:tcPr>
          <w:p>
            <w:r>
              <w:t>6 months</w:t>
            </w:r>
          </w:p>
        </w:tc>
        <w:tc>
          <w:tcPr>
            <w:tcW w:type="dxa" w:w="2160"/>
          </w:tcPr>
          <w:p>
            <w:r>
              <w:t>Semi-annually</w:t>
            </w:r>
          </w:p>
        </w:tc>
        <w:tc>
          <w:tcPr>
            <w:tcW w:type="dxa" w:w="2160"/>
          </w:tcPr>
          <w:p>
            <w:r>
              <w:t>System Owner, Information Security, Privacy and Security Officer</w:t>
            </w:r>
          </w:p>
        </w:tc>
      </w:tr>
      <w:tr>
        <w:tc>
          <w:tcPr>
            <w:tcW w:type="dxa" w:w="2160"/>
          </w:tcPr>
          <w:p>
            <w:r>
              <w:t>High</w:t>
            </w:r>
          </w:p>
        </w:tc>
        <w:tc>
          <w:tcPr>
            <w:tcW w:type="dxa" w:w="2160"/>
          </w:tcPr>
          <w:p>
            <w:r>
              <w:t>90 days</w:t>
            </w:r>
          </w:p>
        </w:tc>
        <w:tc>
          <w:tcPr>
            <w:tcW w:type="dxa" w:w="2160"/>
          </w:tcPr>
          <w:p>
            <w:r>
              <w:t>Quarterly</w:t>
            </w:r>
          </w:p>
        </w:tc>
        <w:tc>
          <w:tcPr>
            <w:tcW w:type="dxa" w:w="2160"/>
          </w:tcPr>
          <w:p>
            <w:r>
              <w:t>Privacy and Security Officer and designated executive risk authority</w:t>
            </w:r>
          </w:p>
        </w:tc>
      </w:tr>
      <w:tr>
        <w:tc>
          <w:tcPr>
            <w:tcW w:type="dxa" w:w="2160"/>
          </w:tcPr>
          <w:p>
            <w:r>
              <w:t>Critical</w:t>
            </w:r>
          </w:p>
        </w:tc>
        <w:tc>
          <w:tcPr>
            <w:tcW w:type="dxa" w:w="2160"/>
          </w:tcPr>
          <w:p>
            <w:r>
              <w:t>Not permitted except under emergency approval</w:t>
            </w:r>
          </w:p>
        </w:tc>
        <w:tc>
          <w:tcPr>
            <w:tcW w:type="dxa" w:w="2160"/>
          </w:tcPr>
          <w:p>
            <w:r>
              <w:t>As directed</w:t>
            </w:r>
          </w:p>
        </w:tc>
        <w:tc>
          <w:tcPr>
            <w:tcW w:type="dxa" w:w="2160"/>
          </w:tcPr>
          <w:p>
            <w:r>
              <w:t>Executive risk authority, Legal if applicable</w:t>
            </w:r>
          </w:p>
        </w:tc>
      </w:tr>
    </w:tbl>
    <w:p>
      <w:r>
        <w:t>Emergency exceptions may be granted when required to restore patient care, essential operations, or system availability. Emergency exceptions shall be documented as soon as practical and reviewed after the emergency condition has ended.</w:t>
      </w:r>
    </w:p>
    <w:p>
      <w:pPr>
        <w:pStyle w:val="Heading2"/>
      </w:pPr>
      <w:r>
        <w:t>Review &amp; Maintenance</w:t>
      </w:r>
    </w:p>
    <w:p>
      <w:r>
        <w:t>This policy shall be reviewed at least annually and whenever significant changes occur that may affect audit control requirements, including:</w:t>
      </w:r>
    </w:p>
    <w:p>
      <w:pPr>
        <w:pStyle w:val="ListBullet"/>
      </w:pPr>
      <w:r>
        <w:t>Implementation of new systems or services involving ePHI.</w:t>
      </w:r>
    </w:p>
    <w:p>
      <w:pPr>
        <w:pStyle w:val="ListBullet"/>
      </w:pPr>
      <w:r>
        <w:t>Significant changes to existing ePHI systems.</w:t>
      </w:r>
    </w:p>
    <w:p>
      <w:pPr>
        <w:pStyle w:val="ListBullet"/>
      </w:pPr>
      <w:r>
        <w:t>Changes in legal, regulatory, contractual, or organizational requirements.</w:t>
      </w:r>
    </w:p>
    <w:p>
      <w:pPr>
        <w:pStyle w:val="ListBullet"/>
      </w:pPr>
      <w:r>
        <w:t>Security incidents, privacy incidents, breach investigations, or audit findings.</w:t>
      </w:r>
    </w:p>
    <w:p>
      <w:pPr>
        <w:pStyle w:val="ListBullet"/>
      </w:pPr>
      <w:r>
        <w:t>Material changes to logging, monitoring, identity, cloud, infrastructure, or security operations capabilities.</w:t>
      </w:r>
    </w:p>
    <w:p>
      <w:pPr>
        <w:pStyle w:val="ListBullet"/>
      </w:pPr>
      <w:r>
        <w:t>Identification of recurring audit control failures or monitoring gaps.</w:t>
      </w:r>
    </w:p>
    <w:p>
      <w:r>
        <w:t>The Privacy and Security Officer is responsible for ensuring this policy remains current, approved, communicated, and aligned with organizational risk management and compliance requirements.</w:t>
      </w:r>
    </w:p>
    <w:p>
      <w:r>
        <w:t>Policy updates shall be reviewed by relevant stakeholders, which may include Information Security, Privacy, Compliance, Legal, IT Operations, System Owners, and executive leadership.</w:t>
      </w:r>
    </w:p>
    <w:p>
      <w:r>
        <w:t>Approved versions of this policy shall be retained in accordance with the organization’s document retention requirements. Superseded versions shall be archived to support auditability and historical reference.</w:t>
      </w:r>
    </w:p>
    <w:p>
      <w:r>
        <w:t>Workforce members and relevant third parties shall be informed of material changes to this policy where those changes affect their responsibilities, system use, monitoring expectations, or contractual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