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&amp; Problem Records (Production)</w:t>
      </w:r>
    </w:p>
    <w:p>
      <w:pPr>
        <w:pStyle w:val="Heading2"/>
      </w:pPr>
      <w:r>
        <w:t>What This Evidences</w:t>
      </w:r>
    </w:p>
    <w:p>
      <w:r>
        <w:t>This record evidences that P1 and P2 incidents affecting financial systems are logged, triaged, assigned, resolved, and reviewed in a controlled manner for SOX ITGC Operations. It supports the control objective that production incidents impacting financial reporting systems are identified, tracked to resolution, and subject to appropriate escalation and closure review.</w:t>
      </w:r>
    </w:p>
    <w:p>
      <w:r>
        <w:t>This artifact is collected evidence, not an authored document. Do not create or recreate incident records manually. Evidence must be exported or captured directly from the organisation’s operational systems, such as the ITSM platform, incident management tool, monitoring platform, SIEM, or related dashboards.</w:t>
      </w:r>
    </w:p>
    <w:p>
      <w:pPr>
        <w:pStyle w:val="Heading2"/>
      </w:pPr>
      <w:r>
        <w:t>Where To Collect It From</w:t>
      </w:r>
    </w:p>
    <w:p>
      <w:r>
        <w:t>Collect the evidence from the organisation’s production IT service management or incident management system, typically:</w:t>
      </w:r>
    </w:p>
    <w:p>
      <w:pPr>
        <w:pStyle w:val="ListBullet"/>
      </w:pPr>
      <w:r>
        <w:t>ITSM/ticketing platform: [ServiceNow / Jira Service Management / Freshservice / Remedy / other]</w:t>
      </w:r>
    </w:p>
    <w:p>
      <w:pPr>
        <w:pStyle w:val="ListBullet"/>
      </w:pPr>
      <w:r>
        <w:t>Major incident management module or queue: [Major Incident Workspace / P1-P2 Queue]</w:t>
      </w:r>
    </w:p>
    <w:p>
      <w:pPr>
        <w:pStyle w:val="ListBullet"/>
      </w:pPr>
      <w:r>
        <w:t>Monitoring or alerting source, where linked to the ticket: [Splunk / Microsoft Sentinel / Datadog / New Relic / SolarWinds / other]</w:t>
      </w:r>
    </w:p>
    <w:p>
      <w:pPr>
        <w:pStyle w:val="ListBullet"/>
      </w:pPr>
      <w:r>
        <w:t>Financial systems support queue: [ERP Support Queue / Finance Applications Queue]</w:t>
      </w:r>
    </w:p>
    <w:p>
      <w:pPr>
        <w:pStyle w:val="ListBullet"/>
      </w:pPr>
      <w:r>
        <w:t>Change/problem management module, where incident-to-problem linkage is maintained: [Problem Management Module]</w:t>
      </w:r>
    </w:p>
    <w:p>
      <w:r>
        <w:t>The preferred source of record is [ITSM Tool Name], as it should contain the incident lifecycle, timestamps, ownership, resolution, and approvals.</w:t>
      </w:r>
    </w:p>
    <w:p>
      <w:pPr>
        <w:pStyle w:val="Heading2"/>
      </w:pPr>
      <w:r>
        <w:t>How To Collect</w:t>
      </w:r>
    </w:p>
    <w:p>
      <w:pPr>
        <w:pStyle w:val="ListBullet"/>
      </w:pPr>
      <w:r>
        <w:t>Log in to [ITSM Tool Name] using an account with read-only reporting access.</w:t>
      </w:r>
    </w:p>
    <w:p>
      <w:pPr>
        <w:pStyle w:val="ListBullet"/>
      </w:pPr>
      <w:r>
        <w:t>Navigate to the incident module or reporting area: [Incidents / Major Incidents / Reports].</w:t>
      </w:r>
    </w:p>
    <w:p>
      <w:pPr>
        <w:pStyle w:val="ListBullet"/>
      </w:pPr>
      <w:r>
        <w:t>Filter for the audit period: [Start Date] to [End Date].</w:t>
      </w:r>
    </w:p>
    <w:p>
      <w:pPr>
        <w:pStyle w:val="ListBullet"/>
      </w:pPr>
      <w:r>
        <w:t>Filter severity/priority to include only P1 and P2 incidents.</w:t>
      </w:r>
    </w:p>
    <w:p>
      <w:pPr>
        <w:pStyle w:val="ListBullet"/>
      </w:pPr>
      <w:r>
        <w:t>Filter affected services/applications to financial reporting systems, such as:</w:t>
      </w:r>
    </w:p>
    <w:p>
      <w:pPr>
        <w:pStyle w:val="ListBullet"/>
      </w:pPr>
      <w:r>
        <w:t>[ERP System Name]</w:t>
      </w:r>
    </w:p>
    <w:p>
      <w:pPr>
        <w:pStyle w:val="ListBullet"/>
      </w:pPr>
      <w:r>
        <w:t>[Financial Close System]</w:t>
      </w:r>
    </w:p>
    <w:p>
      <w:pPr>
        <w:pStyle w:val="ListBullet"/>
      </w:pPr>
      <w:r>
        <w:t>[Revenue/Billing System]</w:t>
      </w:r>
    </w:p>
    <w:p>
      <w:pPr>
        <w:pStyle w:val="ListBullet"/>
      </w:pPr>
      <w:r>
        <w:t>[General Ledger System]</w:t>
      </w:r>
    </w:p>
    <w:p>
      <w:pPr>
        <w:pStyle w:val="ListBullet"/>
      </w:pPr>
      <w:r>
        <w:t>[SOX In-Scope Application List]</w:t>
      </w:r>
    </w:p>
    <w:p>
      <w:pPr>
        <w:pStyle w:val="ListBullet"/>
      </w:pPr>
      <w:r>
        <w:t>Exclude non-production incidents unless they had a confirmed or potential production impact.</w:t>
      </w:r>
    </w:p>
    <w:p>
      <w:pPr>
        <w:pStyle w:val="ListBullet"/>
      </w:pPr>
      <w:r>
        <w:t>Export the filtered results to CSV, XLSX, or PDF using the system’s native export function.</w:t>
      </w:r>
    </w:p>
    <w:p>
      <w:pPr>
        <w:pStyle w:val="ListBullet"/>
      </w:pPr>
      <w:r>
        <w:t>For each sampled or relevant incident, open the incident record and export or screenshot the detailed ticket view, including activity history and closure details.</w:t>
      </w:r>
    </w:p>
    <w:p>
      <w:pPr>
        <w:pStyle w:val="ListBullet"/>
      </w:pPr>
      <w:r>
        <w:t>If incident records link to alerts, changes, problems, or post-incident reviews, collect those linked records as supporting evidence.</w:t>
      </w:r>
    </w:p>
    <w:p>
      <w:pPr>
        <w:pStyle w:val="ListBullet"/>
      </w:pPr>
      <w:r>
        <w:t>Save the export and supporting screenshots to the approved audit evidence repository using the naming convention defined below.</w:t>
      </w:r>
    </w:p>
    <w:p>
      <w:pPr>
        <w:pStyle w:val="Heading2"/>
      </w:pPr>
      <w:r>
        <w:t>What To Capture</w:t>
      </w:r>
    </w:p>
    <w:p>
      <w:r>
        <w:t>Capture enough information to prove completeness, ownership, timing, resolution, and review. At minimum, collect:</w:t>
      </w:r>
    </w:p>
    <w:p>
      <w:pPr>
        <w:pStyle w:val="ListBullet"/>
      </w:pPr>
      <w:r>
        <w:t>Incident ID/ticket number</w:t>
      </w:r>
    </w:p>
    <w:p>
      <w:pPr>
        <w:pStyle w:val="ListBullet"/>
      </w:pPr>
      <w:r>
        <w:t>Title/short description</w:t>
      </w:r>
    </w:p>
    <w:p>
      <w:pPr>
        <w:pStyle w:val="ListBullet"/>
      </w:pPr>
      <w:r>
        <w:t>Affected application, service, or configuration item</w:t>
      </w:r>
    </w:p>
    <w:p>
      <w:pPr>
        <w:pStyle w:val="ListBullet"/>
      </w:pPr>
      <w:r>
        <w:t>Confirmation that the system is production</w:t>
      </w:r>
    </w:p>
    <w:p>
      <w:pPr>
        <w:pStyle w:val="ListBullet"/>
      </w:pPr>
      <w:r>
        <w:t>Priority/severity classification, specifically P1 or P2</w:t>
      </w:r>
    </w:p>
    <w:p>
      <w:pPr>
        <w:pStyle w:val="ListBullet"/>
      </w:pPr>
      <w:r>
        <w:t>Opened date/time and detected date/time, if different</w:t>
      </w:r>
    </w:p>
    <w:p>
      <w:pPr>
        <w:pStyle w:val="ListBullet"/>
      </w:pPr>
      <w:r>
        <w:t>Reported by/source of detection, such as user, monitoring alert, or SIEM</w:t>
      </w:r>
    </w:p>
    <w:p>
      <w:pPr>
        <w:pStyle w:val="ListBullet"/>
      </w:pPr>
      <w:r>
        <w:t>Assignment group and assigned owner</w:t>
      </w:r>
    </w:p>
    <w:p>
      <w:pPr>
        <w:pStyle w:val="ListBullet"/>
      </w:pPr>
      <w:r>
        <w:t>Status lifecycle/history</w:t>
      </w:r>
    </w:p>
    <w:p>
      <w:pPr>
        <w:pStyle w:val="ListBullet"/>
      </w:pPr>
      <w:r>
        <w:t>Escalation history, where applicable</w:t>
      </w:r>
    </w:p>
    <w:p>
      <w:pPr>
        <w:pStyle w:val="ListBullet"/>
      </w:pPr>
      <w:r>
        <w:t>Business impact description</w:t>
      </w:r>
    </w:p>
    <w:p>
      <w:pPr>
        <w:pStyle w:val="ListBullet"/>
      </w:pPr>
      <w:r>
        <w:t>Root cause or suspected cause</w:t>
      </w:r>
    </w:p>
    <w:p>
      <w:pPr>
        <w:pStyle w:val="ListBullet"/>
      </w:pPr>
      <w:r>
        <w:t>Resolution summary</w:t>
      </w:r>
    </w:p>
    <w:p>
      <w:pPr>
        <w:pStyle w:val="ListBullet"/>
      </w:pPr>
      <w:r>
        <w:t>Resolved date/time and closed date/time</w:t>
      </w:r>
    </w:p>
    <w:p>
      <w:pPr>
        <w:pStyle w:val="ListBullet"/>
      </w:pPr>
      <w:r>
        <w:t>Closure code/category</w:t>
      </w:r>
    </w:p>
    <w:p>
      <w:pPr>
        <w:pStyle w:val="ListBullet"/>
      </w:pPr>
      <w:r>
        <w:t>Evidence of management, service owner, or incident manager review</w:t>
      </w:r>
    </w:p>
    <w:p>
      <w:pPr>
        <w:pStyle w:val="ListBullet"/>
      </w:pPr>
      <w:r>
        <w:t>Links to related problem records, changes, alerts, or post-incident reviews</w:t>
      </w:r>
    </w:p>
    <w:p>
      <w:pPr>
        <w:pStyle w:val="ListBullet"/>
      </w:pPr>
      <w:r>
        <w:t>Activity log/comments showing investigation and communications</w:t>
      </w:r>
    </w:p>
    <w:p>
      <w:pPr>
        <w:pStyle w:val="ListBullet"/>
      </w:pPr>
      <w:r>
        <w:t>SLA targets and actual response/resolution performance, where available</w:t>
      </w:r>
    </w:p>
    <w:p>
      <w:pPr>
        <w:pStyle w:val="ListBullet"/>
      </w:pPr>
      <w:r>
        <w:t>Export metadata showing report filters, date range, and export timestamp</w:t>
      </w:r>
    </w:p>
    <w:p>
      <w:pPr>
        <w:pStyle w:val="Heading2"/>
      </w:pPr>
      <w:r>
        <w:t>Frequency &amp; Owner</w:t>
      </w:r>
    </w:p>
    <w:p>
      <w:pPr>
        <w:pStyle w:val="ListBullet"/>
      </w:pPr>
      <w:r>
        <w:t>Collection frequency: At least quarterly for SOX ITGC evidence; monthly is recommended for high-volume environments.</w:t>
      </w:r>
    </w:p>
    <w:p>
      <w:pPr>
        <w:pStyle w:val="ListBullet"/>
      </w:pPr>
      <w:r>
        <w:t>Event-driven collection: Immediately after any significant P1 incident affecting financial systems.</w:t>
      </w:r>
    </w:p>
    <w:p>
      <w:pPr>
        <w:pStyle w:val="ListBullet"/>
      </w:pPr>
      <w:r>
        <w:t>Primary owner: [IT Operations Manager / Service Management Lead]</w:t>
      </w:r>
    </w:p>
    <w:p>
      <w:pPr>
        <w:pStyle w:val="ListBullet"/>
      </w:pPr>
      <w:r>
        <w:t>Control owner: [SOX ITGC Control Owner]</w:t>
      </w:r>
    </w:p>
    <w:p>
      <w:pPr>
        <w:pStyle w:val="ListBullet"/>
      </w:pPr>
      <w:r>
        <w:t>Evidence preparer: [ITSM Reporting Analyst / Operations Analyst]</w:t>
      </w:r>
    </w:p>
    <w:p>
      <w:pPr>
        <w:pStyle w:val="ListBullet"/>
      </w:pPr>
      <w:r>
        <w:t>Reviewer: [IT Operations Manager / Finance Systems Owner / SOX PMO]</w:t>
      </w:r>
    </w:p>
    <w:p>
      <w:pPr>
        <w:pStyle w:val="Heading2"/>
      </w:pPr>
      <w:r>
        <w:t>Retention &amp; Storage</w:t>
      </w:r>
    </w:p>
    <w:p>
      <w:r>
        <w:t>Store exported reports and supporting ticket evidence in the approved SOX evidence repository: [GRC Tool / SharePoint / AuditBoard / OneDrive / Archer / other].</w:t>
      </w:r>
    </w:p>
    <w:p>
      <w:r>
        <w:t>Use a clear naming convention, for example:</w:t>
      </w:r>
    </w:p>
    <w:p>
      <w:pPr>
        <w:pStyle w:val="ListBullet"/>
      </w:pPr>
      <w:r>
        <w:t>SOX_ITGC_Operations_P1-P2_Incidents_[System/Scope]_[Period]_[ExportDate]</w:t>
      </w:r>
    </w:p>
    <w:p>
      <w:r>
        <w:t>Retain records for the organisation’s SOX evidence retention period, typically [X years], or longer if required by legal hold, audit request, or internal policy. Access should be restricted to authorised IT, SOX, internal audit, and external audit personnel. Evidence must remain read-only after submission.</w:t>
      </w:r>
    </w:p>
    <w:p>
      <w:pPr>
        <w:pStyle w:val="Heading2"/>
      </w:pPr>
      <w:r>
        <w:t>Acceptance Criteria</w:t>
      </w:r>
    </w:p>
    <w:p>
      <w:r>
        <w:t>An auditor will generally accept the evidence as sufficient when:</w:t>
      </w:r>
    </w:p>
    <w:p>
      <w:pPr>
        <w:pStyle w:val="ListBullet"/>
      </w:pPr>
      <w:r>
        <w:t>It is exported directly from [ITSM Tool Name] or another authorised system of record.</w:t>
      </w:r>
    </w:p>
    <w:p>
      <w:pPr>
        <w:pStyle w:val="ListBullet"/>
      </w:pPr>
      <w:r>
        <w:t>The report covers the full audit period under review.</w:t>
      </w:r>
    </w:p>
    <w:p>
      <w:pPr>
        <w:pStyle w:val="ListBullet"/>
      </w:pPr>
      <w:r>
        <w:t>Filters clearly show P1/P2 incidents for in-scope production financial systems.</w:t>
      </w:r>
    </w:p>
    <w:p>
      <w:pPr>
        <w:pStyle w:val="ListBullet"/>
      </w:pPr>
      <w:r>
        <w:t>Each incident has a unique ticket ID and complete lifecycle timestamps.</w:t>
      </w:r>
    </w:p>
    <w:p>
      <w:pPr>
        <w:pStyle w:val="ListBullet"/>
      </w:pPr>
      <w:r>
        <w:t>Assignment, escalation, resolution, and closure details are visible.</w:t>
      </w:r>
    </w:p>
    <w:p>
      <w:pPr>
        <w:pStyle w:val="ListBullet"/>
      </w:pPr>
      <w:r>
        <w:t>The evidence shows who handled the incident and when actions occurred.</w:t>
      </w:r>
    </w:p>
    <w:p>
      <w:pPr>
        <w:pStyle w:val="ListBullet"/>
      </w:pPr>
      <w:r>
        <w:t>Closure includes a documented resolution and appropriate review or approval.</w:t>
      </w:r>
    </w:p>
    <w:p>
      <w:pPr>
        <w:pStyle w:val="ListBullet"/>
      </w:pPr>
      <w:r>
        <w:t>Related problem records, changes, or post-incident reviews are linked where applicable.</w:t>
      </w:r>
    </w:p>
    <w:p>
      <w:pPr>
        <w:pStyle w:val="ListBullet"/>
      </w:pPr>
      <w:r>
        <w:t>The export includes metadata or screenshots proving the source, date range, and extraction date.</w:t>
      </w:r>
    </w:p>
    <w:p>
      <w:pPr>
        <w:pStyle w:val="ListBullet"/>
      </w:pPr>
      <w:r>
        <w:t>The evidence is stored in the approved repository and is traceable to the SOX ITGC Operations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