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Anti-Money Laundering Policy</w:t>
      </w:r>
    </w:p>
    <w:p/>
    <w:p>
      <w:r>
        <w:rPr>
          <w:b/>
          <w:bCs/>
        </w:rPr>
        <w:t xml:space="preserve">Policy Code: AML-001</w:t>
      </w:r>
    </w:p>
    <w:p>
      <w:r>
        <w:rPr>
          <w:b/>
          <w:bCs/>
        </w:rPr>
        <w:t xml:space="preserve">Version: 3.2</w:t>
      </w:r>
    </w:p>
    <w:p>
      <w:r>
        <w:rPr>
          <w:b/>
          <w:bCs/>
        </w:rPr>
        <w:t xml:space="preserve">Effective Date: January 1, 2026</w:t>
      </w:r>
    </w:p>
    <w:p>
      <w:r>
        <w:rPr>
          <w:b/>
          <w:bCs/>
        </w:rPr>
        <w:t xml:space="preserve">Review Date: January 1, 2027</w:t>
      </w:r>
    </w:p>
    <w:p>
      <w:r>
        <w:rPr>
          <w:b/>
          <w:bCs/>
        </w:rPr>
        <w:t xml:space="preserve">Owner: Chief Compliance Officer</w:t>
      </w:r>
    </w:p>
    <w:p/>
    <w:p>
      <w:pPr>
        <w:pStyle w:val="Heading2"/>
      </w:pPr>
      <w:r>
        <w:t xml:space="preserve">1. Purpose</w:t>
      </w:r>
    </w:p>
    <w:p>
      <w:r>
        <w:t xml:space="preserve">This policy establishes the framework for detecting, preventing, and reporting money laundering and terrorist financing activities. It ensures compliance with applicable AML/CFT laws and regulatory requirements while protecting the Bank from being used for illicit financial activities.</w:t>
      </w:r>
    </w:p>
    <w:p/>
    <w:p>
      <w:pPr>
        <w:pStyle w:val="Heading2"/>
      </w:pPr>
      <w:r>
        <w:t xml:space="preserve">2. Customer Due Diligence</w:t>
      </w:r>
    </w:p>
    <w:p>
      <w:r>
        <w:t xml:space="preserve">All customers undergo risk-based due diligence before account opening:</w:t>
      </w:r>
    </w:p>
    <w:p>
      <w:pPr>
        <w:pStyle w:val="ListParagraph"/>
        <w:numPr>
          <w:ilvl w:val="0"/>
          <w:numId w:val="2"/>
        </w:numPr>
      </w:pPr>
      <w:r>
        <w:t xml:space="preserve">Identity verification using government-issued documents</w:t>
      </w:r>
    </w:p>
    <w:p>
      <w:pPr>
        <w:pStyle w:val="ListParagraph"/>
        <w:numPr>
          <w:ilvl w:val="0"/>
          <w:numId w:val="2"/>
        </w:numPr>
      </w:pPr>
      <w:r>
        <w:t xml:space="preserve">Beneficial ownership identification for legal entities (25% threshold)</w:t>
      </w:r>
    </w:p>
    <w:p>
      <w:pPr>
        <w:pStyle w:val="ListParagraph"/>
        <w:numPr>
          <w:ilvl w:val="0"/>
          <w:numId w:val="2"/>
        </w:numPr>
      </w:pPr>
      <w:r>
        <w:t xml:space="preserve">Source of funds and wealth verification for high-risk customers</w:t>
      </w:r>
    </w:p>
    <w:p>
      <w:pPr>
        <w:pStyle w:val="ListParagraph"/>
        <w:numPr>
          <w:ilvl w:val="0"/>
          <w:numId w:val="2"/>
        </w:numPr>
      </w:pPr>
      <w:r>
        <w:t xml:space="preserve">Enhanced due diligence for Politically Exposed Persons (PEPs)</w:t>
      </w:r>
    </w:p>
    <w:p/>
    <w:p>
      <w:pPr>
        <w:pStyle w:val="Heading2"/>
      </w:pPr>
      <w:r>
        <w:t xml:space="preserve">3. Transaction Monitoring</w:t>
      </w:r>
    </w:p>
    <w:p>
      <w:r>
        <w:t xml:space="preserve">Automated monitoring system screens all transactions against risk parameters and sanctions lists. Alerts generated for unusual patterns including structuring, rapid movement of funds, inconsistent activity with customer profile, and transactions with high-risk jurisdictions.</w:t>
      </w:r>
    </w:p>
    <w:p/>
    <w:p>
      <w:pPr>
        <w:pStyle w:val="Heading2"/>
      </w:pPr>
      <w:r>
        <w:t xml:space="preserve">4. Suspicious Activity Reporting</w:t>
      </w:r>
    </w:p>
    <w:p>
      <w:r>
        <w:t xml:space="preserve">Suspicious transactions are investigated by the AML team and filed with the Financial Intelligence Unit within regulatory timeframes. Reports submitted for transactions exceeding $10,000 threshold or showing indicators of money laundering regardless of amount. Customer tipping-off prohibited.</w:t>
      </w:r>
    </w:p>
    <w:p/>
    <w:p>
      <w:pPr>
        <w:pStyle w:val="Heading2"/>
      </w:pPr>
      <w:r>
        <w:t xml:space="preserve">5. Sanctions Screening</w:t>
      </w:r>
    </w:p>
    <w:p>
      <w:r>
        <w:t xml:space="preserve">All customers and transactions screened in real-time against OFAC, UN, EU, and local sanctions lists. Screening also covers wire transfer beneficiaries and originators. Positive matches blocked and escalated immediately to AML Compliance.</w:t>
      </w:r>
    </w:p>
    <w:p/>
    <w:p>
      <w:pPr>
        <w:pStyle w:val="Heading2"/>
      </w:pPr>
      <w:r>
        <w:t xml:space="preserve">6. Record Retention</w:t>
      </w:r>
    </w:p>
    <w:p>
      <w:r>
        <w:t xml:space="preserve">Transaction records, customer identification documents, and correspondence retained for minimum 7 years from account closure or transaction date. Electronic records maintained with audit trail and access controls.</w:t>
      </w:r>
    </w:p>
    <w:p/>
    <w:p>
      <w:pPr>
        <w:pStyle w:val="Heading2"/>
      </w:pPr>
      <w:r>
        <w:t xml:space="preserve">7. Training</w:t>
      </w:r>
    </w:p>
    <w:p>
      <w:r>
        <w:t xml:space="preserve">All employees complete annual AML training. Front-line staff receive specialized training on red flags, CDD procedures, and escalation protocols. Board and senior management receive annual AML briefing on risk trends and regulatory changes.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2026-02-20T12:48:13.631Z</dcterms:created>
  <dcterms:modified xsi:type="dcterms:W3CDTF">2026-02-20T12:48:13.632Z</dcterms:modified>
</cp:coreProperties>
</file>

<file path=docProps/custom.xml><?xml version="1.0" encoding="utf-8"?>
<Properties xmlns="http://schemas.openxmlformats.org/officeDocument/2006/custom-properties" xmlns:vt="http://schemas.openxmlformats.org/officeDocument/2006/docPropsVTypes"/>
</file>