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Evaluation 2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: Voir le MPD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 :  Client et Commande : La table commande récupère La clée primaire de la table Client pour devenir une clé étrangere afin de relier ces deux tables.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Commande , Article et Facture : Les tables Commandes et Articles ont tous les deux comme cardinalités maximales la valeur n , nous devons donc créer une autre table qui contiendra les deux clés primaires de Commande et Articles.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Client: La clé primaire est N°Client , elle sert à authentifier un client grâce à un identifiant qui sera unique à chaque client.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Commande :   La clé primaire est N°Commande , elle sert à authentifier une commande grâce à un identifiant qui sera unique à chaque commande.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N°Client est sa clé étrangère, elle permet de relier les tables Commande et Client entre elles.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Article : La clé primaire est N°Article , elle sert à authentifier un article grâce à un identifiant qui sera unique à chaque article.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Facture : Cette se crée à la suite à deux cardinalités des tables Commande et Article dont la valeur maximum vaut n. Elle regroupe les deux clé primaires de ces deux dernières, c’est à dire N°Commande et N°Article. Ce sont des clés étrangères pour pouvoir les tables Commande et Article.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TABLE Client(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N_Client INT,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NomClient VARCHAR(50),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PrenomClient VARCHAR(50),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PRIMARY KEY(N_Client)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TABLE Commande(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N_Commande INT,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DateCommande DATE,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MontantCommande DATE,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N_Client INT NOT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PRIMARY KEY(N_Commande),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FOREIGN KEY(N_Client) REFERENCES Client(N_Client)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TABLE Article(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N_Article INT,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DesignationArticle VARCHAR(50),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PUArticle CURRENCY,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PRIMARY KEY(N_Article)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CREATE TABLE SeComposeDe(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N_Commande INT,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N_Article INT,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Qte INT,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TauxTVA INT,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PRIMARY KEY(N_Commande, N_Article),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FOREIGN KEY(N_Commande) REFERENCES Commande(N_Commande),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FOREIGN KEY(N_Article) REFERENCES Article(N_Article)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