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SONDA</w:t>
      </w:r>
      <w:r>
        <w:t xml:space="preserve"> </w:t>
      </w:r>
      <w:r>
        <w:t xml:space="preserve">—</w:t>
      </w:r>
      <w:r>
        <w:t xml:space="preserve"> </w:t>
      </w:r>
      <w:r>
        <w:t xml:space="preserve">Cahier</w:t>
      </w:r>
      <w:r>
        <w:t xml:space="preserve"> </w:t>
      </w:r>
      <w:r>
        <w:t xml:space="preserve">des</w:t>
      </w:r>
      <w:r>
        <w:t xml:space="preserve"> </w:t>
      </w:r>
      <w:r>
        <w:t xml:space="preserve">charges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SaaS</w:t>
      </w:r>
      <w:r>
        <w:t xml:space="preserve"> </w:t>
      </w:r>
      <w:r>
        <w:t xml:space="preserve">de</w:t>
      </w:r>
      <w:r>
        <w:t xml:space="preserve"> </w:t>
      </w:r>
      <w:r>
        <w:t xml:space="preserve">supervision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chaîne</w:t>
      </w:r>
      <w:r>
        <w:t xml:space="preserve"> </w:t>
      </w:r>
      <w:r>
        <w:t xml:space="preserve">du</w:t>
      </w:r>
      <w:r>
        <w:t xml:space="preserve"> </w:t>
      </w:r>
      <w:r>
        <w:t xml:space="preserve">froid</w:t>
      </w:r>
      <w:r>
        <w:t xml:space="preserve"> </w:t>
      </w:r>
      <w:r>
        <w:t xml:space="preserve">et</w:t>
      </w:r>
      <w:r>
        <w:t xml:space="preserve"> </w:t>
      </w:r>
      <w:r>
        <w:t xml:space="preserve">de</w:t>
      </w:r>
      <w:r>
        <w:t xml:space="preserve"> </w:t>
      </w:r>
      <w:r>
        <w:t xml:space="preserve">l’énergie</w:t>
      </w:r>
    </w:p>
    <w:p>
      <w:pPr>
        <w:pStyle w:val="Author"/>
      </w:pPr>
      <w:r>
        <w:t xml:space="preserve">Mehdi</w:t>
      </w:r>
      <w:r>
        <w:t xml:space="preserve"> </w:t>
      </w:r>
      <w:r>
        <w:t xml:space="preserve">Ammou</w:t>
      </w:r>
      <w:r>
        <w:t xml:space="preserve"> </w:t>
      </w:r>
      <w:r>
        <w:t xml:space="preserve">—</w:t>
      </w:r>
      <w:r>
        <w:t xml:space="preserve"> </w:t>
      </w:r>
      <w:r>
        <w:t xml:space="preserve">Ingénieur</w:t>
      </w:r>
      <w:r>
        <w:t xml:space="preserve"> </w:t>
      </w:r>
      <w:r>
        <w:t xml:space="preserve">Réseaux</w:t>
      </w:r>
      <w:r>
        <w:t xml:space="preserve"> </w:t>
      </w:r>
      <w:r>
        <w:t xml:space="preserve">&amp;</w:t>
      </w:r>
      <w:r>
        <w:t xml:space="preserve"> </w:t>
      </w:r>
      <w:r>
        <w:t xml:space="preserve">Systèmes</w:t>
      </w:r>
      <w:r>
        <w:t xml:space="preserve"> </w:t>
      </w:r>
      <w:r>
        <w:t xml:space="preserve">Embarqués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Août</w:t>
      </w:r>
      <w:r>
        <w:t xml:space="preserve"> </w:t>
      </w:r>
      <w:r>
        <w:t xml:space="preserve">2026</w:t>
      </w:r>
    </w:p>
    <w:p>
      <w:r>
        <w:br w:type="page"/>
      </w:r>
    </w:p>
    <w:bookmarkStart w:id="20" w:name="sommaire"/>
    <w:p>
      <w:pPr>
        <w:pStyle w:val="Heading1"/>
      </w:pPr>
      <w:r>
        <w:t xml:space="preserve">Sommaire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et enjeux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Exigences fonctionnelles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 utilisateurs principaux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Exigences non fonctionnelles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et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Découpage en 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Stratégie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Glossaire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Objet du document.</w:t>
      </w:r>
      <w:r>
        <w:t xml:space="preserve"> </w:t>
      </w:r>
      <w:r>
        <w:t xml:space="preserve">Ce cahier des charges définit le périmètre fonctionnel et technique</w:t>
      </w:r>
      <w:r>
        <w:t xml:space="preserve"> </w:t>
      </w:r>
      <w:r>
        <w:t xml:space="preserve">de la plateforme SONDA. Il sert de référence pour la conception, le développement et la</w:t>
      </w:r>
      <w:r>
        <w:t xml:space="preserve"> </w:t>
      </w:r>
      <w:r>
        <w:t xml:space="preserve">recette du produit. Chaque exigence est numérotée et priorisée afin de pouvoir être suivie</w:t>
      </w:r>
      <w:r>
        <w:t xml:space="preserve"> </w:t>
      </w:r>
      <w:r>
        <w:t xml:space="preserve">individuellement jusqu’à sa vérification.</w:t>
      </w:r>
    </w:p>
    <w:p>
      <w:r>
        <w:br w:type="page"/>
      </w:r>
    </w:p>
    <w:bookmarkEnd w:id="20"/>
    <w:bookmarkStart w:id="24" w:name="contexte-et-enjeux"/>
    <w:p>
      <w:pPr>
        <w:pStyle w:val="Heading1"/>
      </w:pPr>
      <w:r>
        <w:t xml:space="preserve">1. Contexte et enjeux</w:t>
      </w:r>
    </w:p>
    <w:bookmarkStart w:id="21" w:name="le-problème"/>
    <w:p>
      <w:pPr>
        <w:pStyle w:val="Heading2"/>
      </w:pPr>
      <w:r>
        <w:t xml:space="preserve">1.1 Le problème</w:t>
      </w:r>
    </w:p>
    <w:p>
      <w:pPr>
        <w:pStyle w:val="FirstParagraph"/>
      </w:pPr>
      <w:r>
        <w:t xml:space="preserve">Au Maroc, toute structure qui conserve des produits sensibles à la température est tenue</w:t>
      </w:r>
      <w:r>
        <w:t xml:space="preserve"> </w:t>
      </w:r>
      <w:r>
        <w:t xml:space="preserve">d’en enregistrer le suivi : pharmacies et grossistes répartiteurs (bonnes pratiques de</w:t>
      </w:r>
      <w:r>
        <w:t xml:space="preserve"> </w:t>
      </w:r>
      <w:r>
        <w:t xml:space="preserve">distribution du médicament), laboratoires d’analyses, unités agro-alimentaires et</w:t>
      </w:r>
      <w:r>
        <w:t xml:space="preserve"> </w:t>
      </w:r>
      <w:r>
        <w:t xml:space="preserve">restauration collective soumises aux contrôles de l’ONSSA, cliniques et centres de</w:t>
      </w:r>
      <w:r>
        <w:t xml:space="preserve"> </w:t>
      </w:r>
      <w:r>
        <w:t xml:space="preserve">vaccination.</w:t>
      </w:r>
    </w:p>
    <w:p>
      <w:pPr>
        <w:pStyle w:val="BodyText"/>
      </w:pPr>
      <w:r>
        <w:t xml:space="preserve">Dans la très grande majorité de ces établissements, ce suivi repose aujourd’hui sur l’un</w:t>
      </w:r>
      <w:r>
        <w:t xml:space="preserve"> </w:t>
      </w:r>
      <w:r>
        <w:t xml:space="preserve">de ces trois dispositifs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Dispositif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Relevé manuel sur registre papier, deux fois par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donnée la nuit et le week-end, relevés parfois remplis après coup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Enregistreur autonome (datalogger USB)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dérive n’est découverte qu’au moment de la lecture, souvent des jours plus tard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Thermomètre à alarme sonore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n’entend l’alarme en dehors des heures d’ouverture</w:t>
            </w:r>
          </w:p>
        </w:tc>
      </w:tr>
    </w:tbl>
    <w:p>
      <w:pPr>
        <w:pStyle w:val="BodyText"/>
      </w:pPr>
      <w:r>
        <w:t xml:space="preserve">La conséquence est double. D’abord une</w:t>
      </w:r>
      <w:r>
        <w:t xml:space="preserve"> </w:t>
      </w:r>
      <w:r>
        <w:rPr>
          <w:bCs/>
          <w:b/>
        </w:rPr>
        <w:t xml:space="preserve">perte de marchandise</w:t>
      </w:r>
      <w:r>
        <w:t xml:space="preserve"> </w:t>
      </w:r>
      <w:r>
        <w:t xml:space="preserve">: une panne de groupe</w:t>
      </w:r>
      <w:r>
        <w:t xml:space="preserve"> </w:t>
      </w:r>
      <w:r>
        <w:t xml:space="preserve">froid un vendredi soir est constatée le lundi matin, et le stock est détruit. Ensuite un</w:t>
      </w:r>
      <w:r>
        <w:t xml:space="preserve"> </w:t>
      </w:r>
      <w:r>
        <w:rPr>
          <w:bCs/>
          <w:b/>
        </w:rPr>
        <w:t xml:space="preserve">risque réglementaire</w:t>
      </w:r>
      <w:r>
        <w:t xml:space="preserve"> </w:t>
      </w:r>
      <w:r>
        <w:t xml:space="preserve">: lors d’un contrôle, l’établissement doit produire un</w:t>
      </w:r>
      <w:r>
        <w:t xml:space="preserve"> </w:t>
      </w:r>
      <w:r>
        <w:t xml:space="preserve">historique continu et infalsifiable qu’un registre papier ne constitue pas.</w:t>
      </w:r>
    </w:p>
    <w:bookmarkEnd w:id="21"/>
    <w:bookmarkStart w:id="22" w:name="la-réponse-proposée"/>
    <w:p>
      <w:pPr>
        <w:pStyle w:val="Heading2"/>
      </w:pPr>
      <w:r>
        <w:t xml:space="preserve">1.2 La réponse proposée</w:t>
      </w:r>
    </w:p>
    <w:p>
      <w:pPr>
        <w:pStyle w:val="FirstParagraph"/>
      </w:pPr>
      <w:r>
        <w:t xml:space="preserve">SONDA est une plateforme SaaS qui automatise la totalité de cette chaîne : des sondes</w:t>
      </w:r>
      <w:r>
        <w:t xml:space="preserve"> </w:t>
      </w:r>
      <w:r>
        <w:t xml:space="preserve">connectées relèvent la température en continu, les mesures remontent vers une plateforme</w:t>
      </w:r>
      <w:r>
        <w:t xml:space="preserve"> </w:t>
      </w:r>
      <w:r>
        <w:t xml:space="preserve">centrale, toute dérive déclenche une alerte immédiate sur le téléphone du responsable, et</w:t>
      </w:r>
      <w:r>
        <w:t xml:space="preserve"> </w:t>
      </w:r>
      <w:r>
        <w:t xml:space="preserve">les rapports de conformité sont générés automatiquement chaque mois.</w:t>
      </w:r>
    </w:p>
    <w:p>
      <w:pPr>
        <w:pStyle w:val="BodyText"/>
      </w:pPr>
      <w:r>
        <w:t xml:space="preserve">L’établissement ne gère aucune infrastructure : il s’abonne, reçoit les sondes déjà</w:t>
      </w:r>
      <w:r>
        <w:t xml:space="preserve"> </w:t>
      </w:r>
      <w:r>
        <w:t xml:space="preserve">configurées, les branche, et le système fonctionne.</w:t>
      </w:r>
    </w:p>
    <w:bookmarkEnd w:id="22"/>
    <w:bookmarkStart w:id="23" w:name="positionnement"/>
    <w:p>
      <w:pPr>
        <w:pStyle w:val="Heading2"/>
      </w:pPr>
      <w:r>
        <w:t xml:space="preserve">1.3 Positionnement</w:t>
      </w:r>
    </w:p>
    <w:p>
      <w:pPr>
        <w:pStyle w:val="FirstParagraph"/>
      </w:pPr>
      <w:r>
        <w:t xml:space="preserve">Les solutions équivalentes disponibles sur le marché marocain sont soit des logiciels</w:t>
      </w:r>
      <w:r>
        <w:t xml:space="preserve"> </w:t>
      </w:r>
      <w:r>
        <w:t xml:space="preserve">étrangers facturés en euros et non adaptés au cadre réglementaire local, soit des</w:t>
      </w:r>
      <w:r>
        <w:t xml:space="preserve"> </w:t>
      </w:r>
      <w:r>
        <w:t xml:space="preserve">installations sur mesure vendues plusieurs dizaines de milliers de dirhams par site.</w:t>
      </w:r>
    </w:p>
    <w:p>
      <w:pPr>
        <w:pStyle w:val="BodyText"/>
      </w:pPr>
      <w:r>
        <w:t xml:space="preserve">SONDA vise l’espace intermédiaire : un abonnement mensuel par sonde, sans investissement</w:t>
      </w:r>
      <w:r>
        <w:t xml:space="preserve"> </w:t>
      </w:r>
      <w:r>
        <w:t xml:space="preserve">initial, avec des rapports directement conformes aux formats attendus par l’ONSSA et la</w:t>
      </w:r>
      <w:r>
        <w:t xml:space="preserve"> </w:t>
      </w:r>
      <w:r>
        <w:t xml:space="preserve">Direction du Médicament et de la Pharmacie.</w:t>
      </w:r>
    </w:p>
    <w:p>
      <w:r>
        <w:br w:type="page"/>
      </w:r>
    </w:p>
    <w:bookmarkEnd w:id="23"/>
    <w:bookmarkEnd w:id="24"/>
    <w:bookmarkStart w:id="28" w:name="objectifs"/>
    <w:p>
      <w:pPr>
        <w:pStyle w:val="Heading1"/>
      </w:pPr>
      <w:r>
        <w:t xml:space="preserve">2. Objectifs</w:t>
      </w:r>
    </w:p>
    <w:bookmarkStart w:id="25" w:name="objectifs-métier"/>
    <w:p>
      <w:pPr>
        <w:pStyle w:val="Heading2"/>
      </w:pPr>
      <w:r>
        <w:t xml:space="preserve">2.1 Objectifs métier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de réussite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le relevé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des mesures acquises automatiquement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Réduire le délai de détection d’une panne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Moins de 5 minutes entre la dérive et l’alerte reçue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Produire une preuve de conformité opposable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PDF mensuel signé et horodaté, généré sans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Rendre la solution accessible aux petites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d’entrée inférieur à 500 MAD par mois pour un site type</w:t>
            </w:r>
          </w:p>
        </w:tc>
      </w:tr>
    </w:tbl>
    <w:bookmarkEnd w:id="25"/>
    <w:bookmarkStart w:id="26" w:name="objectifs-techniques"/>
    <w:p>
      <w:pPr>
        <w:pStyle w:val="Heading2"/>
      </w:pPr>
      <w:r>
        <w:t xml:space="preserve">2.2 Objectifs techniques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continue de 10 000 messages par minute sans 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Fonctionnement des sondes en autonomie 72 h en cas de coupure réseau, avec rattrapage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stricte des données entre organisations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entièrement automatisé, de la validation du code à la mise en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conservé 5 ans, conformément aux obligations de traçabilité</w:t>
            </w:r>
          </w:p>
        </w:tc>
      </w:tr>
    </w:tbl>
    <w:bookmarkEnd w:id="26"/>
    <w:bookmarkStart w:id="27" w:name="objectif-personnel"/>
    <w:p>
      <w:pPr>
        <w:pStyle w:val="Heading2"/>
      </w:pPr>
      <w:r>
        <w:t xml:space="preserve">2.3 Objectif personnel</w:t>
      </w:r>
    </w:p>
    <w:p>
      <w:pPr>
        <w:pStyle w:val="FirstParagraph"/>
      </w:pPr>
      <w:r>
        <w:t xml:space="preserve">Ce projet constitue la pièce maîtresse de mon portfolio. Il est conçu pour démontrer, sur</w:t>
      </w:r>
      <w:r>
        <w:t xml:space="preserve"> </w:t>
      </w:r>
      <w:r>
        <w:t xml:space="preserve">un cas réel et complet, la maîtrise de la chaîne entière : firmware embarqué en C,</w:t>
      </w:r>
      <w:r>
        <w:t xml:space="preserve"> </w:t>
      </w:r>
      <w:r>
        <w:t xml:space="preserve">protocoles réseau, back-end Django, séries temporelles, conteneurisation, orchestration,</w:t>
      </w:r>
      <w:r>
        <w:t xml:space="preserve"> </w:t>
      </w:r>
      <w:r>
        <w:t xml:space="preserve">intégration continue et apprentissage automatique appliqué.</w:t>
      </w:r>
    </w:p>
    <w:p>
      <w:r>
        <w:br w:type="page"/>
      </w:r>
    </w:p>
    <w:bookmarkEnd w:id="27"/>
    <w:bookmarkEnd w:id="28"/>
    <w:bookmarkStart w:id="32" w:name="périmètre"/>
    <w:p>
      <w:pPr>
        <w:pStyle w:val="Heading1"/>
      </w:pPr>
      <w:r>
        <w:t xml:space="preserve">3. Périmètre</w:t>
      </w:r>
    </w:p>
    <w:bookmarkStart w:id="29" w:name="inclus-dans-le-périmètre"/>
    <w:p>
      <w:pPr>
        <w:pStyle w:val="Heading2"/>
      </w:pPr>
      <w:r>
        <w:t xml:space="preserve">3.1 Inclus dans le périmètre</w:t>
      </w:r>
    </w:p>
    <w:p>
      <w:pPr>
        <w:numPr>
          <w:ilvl w:val="0"/>
          <w:numId w:val="1001"/>
        </w:numPr>
        <w:pStyle w:val="Compact"/>
      </w:pPr>
      <w:r>
        <w:t xml:space="preserve">Firmware des sondes connectées (ESP32) et de la passerelle (Raspberry Pi)</w:t>
      </w:r>
    </w:p>
    <w:p>
      <w:pPr>
        <w:numPr>
          <w:ilvl w:val="0"/>
          <w:numId w:val="1001"/>
        </w:numPr>
        <w:pStyle w:val="Compact"/>
      </w:pPr>
      <w:r>
        <w:t xml:space="preserve">Chaîne d’ingestion temps réel et stockage des séries temporelles</w:t>
      </w:r>
    </w:p>
    <w:p>
      <w:pPr>
        <w:numPr>
          <w:ilvl w:val="0"/>
          <w:numId w:val="1001"/>
        </w:numPr>
        <w:pStyle w:val="Compact"/>
      </w:pPr>
      <w:r>
        <w:t xml:space="preserve">Application web multi-organisations : tableaux de bord, configuration, historique</w:t>
      </w:r>
    </w:p>
    <w:p>
      <w:pPr>
        <w:numPr>
          <w:ilvl w:val="0"/>
          <w:numId w:val="1001"/>
        </w:numPr>
        <w:pStyle w:val="Compact"/>
      </w:pPr>
      <w:r>
        <w:t xml:space="preserve">Moteur d’alertes multi-canal (courriel, SMS, WhatsApp)</w:t>
      </w:r>
    </w:p>
    <w:p>
      <w:pPr>
        <w:numPr>
          <w:ilvl w:val="0"/>
          <w:numId w:val="1001"/>
        </w:numPr>
        <w:pStyle w:val="Compact"/>
      </w:pPr>
      <w:r>
        <w:t xml:space="preserve">Génération automatique des rapports de conformité</w:t>
      </w:r>
    </w:p>
    <w:p>
      <w:pPr>
        <w:numPr>
          <w:ilvl w:val="0"/>
          <w:numId w:val="1001"/>
        </w:numPr>
        <w:pStyle w:val="Compact"/>
      </w:pPr>
      <w:r>
        <w:t xml:space="preserve">Gestion des abonnements et facturation</w:t>
      </w:r>
    </w:p>
    <w:p>
      <w:pPr>
        <w:numPr>
          <w:ilvl w:val="0"/>
          <w:numId w:val="1001"/>
        </w:numPr>
        <w:pStyle w:val="Compact"/>
      </w:pPr>
      <w:r>
        <w:t xml:space="preserve">API publique documentée et webhooks</w:t>
      </w:r>
    </w:p>
    <w:p>
      <w:pPr>
        <w:numPr>
          <w:ilvl w:val="0"/>
          <w:numId w:val="1001"/>
        </w:numPr>
        <w:pStyle w:val="Compact"/>
      </w:pPr>
      <w:r>
        <w:t xml:space="preserve">Infrastructure, supervision et sauvegardes</w:t>
      </w:r>
    </w:p>
    <w:bookmarkEnd w:id="29"/>
    <w:bookmarkStart w:id="30" w:name="exclus-du-périmètre"/>
    <w:p>
      <w:pPr>
        <w:pStyle w:val="Heading2"/>
      </w:pPr>
      <w:r>
        <w:t xml:space="preserve">3.2 Exclus du périmètre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mobile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site est conçu pour mobile, une application native n’apporte rien en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Fabrication industrielle des sondes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Assemblage à partir de modules du commerce en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comptable (Sage, Odoo)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Reportée après validation du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 métrologique des sondes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Étalonnage assuré par un laboratoire partenaire, hors développement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hors ligne complet du tableau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consultation nécessite une connexion</w:t>
            </w:r>
          </w:p>
        </w:tc>
      </w:tr>
    </w:tbl>
    <w:bookmarkEnd w:id="30"/>
    <w:bookmarkStart w:id="31" w:name="hypothèses"/>
    <w:p>
      <w:pPr>
        <w:pStyle w:val="Heading2"/>
      </w:pPr>
      <w:r>
        <w:t xml:space="preserve">3.3 Hypothèses</w:t>
      </w:r>
    </w:p>
    <w:p>
      <w:pPr>
        <w:numPr>
          <w:ilvl w:val="0"/>
          <w:numId w:val="1002"/>
        </w:numPr>
        <w:pStyle w:val="Compact"/>
      </w:pPr>
      <w:r>
        <w:t xml:space="preserve">Chaque site dispose d’une connexion Wi-Fi ou d’une couverture GSM.</w:t>
      </w:r>
    </w:p>
    <w:p>
      <w:pPr>
        <w:numPr>
          <w:ilvl w:val="0"/>
          <w:numId w:val="1002"/>
        </w:numPr>
        <w:pStyle w:val="Compact"/>
      </w:pPr>
      <w:r>
        <w:t xml:space="preserve">Les organisations clientes disposent d’au moins un responsable identifié pour recevoir</w:t>
      </w:r>
      <w:r>
        <w:t xml:space="preserve"> </w:t>
      </w:r>
      <w:r>
        <w:t xml:space="preserve">les alertes.</w:t>
      </w:r>
    </w:p>
    <w:p>
      <w:pPr>
        <w:numPr>
          <w:ilvl w:val="0"/>
          <w:numId w:val="1002"/>
        </w:numPr>
        <w:pStyle w:val="Compact"/>
      </w:pPr>
      <w:r>
        <w:t xml:space="preserve">Les sondes sont installées par le client à partir d’une notice, sans intervention sur</w:t>
      </w:r>
      <w:r>
        <w:t xml:space="preserve"> </w:t>
      </w:r>
      <w:r>
        <w:t xml:space="preserve">place.</w:t>
      </w:r>
    </w:p>
    <w:p>
      <w:r>
        <w:br w:type="page"/>
      </w:r>
    </w:p>
    <w:bookmarkEnd w:id="31"/>
    <w:bookmarkEnd w:id="32"/>
    <w:bookmarkStart w:id="35" w:name="acteurs"/>
    <w:p>
      <w:pPr>
        <w:pStyle w:val="Heading1"/>
      </w:pPr>
      <w:r>
        <w:t xml:space="preserve">4. Acteurs</w:t>
      </w:r>
    </w:p>
    <w:bookmarkStart w:id="33" w:name="utilisateurs-de-la-plateforme"/>
    <w:p>
      <w:pPr>
        <w:pStyle w:val="Heading2"/>
      </w:pPr>
      <w:r>
        <w:t xml:space="preserve">4.1 Utilisateurs de la plateforme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Pharmacien, responsable HACCP, directeur de laboratoire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l’historique, produire les rapports pour les contrôles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 de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Préparateur, magasinier, chef de cuisine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Recevoir l’alerte et acquitter l’incident avec un 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Administrateur d’organisation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Gérant, responsable informatique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des sites, des sondes et des utilisateurs, gérer l’abonnement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Administrateur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SONDA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Superviser le parc, assister les clients, suivre la facturation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Auditeur 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Inspecteur ONSSA, auditeur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Accéder en lecture seule à l’historique d’un site sur une période donnée</w:t>
            </w:r>
          </w:p>
        </w:tc>
      </w:tr>
    </w:tbl>
    <w:bookmarkEnd w:id="33"/>
    <w:bookmarkStart w:id="34" w:name="systèmes-tiers"/>
    <w:p>
      <w:pPr>
        <w:pStyle w:val="Heading2"/>
      </w:pPr>
      <w:r>
        <w:t xml:space="preserve">4.2 Systèmes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Passerelle SMS marocaine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des alertes par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des alertes sur le canal réellement utilisé au 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Prestataire de paiement (CMI ou équivalent)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Encaissement des abonnements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de courriel transactionnel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des notifications et des rapports</w:t>
            </w:r>
          </w:p>
        </w:tc>
      </w:tr>
    </w:tbl>
    <w:p>
      <w:r>
        <w:br w:type="page"/>
      </w:r>
    </w:p>
    <w:bookmarkEnd w:id="34"/>
    <w:bookmarkEnd w:id="35"/>
    <w:bookmarkStart w:id="44" w:name="exigences-fonctionnelles"/>
    <w:p>
      <w:pPr>
        <w:pStyle w:val="Heading1"/>
      </w:pPr>
      <w:r>
        <w:t xml:space="preserve">5. Exigences fonctionnelles</w:t>
      </w:r>
    </w:p>
    <w:p>
      <w:pPr>
        <w:pStyle w:val="FirstParagraph"/>
      </w:pPr>
      <w:r>
        <w:t xml:space="preserve">Priorités selon la méthode MoSCoW 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indispensable,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important,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souhaitable,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hors phase 1.</w:t>
      </w:r>
    </w:p>
    <w:bookmarkStart w:id="36" w:name="module-a-organisations-et-utilisateurs"/>
    <w:p>
      <w:pPr>
        <w:pStyle w:val="Heading2"/>
      </w:pPr>
      <w:r>
        <w:t xml:space="preserve">5.1 Module A — Organisations et utilisateurs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organisation regroupe des sites, des utilisateurs et un abonnement. Aucune donnée n’est visible d’une organisation à l’autre.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 en ligne avec vérification de l’adresse électronique et création automatique de l’organisation.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Quatre rôles : administrateur, responsable qualité, opérateur, lecteur. Les droits sont vérifiés côté serveur sur chaque requête.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d’un utilisateur par courriel avec attribution d’un rôle et d’un périmètre de sites.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à deux facteurs (TOTP), obligatoire pour le rôle administrateur.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d’audit horodaté et non modifiable de toute action sensible : création, modification de seuil, acquittement, export.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auditeur : lien à durée de validité limitée donnant un accès en lecture seule à un site et une période.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36"/>
    <w:bookmarkStart w:id="37" w:name="module-b-parc-de-sondes"/>
    <w:p>
      <w:pPr>
        <w:pStyle w:val="Heading2"/>
      </w:pPr>
      <w:r>
        <w:t xml:space="preserve">5.2 Module B — Parc de sondes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Hiérarchie à trois niveaux : organisation → site → zone (chambre froide, réfrigérateur, local technique).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Enrôlement d’une sonde par lecture d’un QR code portant son identifiant et sa clé de provisionnement.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sonde possède un certificat client unique, révocable individuellement.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d’état par sonde : en ligne, silencieuse, batterie faible, erreur de mesure.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du firmware à distance, par lot, avec retour arrière automatique en cas d’échec de démarrage.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 de la date d’étalonnage et alerte à l’approche de l’échéance.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EF-B07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 en charge d’une passerelle LoRaWAN pour les sites sans couverture Wi-Fi.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7"/>
    <w:bookmarkStart w:id="38" w:name="module-c-acquisition-et-stockage"/>
    <w:p>
      <w:pPr>
        <w:pStyle w:val="Heading2"/>
      </w:pPr>
      <w:r>
        <w:t xml:space="preserve">5.3 Module C — Acquisition et stockage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sondes publient leurs mesures en MQTT sur TLS, à une périodicité configurable de 1 à 60 minutes.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mesure est validée avant écriture : plage physique plausible, horodatage cohérent, sonde connue et active.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mesure rejetée est conservée dans une file d’erreurs consultable par l’administrateur plateforme, jamais silencieusement perdue.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cas de coupure réseau, la sonde stocke localement jusqu’à 72 h de mesures et les retransmet à la reconnexion sans doublon.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mesures brutes sont conservées 90 jours, puis agrégées au pas horaire (minimum, maximum, moyenne) pour 5 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L’écriture est idempotente : une même mesure retransmise deux fois n’est stockée qu’une fois.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38"/>
    <w:bookmarkStart w:id="39" w:name="module-d-supervision-et-alertes"/>
    <w:p>
      <w:pPr>
        <w:pStyle w:val="Heading2"/>
      </w:pPr>
      <w:r>
        <w:t xml:space="preserve">5.4 Module D — Supervision et alertes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par zone d’un seuil haut, d’un seuil bas et d’une durée de tolérance, afin de ne pas déclencher d’alerte lors d’une ouverture de porte.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Déclenchement d’une alerte dans les 60 secondes suivant la mesure en dépassement confirmée.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 spécifique en cas de silence d’une sonde au-delà de trois périodes de relevé.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Escalade paramétrable : notification du responsable, puis du suppléant si l’alerte n’est pas acquittée dans le délai défini.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Canaux de notification : courriel, SMS, WhatsApp, notification dans l’application.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Acquittement obligatoire avec sélection d’une cause et saisie de l’action corrective.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programmé lors des opérations de maintenance ou de dégivrage planifiées.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temps réel affichant l’état de toutes les zones, actualisé sans rechargement de la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39"/>
    <w:bookmarkStart w:id="40" w:name="module-e-historique-et-rapports"/>
    <w:p>
      <w:pPr>
        <w:pStyle w:val="Heading2"/>
      </w:pPr>
      <w:r>
        <w:t xml:space="preserve">5.5 Module E — Historique et rapports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Courbe de température par zone sur une période choisie, avec les seuils et les incidents matérialisés.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des données brutes au format CSV et Excel sur la période sélectionnée.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automatique le premier jour de chaque mois d’un rapport PDF par site.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rapport contient : courbes, taux de conformité, liste des incidents avec leurs actions correctives, empreinte numérique du 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d’intégrité : toute personne peut contrôler qu’un rapport PDF n’a pas été modifié depuis son émission.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de rapport adaptable au secteur : agro-alimentaire, pharmacie, laboratoire.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0"/>
    <w:bookmarkStart w:id="41" w:name="module-f-abonnement-et-facturation"/>
    <w:p>
      <w:pPr>
        <w:pStyle w:val="Heading2"/>
      </w:pPr>
      <w:r>
        <w:t xml:space="preserve">5.6 Module F — Abonnement et facturation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formules d’abonnement facturées par sonde et par mois.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 d’essai de 30 jours sans moyen de paiement.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mensuelle automatique, proratisée à l’ajout ou au retrait d’une sonde.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 PDF conforme aux mentions légales marocaines, avec TVA.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de l’accès au tableau de bord après 15 jours d’impayé — sans jamais interrompre l’acquisition ni l’envoi des alertes.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en ligne par carte et virement bancaire avec rapprochement manuel.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1"/>
    <w:bookmarkStart w:id="42" w:name="module-g-intelligence-des-données"/>
    <w:p>
      <w:pPr>
        <w:pStyle w:val="Heading2"/>
      </w:pPr>
      <w:r>
        <w:t xml:space="preserve">5.7 Module G — Intelligence des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d’anomalies non liées aux seuils : dérive lente, cycles de dégivrage anormaux, comportement s’écartant de l’habitude de la zone.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EF-G02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 du temps restant avant franchissement du seuil lors d’une montée en température, pour prioriser les interventions.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EF-G03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santé mensuel par équipement frigorifique, fondé sur la stabilité et la fréquence des incidents.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EF-G04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prédiction est présentée comme une indication et n’est jamais substituée à une alerte de seuil.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2"/>
    <w:bookmarkStart w:id="43" w:name="module-h-api-et-intégrations"/>
    <w:p>
      <w:pPr>
        <w:pStyle w:val="Heading2"/>
      </w:pPr>
      <w:r>
        <w:t xml:space="preserve">5.8 Module H — API et intégrations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EF-H01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versionnée, authentifiée par jeton, documentée en OpenAPI.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EF-H02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sortants sur les événements d’alerte, avec signature et réémission en cas d’échec.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EF-H03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de débit par organisation et par jeton.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EF-H04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 de démonstration avec données fictives.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>
      <w:r>
        <w:br w:type="page"/>
      </w:r>
    </w:p>
    <w:bookmarkEnd w:id="43"/>
    <w:bookmarkEnd w:id="44"/>
    <w:bookmarkStart w:id="48" w:name="parcours-utilisateurs-principaux"/>
    <w:p>
      <w:pPr>
        <w:pStyle w:val="Heading1"/>
      </w:pPr>
      <w:r>
        <w:t xml:space="preserve">6. Parcours utilisateurs principaux</w:t>
      </w:r>
    </w:p>
    <w:bookmarkStart w:id="45" w:name="mise-en-service-dun-site"/>
    <w:p>
      <w:pPr>
        <w:pStyle w:val="Heading2"/>
      </w:pPr>
      <w:r>
        <w:t xml:space="preserve">6.1 Mise en service d’un site</w:t>
      </w:r>
    </w:p>
    <w:p>
      <w:pPr>
        <w:numPr>
          <w:ilvl w:val="0"/>
          <w:numId w:val="1003"/>
        </w:numPr>
        <w:pStyle w:val="Compact"/>
      </w:pPr>
      <w:r>
        <w:t xml:space="preserve">L’administrateur crée le site et déclare ses zones.</w:t>
      </w:r>
    </w:p>
    <w:p>
      <w:pPr>
        <w:numPr>
          <w:ilvl w:val="0"/>
          <w:numId w:val="1003"/>
        </w:numPr>
        <w:pStyle w:val="Compact"/>
      </w:pPr>
      <w:r>
        <w:t xml:space="preserve">Il reçoit les sondes, préconfigurées et étiquetées.</w:t>
      </w:r>
    </w:p>
    <w:p>
      <w:pPr>
        <w:numPr>
          <w:ilvl w:val="0"/>
          <w:numId w:val="1003"/>
        </w:numPr>
        <w:pStyle w:val="Compact"/>
      </w:pPr>
      <w:r>
        <w:t xml:space="preserve">Pour chaque sonde, il scanne le QR code depuis l’application ; la sonde est rattachée</w:t>
      </w:r>
      <w:r>
        <w:t xml:space="preserve"> </w:t>
      </w:r>
      <w:r>
        <w:t xml:space="preserve">à une zone.</w:t>
      </w:r>
    </w:p>
    <w:p>
      <w:pPr>
        <w:numPr>
          <w:ilvl w:val="0"/>
          <w:numId w:val="1003"/>
        </w:numPr>
        <w:pStyle w:val="Compact"/>
      </w:pPr>
      <w:r>
        <w:t xml:space="preserve">Il alimente la sonde et saisit les identifiants Wi-Fi via le point d’accès temporaire</w:t>
      </w:r>
      <w:r>
        <w:t xml:space="preserve"> </w:t>
      </w:r>
      <w:r>
        <w:t xml:space="preserve">ouvert par celle-ci.</w:t>
      </w:r>
    </w:p>
    <w:p>
      <w:pPr>
        <w:numPr>
          <w:ilvl w:val="0"/>
          <w:numId w:val="1003"/>
        </w:numPr>
        <w:pStyle w:val="Compact"/>
      </w:pPr>
      <w:r>
        <w:t xml:space="preserve">La première mesure remonte en moins de deux minutes ; la sonde passe à l’état « en ligne ».</w:t>
      </w:r>
    </w:p>
    <w:p>
      <w:pPr>
        <w:numPr>
          <w:ilvl w:val="0"/>
          <w:numId w:val="1003"/>
        </w:numPr>
        <w:pStyle w:val="Compact"/>
      </w:pPr>
      <w:r>
        <w:t xml:space="preserve">Il définit les seuils de la zone et les destinataires des alertes.</w:t>
      </w:r>
    </w:p>
    <w:p>
      <w:pPr>
        <w:pStyle w:val="FirstParagraph"/>
      </w:pPr>
      <w:r>
        <w:rPr>
          <w:bCs/>
          <w:b/>
        </w:rPr>
        <w:t xml:space="preserve">Critère d’acceptation</w:t>
      </w:r>
      <w:r>
        <w:t xml:space="preserve"> </w:t>
      </w:r>
      <w:r>
        <w:t xml:space="preserve">: un utilisateur non technique met en service une sonde en</w:t>
      </w:r>
      <w:r>
        <w:t xml:space="preserve"> </w:t>
      </w:r>
      <w:r>
        <w:t xml:space="preserve">moins de dix minutes, notice en main, sans assistance.</w:t>
      </w:r>
    </w:p>
    <w:bookmarkEnd w:id="45"/>
    <w:bookmarkStart w:id="46" w:name="traitement-dun-incident"/>
    <w:p>
      <w:pPr>
        <w:pStyle w:val="Heading2"/>
      </w:pPr>
      <w:r>
        <w:t xml:space="preserve">6.2 Traitement d’un incident</w:t>
      </w:r>
    </w:p>
    <w:p>
      <w:pPr>
        <w:numPr>
          <w:ilvl w:val="0"/>
          <w:numId w:val="1004"/>
        </w:numPr>
        <w:pStyle w:val="Compact"/>
      </w:pPr>
      <w:r>
        <w:t xml:space="preserve">La température d’une chambre froide dépasse le seuil haut pendant plus longtemps que</w:t>
      </w:r>
      <w:r>
        <w:t xml:space="preserve"> </w:t>
      </w:r>
      <w:r>
        <w:t xml:space="preserve">la tolérance configurée.</w:t>
      </w:r>
    </w:p>
    <w:p>
      <w:pPr>
        <w:numPr>
          <w:ilvl w:val="0"/>
          <w:numId w:val="1004"/>
        </w:numPr>
        <w:pStyle w:val="Compact"/>
      </w:pPr>
      <w:r>
        <w:t xml:space="preserve">Une alerte est créée ; le responsable reçoit un message WhatsApp et un SMS.</w:t>
      </w:r>
    </w:p>
    <w:p>
      <w:pPr>
        <w:numPr>
          <w:ilvl w:val="0"/>
          <w:numId w:val="1004"/>
        </w:numPr>
        <w:pStyle w:val="Compact"/>
      </w:pPr>
      <w:r>
        <w:t xml:space="preserve">Sans acquittement dans les 15 minutes, le suppléant est notifié à son tour.</w:t>
      </w:r>
    </w:p>
    <w:p>
      <w:pPr>
        <w:numPr>
          <w:ilvl w:val="0"/>
          <w:numId w:val="1004"/>
        </w:numPr>
        <w:pStyle w:val="Compact"/>
      </w:pPr>
      <w:r>
        <w:t xml:space="preserve">L’opérateur ouvre le lien, constate la porte restée ouverte, la referme et acquitte</w:t>
      </w:r>
      <w:r>
        <w:t xml:space="preserve"> </w:t>
      </w:r>
      <w:r>
        <w:t xml:space="preserve">l’alerte en indiquant la cause et l’action menée.</w:t>
      </w:r>
    </w:p>
    <w:p>
      <w:pPr>
        <w:numPr>
          <w:ilvl w:val="0"/>
          <w:numId w:val="1004"/>
        </w:numPr>
        <w:pStyle w:val="Compact"/>
      </w:pPr>
      <w:r>
        <w:t xml:space="preserve">La température revient sous le seuil ; l’incident est clos automatiquement avec sa</w:t>
      </w:r>
      <w:r>
        <w:t xml:space="preserve"> </w:t>
      </w:r>
      <w:r>
        <w:t xml:space="preserve">durée totale.</w:t>
      </w:r>
    </w:p>
    <w:p>
      <w:pPr>
        <w:numPr>
          <w:ilvl w:val="0"/>
          <w:numId w:val="1004"/>
        </w:numPr>
        <w:pStyle w:val="Compact"/>
      </w:pPr>
      <w:r>
        <w:t xml:space="preserve">L’incident et son traitement figurent dans le rapport mensuel.</w:t>
      </w:r>
    </w:p>
    <w:bookmarkEnd w:id="46"/>
    <w:bookmarkStart w:id="47" w:name="contrôle-réglementaire"/>
    <w:p>
      <w:pPr>
        <w:pStyle w:val="Heading2"/>
      </w:pPr>
      <w:r>
        <w:t xml:space="preserve">6.3 Contrôle réglementaire</w:t>
      </w:r>
    </w:p>
    <w:p>
      <w:pPr>
        <w:numPr>
          <w:ilvl w:val="0"/>
          <w:numId w:val="1005"/>
        </w:numPr>
        <w:pStyle w:val="Compact"/>
      </w:pPr>
      <w:r>
        <w:t xml:space="preserve">Un inspecteur demande l’historique des six derniers mois.</w:t>
      </w:r>
    </w:p>
    <w:p>
      <w:pPr>
        <w:numPr>
          <w:ilvl w:val="0"/>
          <w:numId w:val="1005"/>
        </w:numPr>
        <w:pStyle w:val="Compact"/>
      </w:pPr>
      <w:r>
        <w:t xml:space="preserve">Le responsable qualité télécharge les rapports mensuels déjà générés.</w:t>
      </w:r>
    </w:p>
    <w:p>
      <w:pPr>
        <w:numPr>
          <w:ilvl w:val="0"/>
          <w:numId w:val="1005"/>
        </w:numPr>
        <w:pStyle w:val="Compact"/>
      </w:pPr>
      <w:r>
        <w:t xml:space="preserve">Chaque rapport porte une empreinte numérique vérifiable en ligne, ce qui atteste qu’il</w:t>
      </w:r>
      <w:r>
        <w:t xml:space="preserve"> </w:t>
      </w:r>
      <w:r>
        <w:t xml:space="preserve">n’a pas été modifié après émission.</w:t>
      </w:r>
    </w:p>
    <w:p>
      <w:r>
        <w:br w:type="page"/>
      </w:r>
    </w:p>
    <w:bookmarkEnd w:id="47"/>
    <w:bookmarkEnd w:id="48"/>
    <w:bookmarkStart w:id="55" w:name="exigences-non-fonctionnelles"/>
    <w:p>
      <w:pPr>
        <w:pStyle w:val="Heading1"/>
      </w:pPr>
      <w:r>
        <w:t xml:space="preserve">7. Exigences non fonctionnelles</w:t>
      </w:r>
    </w:p>
    <w:bookmarkStart w:id="49" w:name="performance"/>
    <w:p>
      <w:pPr>
        <w:pStyle w:val="Heading2"/>
      </w:pPr>
      <w:r>
        <w:t xml:space="preserve">7.1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soutenue de 10 000 messages par minute avec une latence de bout en bout inférieure à 5 secondes.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de réponse de l’API inférieur à 300 ms au 95</w:t>
            </w:r>
            <w:r>
              <w:t xml:space="preserve">e</w:t>
            </w:r>
            <w:r>
              <w:t xml:space="preserve"> </w:t>
            </w:r>
            <w:r>
              <w:t xml:space="preserve">centile.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ENF-P03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Affichage complet du tableau de bord en moins de 2 secondes pour un site de 50 zones.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ENF-P04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d’un rapport mensuel en moins de 30 secondes.</w:t>
            </w:r>
          </w:p>
        </w:tc>
      </w:tr>
    </w:tbl>
    <w:bookmarkEnd w:id="49"/>
    <w:bookmarkStart w:id="50" w:name="disponibilité-et-continuité"/>
    <w:p>
      <w:pPr>
        <w:pStyle w:val="Heading2"/>
      </w:pPr>
      <w:r>
        <w:t xml:space="preserve">7.2 Disponibilité et continuité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de la chaîne d’acquisition et d’alerte : 99,5 % mensuels.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données maximale admissible : 15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maximal de remise en service : 4 heures.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quotidienne chiffrée, conservée 30 jours, avec test de restauration mensuel.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indisponibilité de la plateforme ne doit pas entraîner de perte de mesure : les sondes tamponnent localement.</w:t>
            </w:r>
          </w:p>
        </w:tc>
      </w:tr>
    </w:tbl>
    <w:bookmarkEnd w:id="50"/>
    <w:bookmarkStart w:id="51" w:name="sécurité"/>
    <w:p>
      <w:pPr>
        <w:pStyle w:val="Heading2"/>
      </w:pPr>
      <w:r>
        <w:t xml:space="preserve">7.3 Sécurité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mutuelle par certificat entre chaque sonde et le courtier MQTT.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Chiffrement TLS 1.3 de tous les échanges, chiffrement au repos des bases de données et des sauvegardes.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Cloisonnement des données par organisation vérifié au niveau de la requête, jamais uniquement au niveau de l’interface.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secret dans le code source ; gestion par coffre-fort de secrets.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d’audit en écriture seule, conservé 5 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automatique des dépendances et des images de conteneurs à chaque intégration.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d’intrusion externe avant la mise en production.</w:t>
            </w:r>
          </w:p>
        </w:tc>
      </w:tr>
    </w:tbl>
    <w:bookmarkEnd w:id="51"/>
    <w:bookmarkStart w:id="52" w:name="conformité"/>
    <w:p>
      <w:pPr>
        <w:pStyle w:val="Heading2"/>
      </w:pPr>
      <w:r>
        <w:t xml:space="preserve">7.4 Conformité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du traitement auprès de la CNDP au titre de la loi 09-08 sur la protection des données à caractère personnel.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des données au Maroc ou dans un pays reconnu comme offrant un niveau de protection adéquat.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 d’accès, de rectification et d’opposition exposé dans l’interface.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complet des données d’une organisation à sa demande, dans un format ouvert, sous 72 heures.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des mesures conforme aux principes HACCP : donnée d’origine non modifiable, correction uniquement par ajout.</w:t>
            </w:r>
          </w:p>
        </w:tc>
      </w:tr>
    </w:tbl>
    <w:bookmarkEnd w:id="52"/>
    <w:bookmarkStart w:id="53" w:name="ergonomie-et-accessibilité"/>
    <w:p>
      <w:pPr>
        <w:pStyle w:val="Heading2"/>
      </w:pPr>
      <w:r>
        <w:t xml:space="preserve">7.5 Ergonomie et accessibilité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en français et en arabe, avec prise en charge de l’écriture de droite à gauche.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 prioritairement mobile : les alertes sont traitées depuis un téléphone.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au niveau AA des règles d’accessibilité WCAG 2.1.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information critique transmise par la seule couleur.</w:t>
            </w:r>
          </w:p>
        </w:tc>
      </w:tr>
    </w:tbl>
    <w:bookmarkEnd w:id="53"/>
    <w:bookmarkStart w:id="54" w:name="maintenabilité"/>
    <w:p>
      <w:pPr>
        <w:pStyle w:val="Heading2"/>
      </w:pPr>
      <w:r>
        <w:t xml:space="preserve">7.6 Maintenabilité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de tests automatisés supérieure à 80 % sur le back-end.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mise en production passe par l’intégration continue ; aucun accès direct au serveur de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d’architecture tenue à jour, avec un journal des décisions techniques.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ENF-M04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 de développement complet démarré par une seule commande.</w:t>
            </w:r>
          </w:p>
        </w:tc>
      </w:tr>
    </w:tbl>
    <w:p>
      <w:r>
        <w:br w:type="page"/>
      </w:r>
    </w:p>
    <w:bookmarkEnd w:id="54"/>
    <w:bookmarkEnd w:id="55"/>
    <w:bookmarkStart w:id="62" w:name="architecture-technique"/>
    <w:p>
      <w:pPr>
        <w:pStyle w:val="Heading1"/>
      </w:pPr>
      <w:r>
        <w:t xml:space="preserve">8. Architecture technique</w:t>
      </w:r>
    </w:p>
    <w:bookmarkStart w:id="56" w:name="vue-densemble"/>
    <w:p>
      <w:pPr>
        <w:pStyle w:val="Heading2"/>
      </w:pPr>
      <w:r>
        <w:t xml:space="preserve">8.1 Vue d’ensemble</w:t>
      </w:r>
    </w:p>
    <w:p>
      <w:pPr>
        <w:pStyle w:val="SourceCode"/>
      </w:pPr>
      <w:r>
        <w:rPr>
          <w:rStyle w:val="VerbatimChar"/>
        </w:rPr>
        <w:t xml:space="preserve">  TERRAIN                     PLATEFORME                        USAGES</w:t>
      </w:r>
      <w:r>
        <w:br/>
      </w:r>
      <w:r>
        <w:rPr>
          <w:rStyle w:val="VerbatimChar"/>
        </w:rPr>
        <w:t xml:space="preserve">  ───────                     ──────────                        ──────</w:t>
      </w:r>
      <w:r>
        <w:br/>
      </w:r>
      <w:r>
        <w:br/>
      </w:r>
      <w:r>
        <w:rPr>
          <w:rStyle w:val="VerbatimChar"/>
        </w:rPr>
        <w:t xml:space="preserve"> ┌──────────┐   MQTT/TLS   ┌──────────────┐</w:t>
      </w:r>
      <w:r>
        <w:br/>
      </w:r>
      <w:r>
        <w:rPr>
          <w:rStyle w:val="VerbatimChar"/>
        </w:rPr>
        <w:t xml:space="preserve"> │  Sonde   │─────────────▶│   Courtier   │</w:t>
      </w:r>
      <w:r>
        <w:br/>
      </w:r>
      <w:r>
        <w:rPr>
          <w:rStyle w:val="VerbatimChar"/>
        </w:rPr>
        <w:t xml:space="preserve"> │  ESP32   │              │     MQTT     │</w:t>
      </w:r>
      <w:r>
        <w:br/>
      </w:r>
      <w:r>
        <w:rPr>
          <w:rStyle w:val="VerbatimChar"/>
        </w:rPr>
        <w:t xml:space="preserve"> │ + DS18B20│              └──────┬───────┘</w:t>
      </w:r>
      <w:r>
        <w:br/>
      </w:r>
      <w:r>
        <w:rPr>
          <w:rStyle w:val="VerbatimChar"/>
        </w:rPr>
        <w:t xml:space="preserve"> └──────────┘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┌──────────┐              ┌──────────────┐   ┌──────────┐</w:t>
      </w:r>
      <w:r>
        <w:br/>
      </w:r>
      <w:r>
        <w:rPr>
          <w:rStyle w:val="VerbatimChar"/>
        </w:rPr>
        <w:t xml:space="preserve"> │Passerelle│   LoRaWAN    │   Service    │──▶│ InfluxDB │   séries temporelles</w:t>
      </w:r>
      <w:r>
        <w:br/>
      </w:r>
      <w:r>
        <w:rPr>
          <w:rStyle w:val="VerbatimChar"/>
        </w:rPr>
        <w:t xml:space="preserve"> │   RPi    │─────────────▶│ d'ingestion  │   └──────────┘</w:t>
      </w:r>
      <w:r>
        <w:br/>
      </w:r>
      <w:r>
        <w:rPr>
          <w:rStyle w:val="VerbatimChar"/>
        </w:rPr>
        <w:t xml:space="preserve"> └──────────┘              │  (asyncio)   │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┌──────────────┐   ┌──────────┐</w:t>
      </w:r>
      <w:r>
        <w:br/>
      </w:r>
      <w:r>
        <w:rPr>
          <w:rStyle w:val="VerbatimChar"/>
        </w:rPr>
        <w:t xml:space="preserve">                           │   Django 5   │──▶│PostgreSQL│   métier, comptes</w:t>
      </w:r>
      <w:r>
        <w:br/>
      </w:r>
      <w:r>
        <w:rPr>
          <w:rStyle w:val="VerbatimChar"/>
        </w:rPr>
        <w:t xml:space="preserve">                           │   + DRF      │   └──────────┘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│           ┌──────────┐</w:t>
      </w:r>
      <w:r>
        <w:br/>
      </w:r>
      <w:r>
        <w:rPr>
          <w:rStyle w:val="VerbatimChar"/>
        </w:rPr>
        <w:t xml:space="preserve">                           ┌──────┴───────┐──▶│  Redis   │   cache, files</w:t>
      </w:r>
      <w:r>
        <w:br/>
      </w:r>
      <w:r>
        <w:rPr>
          <w:rStyle w:val="VerbatimChar"/>
        </w:rPr>
        <w:t xml:space="preserve">                           │    Celery    │   └──────────┘</w:t>
      </w:r>
      <w:r>
        <w:br/>
      </w:r>
      <w:r>
        <w:rPr>
          <w:rStyle w:val="VerbatimChar"/>
        </w:rPr>
        <w:t xml:space="preserve">                           │  (alertes,   │</w:t>
      </w:r>
      <w:r>
        <w:br/>
      </w:r>
      <w:r>
        <w:rPr>
          <w:rStyle w:val="VerbatimChar"/>
        </w:rPr>
        <w:t xml:space="preserve">                           │   rapports)  │        ┌─────────────────┐</w:t>
      </w:r>
      <w:r>
        <w:br/>
      </w:r>
      <w:r>
        <w:rPr>
          <w:rStyle w:val="VerbatimChar"/>
        </w:rPr>
        <w:t xml:space="preserve">                           └──────┬───────┘───────▶│ SMS / WhatsApp  │</w:t>
      </w:r>
      <w:r>
        <w:br/>
      </w:r>
      <w:r>
        <w:rPr>
          <w:rStyle w:val="VerbatimChar"/>
        </w:rPr>
        <w:t xml:space="preserve">                                  │                │    / courriel   │</w:t>
      </w:r>
      <w:r>
        <w:br/>
      </w:r>
      <w:r>
        <w:rPr>
          <w:rStyle w:val="VerbatimChar"/>
        </w:rPr>
        <w:t xml:space="preserve">                                  ▼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│  Interface   │◀── navigateur (responsable qualité)</w:t>
      </w:r>
      <w:r>
        <w:br/>
      </w:r>
      <w:r>
        <w:rPr>
          <w:rStyle w:val="VerbatimChar"/>
        </w:rPr>
        <w:t xml:space="preserve">                           │ HTMX+Tailwind│◀── API REST (intégrations tierces)</w:t>
      </w:r>
      <w:r>
        <w:br/>
      </w:r>
      <w:r>
        <w:rPr>
          <w:rStyle w:val="VerbatimChar"/>
        </w:rPr>
        <w:t xml:space="preserve">                           └──────────────┘</w:t>
      </w:r>
    </w:p>
    <w:bookmarkEnd w:id="56"/>
    <w:bookmarkStart w:id="57" w:name="choix-techniques-et-justifications"/>
    <w:p>
      <w:pPr>
        <w:pStyle w:val="Heading2"/>
      </w:pPr>
      <w:r>
        <w:t xml:space="preserve">8.2 Choix techniques et justifications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sur ESP32, 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matériel faible, Wi-Fi intégré, maîtrise fine de la consommation et du tampon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Protocole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sur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Conçu pour les liaisons instables et à faible débit, reprise de session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Séries temporelles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InfluxDB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Agrégation et rétention automatiques ; un moteur relationnel classique s’effondre sur ce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Intégrité transactionnelle sur les comptes, les abonnements et l’audit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5 + DRF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Écosystème mature pour l’authentification, les rôles, l’administration et la facturation ; c’est aussi la technologie que je maîtrise le mieux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Tâches asynchrones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Alertes, rapports et agrégations doivent sortir du cycle de requête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HTMX + Alpine.js +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tableau de bord temps réel ne justifie pas une application monopage complète ; cette pile réduit la surface de code et les délais sans sacrifier la réactivité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Suffisant pour des séries temporelles, léger sur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WeasyPrint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écrits en HTML et CSS, donc modifiables sans recompilation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Conteneurisation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Parité stricte entre développement et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Montée en charge indépendante de l’ingestion et de l’interface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analyse, construction et déploiement déclenchés à chaque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plateforme qui surveille les clients doit elle-même être surveillée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sur l’interface.</w:t>
      </w:r>
      <w:r>
        <w:t xml:space="preserve"> </w:t>
      </w:r>
      <w:r>
        <w:t xml:space="preserve">Le choix de HTMX plutôt que React est délibéré : l’application</w:t>
      </w:r>
      <w:r>
        <w:t xml:space="preserve"> </w:t>
      </w:r>
      <w:r>
        <w:t xml:space="preserve">est majoritairement constituée de formulaires, de tableaux et de graphiques rafraîchis</w:t>
      </w:r>
      <w:r>
        <w:t xml:space="preserve"> </w:t>
      </w:r>
      <w:r>
        <w:t xml:space="preserve">par le serveur. Une application monopage aurait doublé la base de code et introduit une</w:t>
      </w:r>
      <w:r>
        <w:t xml:space="preserve"> </w:t>
      </w:r>
      <w:r>
        <w:t xml:space="preserve">seconde chaîne de construction pour un gain d’expérience utilisateur marginal. Ce choix</w:t>
      </w:r>
      <w:r>
        <w:t xml:space="preserve"> </w:t>
      </w:r>
      <w:r>
        <w:t xml:space="preserve">sera réexaminé si un module réellement interactif apparaît.</w:t>
      </w:r>
    </w:p>
    <w:bookmarkEnd w:id="57"/>
    <w:bookmarkStart w:id="58" w:name="stratégie-multi-organisations"/>
    <w:p>
      <w:pPr>
        <w:pStyle w:val="Heading2"/>
      </w:pPr>
      <w:r>
        <w:t xml:space="preserve">8.3 Stratégie multi-organisations</w:t>
      </w:r>
    </w:p>
    <w:p>
      <w:pPr>
        <w:pStyle w:val="FirstParagraph"/>
      </w:pPr>
      <w:r>
        <w:t xml:space="preserve">Base de données unique, isolation par colonne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sur chaque table</w:t>
      </w:r>
      <w:r>
        <w:t xml:space="preserve"> </w:t>
      </w:r>
      <w:r>
        <w:t xml:space="preserve">concernée, avec application de la politique de sécurité au niveau des lignes</w:t>
      </w:r>
      <w:r>
        <w:t xml:space="preserve"> </w:t>
      </w:r>
      <w:r>
        <w:t xml:space="preserve">(</w:t>
      </w:r>
      <w:r>
        <w:rPr>
          <w:iCs/>
          <w:i/>
        </w:rPr>
        <w:t xml:space="preserve">row-level security</w:t>
      </w:r>
      <w:r>
        <w:t xml:space="preserve">) directement dans PostgreSQL.</w:t>
      </w:r>
    </w:p>
    <w:p>
      <w:pPr>
        <w:pStyle w:val="BodyText"/>
      </w:pPr>
      <w:r>
        <w:t xml:space="preserve">Motif de ce choix : un schéma par client complique les migrations dès quelques centaines</w:t>
      </w:r>
      <w:r>
        <w:t xml:space="preserve"> </w:t>
      </w:r>
      <w:r>
        <w:t xml:space="preserve">d’organisations, alors qu’une base par client rend le coût d’infrastructure prohibitif à</w:t>
      </w:r>
      <w:r>
        <w:t xml:space="preserve"> </w:t>
      </w:r>
      <w:r>
        <w:t xml:space="preserve">ce niveau de tarif. Le risque principal — une requête oubliant le filtre — est neutralisé</w:t>
      </w:r>
      <w:r>
        <w:t xml:space="preserve"> </w:t>
      </w:r>
      <w:r>
        <w:t xml:space="preserve">au niveau de la base plutôt que dans le code applicatif, et vérifié par des tests dédiés</w:t>
      </w:r>
      <w:r>
        <w:t xml:space="preserve"> </w:t>
      </w:r>
      <w:r>
        <w:t xml:space="preserve">qui tentent explicitement un accès transversal.</w:t>
      </w:r>
    </w:p>
    <w:bookmarkEnd w:id="58"/>
    <w:bookmarkStart w:id="59" w:name="modèle-de-données-entités-principales"/>
    <w:p>
      <w:pPr>
        <w:pStyle w:val="Heading2"/>
      </w:pPr>
      <w:r>
        <w:t xml:space="preserve">8.4 Modèle de données (entités principales)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structurants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 sociale, ICE, secteur, formule, état de l’abonnement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identité, rôle, périmètre de sites, préférences d’alerte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organisation, adresse, fuseau,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site, type, seuils haut et bas, durée de tolérance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zone, numéro de série, certificat, version de firmware, état, étalonnage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sonde, horodatage, température, humidité, batterie, qualité du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InfluxDB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zone, type, début, fin, gravité, 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Acquittement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alerte, utilisateur, cause, action corrective, horodatage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site, période, empreinte SHA-256, chemin du 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stockage objet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organisation, formule, nombre de sondes, échéance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Écriture d’audit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acteur, action, cible, horodatage, adresse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écriture seule</w:t>
            </w:r>
          </w:p>
        </w:tc>
      </w:tr>
    </w:tbl>
    <w:bookmarkEnd w:id="59"/>
    <w:bookmarkStart w:id="60" w:name="points-dentrée-de-lapi"/>
    <w:p>
      <w:pPr>
        <w:pStyle w:val="Heading2"/>
      </w:pPr>
      <w:r>
        <w:t xml:space="preserve">8.5 Points d’entrée de l’API</w:t>
      </w:r>
    </w:p>
    <w:p>
      <w:pPr>
        <w:pStyle w:val="SourceCode"/>
      </w:pPr>
      <w:r>
        <w:rPr>
          <w:rStyle w:val="VerbatimChar"/>
        </w:rPr>
        <w:t xml:space="preserve">POST   /api/v1/auth/token                  authentification</w:t>
      </w:r>
      <w:r>
        <w:br/>
      </w:r>
      <w:r>
        <w:rPr>
          <w:rStyle w:val="VerbatimChar"/>
        </w:rPr>
        <w:t xml:space="preserve">GET    /api/v1/sites                       liste des sites accessibles</w:t>
      </w:r>
      <w:r>
        <w:br/>
      </w:r>
      <w:r>
        <w:rPr>
          <w:rStyle w:val="VerbatimChar"/>
        </w:rPr>
        <w:t xml:space="preserve">GET    /api/v1/sites/{id}/zones            zones d'un site</w:t>
      </w:r>
      <w:r>
        <w:br/>
      </w:r>
      <w:r>
        <w:rPr>
          <w:rStyle w:val="VerbatimChar"/>
        </w:rPr>
        <w:t xml:space="preserve">GET    /api/v1/zones/{id}/mesures          historique, paramètres : debut, fin, pas</w:t>
      </w:r>
      <w:r>
        <w:br/>
      </w:r>
      <w:r>
        <w:rPr>
          <w:rStyle w:val="VerbatimChar"/>
        </w:rPr>
        <w:t xml:space="preserve">GET    /api/v1/zones/{id}/etat             dernière mesure et état courant</w:t>
      </w:r>
      <w:r>
        <w:br/>
      </w:r>
      <w:r>
        <w:rPr>
          <w:rStyle w:val="VerbatimChar"/>
        </w:rPr>
        <w:t xml:space="preserve">PATCH  /api/v1/zones/{id}/seuils           modification des seuils</w:t>
      </w:r>
      <w:r>
        <w:br/>
      </w:r>
      <w:r>
        <w:rPr>
          <w:rStyle w:val="VerbatimChar"/>
        </w:rPr>
        <w:t xml:space="preserve">GET    /api/v1/alertes                     filtres : etat, gravite, site, periode</w:t>
      </w:r>
      <w:r>
        <w:br/>
      </w:r>
      <w:r>
        <w:rPr>
          <w:rStyle w:val="VerbatimChar"/>
        </w:rPr>
        <w:t xml:space="preserve">POST   /api/v1/alertes/{id}/acquitter      cause et action corrective</w:t>
      </w:r>
      <w:r>
        <w:br/>
      </w:r>
      <w:r>
        <w:rPr>
          <w:rStyle w:val="VerbatimChar"/>
        </w:rPr>
        <w:t xml:space="preserve">GET    /api/v1/rapports                    rapports disponibles</w:t>
      </w:r>
      <w:r>
        <w:br/>
      </w:r>
      <w:r>
        <w:rPr>
          <w:rStyle w:val="VerbatimChar"/>
        </w:rPr>
        <w:t xml:space="preserve">POST   /api/v1/rapports                    génération à la demande</w:t>
      </w:r>
      <w:r>
        <w:br/>
      </w:r>
      <w:r>
        <w:rPr>
          <w:rStyle w:val="VerbatimChar"/>
        </w:rPr>
        <w:t xml:space="preserve">GET    /api/v1/sondes                      parc et état de santé</w:t>
      </w:r>
      <w:r>
        <w:br/>
      </w:r>
      <w:r>
        <w:rPr>
          <w:rStyle w:val="VerbatimChar"/>
        </w:rPr>
        <w:t xml:space="preserve">POST   /api/v1/webhooks                    déclaration d'un point de réception</w:t>
      </w:r>
    </w:p>
    <w:bookmarkEnd w:id="60"/>
    <w:bookmarkStart w:id="61" w:name="protocole-terrain"/>
    <w:p>
      <w:pPr>
        <w:pStyle w:val="Heading2"/>
      </w:pPr>
      <w:r>
        <w:t xml:space="preserve">8.6 Protocole terrain</w:t>
      </w:r>
    </w:p>
    <w:p>
      <w:pPr>
        <w:pStyle w:val="FirstParagraph"/>
      </w:pPr>
      <w:r>
        <w:t xml:space="preserve">Sujets MQTT :</w:t>
      </w:r>
    </w:p>
    <w:p>
      <w:pPr>
        <w:pStyle w:val="SourceCode"/>
      </w:pPr>
      <w:r>
        <w:rPr>
          <w:rStyle w:val="VerbatimChar"/>
        </w:rPr>
        <w:t xml:space="preserve">sonda/{org}/{sonde}/mesures        sonde → plateforme, publication périodique</w:t>
      </w:r>
      <w:r>
        <w:br/>
      </w:r>
      <w:r>
        <w:rPr>
          <w:rStyle w:val="VerbatimChar"/>
        </w:rPr>
        <w:t xml:space="preserve">sonda/{org}/{sonde}/etat           sonde → plateforme, batterie, RSSI, version</w:t>
      </w:r>
      <w:r>
        <w:br/>
      </w:r>
      <w:r>
        <w:rPr>
          <w:rStyle w:val="VerbatimChar"/>
        </w:rPr>
        <w:t xml:space="preserve">sonda/{org}/{sonde}/commandes      plateforme → sonde, périodicité, mise à jour</w:t>
      </w:r>
      <w:r>
        <w:br/>
      </w:r>
      <w:r>
        <w:rPr>
          <w:rStyle w:val="VerbatimChar"/>
        </w:rPr>
        <w:t xml:space="preserve">sonda/{org}/{sonde}/reponses       sonde → plateforme, accusé de commande</w:t>
      </w:r>
    </w:p>
    <w:p>
      <w:pPr>
        <w:pStyle w:val="FirstParagraph"/>
      </w:pPr>
      <w:r>
        <w:t xml:space="preserve">Format de charge utile compact, horodatage à la source, numéro de séquence assurant la</w:t>
      </w:r>
      <w:r>
        <w:t xml:space="preserve"> </w:t>
      </w:r>
      <w:r>
        <w:t xml:space="preserve">détection des doublons lors du rattrapage après coupure.</w:t>
      </w:r>
    </w:p>
    <w:p>
      <w:pPr>
        <w:pStyle w:val="BodyText"/>
      </w:pPr>
      <w:r>
        <w:t xml:space="preserve">Comportement du firmware : mesure selon la périodicité configurée, publication immédiate</w:t>
      </w:r>
      <w:r>
        <w:t xml:space="preserve"> </w:t>
      </w:r>
      <w:r>
        <w:t xml:space="preserve">si le réseau est disponible, écriture en mémoire flash sinon, retransmission par lots à la</w:t>
      </w:r>
      <w:r>
        <w:t xml:space="preserve"> </w:t>
      </w:r>
      <w:r>
        <w:t xml:space="preserve">reconnexion, veille profonde entre deux mesures pour préserver la batterie, redémarrage</w:t>
      </w:r>
      <w:r>
        <w:t xml:space="preserve"> </w:t>
      </w:r>
      <w:r>
        <w:t xml:space="preserve">surveillé par chien de garde.</w:t>
      </w:r>
    </w:p>
    <w:p>
      <w:r>
        <w:br w:type="page"/>
      </w:r>
    </w:p>
    <w:bookmarkEnd w:id="61"/>
    <w:bookmarkEnd w:id="62"/>
    <w:bookmarkStart w:id="66" w:name="infrastructure-et-déploiement"/>
    <w:p>
      <w:pPr>
        <w:pStyle w:val="Heading1"/>
      </w:pPr>
      <w:r>
        <w:t xml:space="preserve">9. Infrastructure et déploiement</w:t>
      </w:r>
    </w:p>
    <w:bookmarkStart w:id="63" w:name="environnements"/>
    <w:p>
      <w:pPr>
        <w:pStyle w:val="Heading2"/>
      </w:pPr>
      <w:r>
        <w:t xml:space="preserve">9.1 Environnements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Développement, une commande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 de données fictif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avant production, identique à la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anonymisées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clientes</w:t>
            </w:r>
          </w:p>
        </w:tc>
      </w:tr>
    </w:tbl>
    <w:bookmarkEnd w:id="63"/>
    <w:bookmarkStart w:id="64" w:name="chaîne-dintégration-et-de-livraison"/>
    <w:p>
      <w:pPr>
        <w:pStyle w:val="Heading2"/>
      </w:pPr>
      <w:r>
        <w:t xml:space="preserve">9.2 Chaîne d’intégration et de livraison</w:t>
      </w:r>
    </w:p>
    <w:p>
      <w:pPr>
        <w:pStyle w:val="FirstParagraph"/>
      </w:pPr>
      <w:r>
        <w:t xml:space="preserve">À chaque proposition de fusion : analyse statique, contrôle de format, tests unitaires et</w:t>
      </w:r>
      <w:r>
        <w:t xml:space="preserve"> </w:t>
      </w:r>
      <w:r>
        <w:t xml:space="preserve">d’intégration, mesure de couverture, analyse des dépendances et de l’image de conteneur.</w:t>
      </w:r>
    </w:p>
    <w:p>
      <w:pPr>
        <w:pStyle w:val="BodyText"/>
      </w:pPr>
      <w:r>
        <w:t xml:space="preserve">À chaque fusion sur la branche principale : construction de l’image, déploiement</w:t>
      </w:r>
      <w:r>
        <w:t xml:space="preserve"> </w:t>
      </w:r>
      <w:r>
        <w:t xml:space="preserve">automatique en recette, exécution des tests de bout en bout.</w:t>
      </w:r>
    </w:p>
    <w:p>
      <w:pPr>
        <w:pStyle w:val="BodyText"/>
      </w:pPr>
      <w:r>
        <w:t xml:space="preserve">Mise en production : déclenchée manuellement à partir d’une étiquette de version,</w:t>
      </w:r>
      <w:r>
        <w:t xml:space="preserve"> </w:t>
      </w:r>
      <w:r>
        <w:t xml:space="preserve">déploiement progressif, retour arrière automatique si les indicateurs de santé se</w:t>
      </w:r>
      <w:r>
        <w:t xml:space="preserve"> </w:t>
      </w:r>
      <w:r>
        <w:t xml:space="preserve">dégradent.</w:t>
      </w:r>
    </w:p>
    <w:bookmarkEnd w:id="64"/>
    <w:bookmarkStart w:id="65" w:name="supervision"/>
    <w:p>
      <w:pPr>
        <w:pStyle w:val="Heading2"/>
      </w:pPr>
      <w:r>
        <w:t xml:space="preserve">9.3 Supervision</w:t>
      </w:r>
    </w:p>
    <w:p>
      <w:pPr>
        <w:pStyle w:val="FirstParagraph"/>
      </w:pPr>
      <w:r>
        <w:t xml:space="preserve">Indicateurs suivis en continu : débit d’ingestion, retard de la file de traitement, taux</w:t>
      </w:r>
      <w:r>
        <w:t xml:space="preserve"> </w:t>
      </w:r>
      <w:r>
        <w:t xml:space="preserve">d’erreur de l’API, latence au 95</w:t>
      </w:r>
      <w:r>
        <w:t xml:space="preserve">e</w:t>
      </w:r>
      <w:r>
        <w:t xml:space="preserve"> </w:t>
      </w:r>
      <w:r>
        <w:t xml:space="preserve">centile, nombre de sondes silencieuses, délai</w:t>
      </w:r>
      <w:r>
        <w:t xml:space="preserve"> </w:t>
      </w:r>
      <w:r>
        <w:t xml:space="preserve">d’acheminement des alertes, taux d’échec des envois SMS et WhatsApp.</w:t>
      </w:r>
    </w:p>
    <w:p>
      <w:pPr>
        <w:pStyle w:val="BodyText"/>
      </w:pPr>
      <w:r>
        <w:t xml:space="preserve">Une alerte interne est levée dès que le délai d’acheminement d’une alerte client dépasse</w:t>
      </w:r>
      <w:r>
        <w:t xml:space="preserve"> </w:t>
      </w:r>
      <w:r>
        <w:t xml:space="preserve">60 secondes : c’est la promesse centrale du produit.</w:t>
      </w:r>
    </w:p>
    <w:p>
      <w:r>
        <w:br w:type="page"/>
      </w:r>
    </w:p>
    <w:bookmarkEnd w:id="65"/>
    <w:bookmarkEnd w:id="66"/>
    <w:bookmarkStart w:id="67" w:name="modèle-économique"/>
    <w:p>
      <w:pPr>
        <w:pStyle w:val="Heading1"/>
      </w:pPr>
      <w:r>
        <w:t xml:space="preserve">10. Modèle économique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mensuel par sonde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par courriel et dans l’application, historique 12 mois, 1 rapport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des SMS et de WhatsApp, historique 5 ans, rapports personnalisés, accès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Multi-sites, engagement de service contractuel, intégrations, accompagnement</w:t>
            </w:r>
          </w:p>
        </w:tc>
      </w:tr>
    </w:tbl>
    <w:p>
      <w:pPr>
        <w:pStyle w:val="BodyText"/>
      </w:pPr>
      <w:r>
        <w:t xml:space="preserve">Sonde vendue 450 MAD ou incluse contre un engagement de 24 mois. Essai gratuit de 30</w:t>
      </w:r>
      <w:r>
        <w:t xml:space="preserve"> </w:t>
      </w:r>
      <w:r>
        <w:t xml:space="preserve">jours sans moyen de paiement.</w:t>
      </w:r>
    </w:p>
    <w:p>
      <w:pPr>
        <w:pStyle w:val="BodyText"/>
      </w:pPr>
      <w:r>
        <w:t xml:space="preserve">Une pharmacie type équipée de trois sondes en formule Professionnel revient à 267 MAD par</w:t>
      </w:r>
      <w:r>
        <w:t xml:space="preserve"> </w:t>
      </w:r>
      <w:r>
        <w:t xml:space="preserve">mois, à comparer à la valeur d’un seul stock de vaccins perdu.</w:t>
      </w:r>
    </w:p>
    <w:p>
      <w:r>
        <w:br w:type="page"/>
      </w:r>
    </w:p>
    <w:bookmarkEnd w:id="67"/>
    <w:bookmarkStart w:id="68" w:name="découpage-en-lots"/>
    <w:p>
      <w:pPr>
        <w:pStyle w:val="Heading1"/>
      </w:pPr>
      <w:r>
        <w:t xml:space="preserve">11. Découpage en 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estimée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vérifiable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Socle : modèle de données, authentification, rôles, multi-organisations, environnement conteneurisé, intégration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compte est créé, un site et une zone déclarés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d’acquisition : firmware ESP32, courtier MQTT, service d’ingestion, InfluxDB, rétention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sonde réelle alimente la base en continu pendant 72 h sans 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: tableau de bord temps réel, courbes, seuils, moteur d’alertes, escalade, acquittement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dérive provoquée déclenche une alerte reçue en moins de 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: historique, exports, rapports PDF automatiques, empreinte de vérification, journal d’audit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rapport mensuel est produit sans intervention et son intégrité est vérifiable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Commercialisation : formules, essai, facturation, paiement en ligne, API publique,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client s’inscrit, essaie et paie sans contact humain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: détection d’anomalies, estimation du délai avant seuil, score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dérive lente est signalée avant le franchissement du seuil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Charge totale estimée : 120 jours-homme</w:t>
      </w:r>
      <w:r>
        <w:t xml:space="preserve">, soit environ 6 mois à mi-temps ou 9 mois en</w:t>
      </w:r>
      <w:r>
        <w:t xml:space="preserve"> </w:t>
      </w:r>
      <w:r>
        <w:t xml:space="preserve">parallèle d’une activité salariée.</w:t>
      </w:r>
    </w:p>
    <w:p>
      <w:pPr>
        <w:pStyle w:val="BodyText"/>
      </w:pPr>
      <w:r>
        <w:t xml:space="preserve">Les lots L1 à L4 constituent un produit utilisable et démontrable ; ils forment la cible</w:t>
      </w:r>
      <w:r>
        <w:t xml:space="preserve"> </w:t>
      </w:r>
      <w:r>
        <w:t xml:space="preserve">minimale du portfolio.</w:t>
      </w:r>
    </w:p>
    <w:p>
      <w:r>
        <w:br w:type="page"/>
      </w:r>
    </w:p>
    <w:bookmarkEnd w:id="68"/>
    <w:bookmarkStart w:id="69" w:name="stratégie-de-test"/>
    <w:p>
      <w:pPr>
        <w:pStyle w:val="Heading1"/>
      </w:pPr>
      <w:r>
        <w:t xml:space="preserve">12. Stratégie de 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Logique métier, calcul des seuils, agrégations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permissions, isolation entre organisations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 en 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 d’inscription, de mise en service et de traitement d’alerte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messages par minute pendant une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Sonde réelle en chambre froide, coupures réseau provoquées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Tentatives d’accès transversal entre organisations, injection, élévation de privilège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dédiés et test d’intrusion externe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Critères d’acceptation du produit :</w:t>
      </w:r>
    </w:p>
    <w:p>
      <w:pPr>
        <w:numPr>
          <w:ilvl w:val="0"/>
          <w:numId w:val="1006"/>
        </w:numPr>
        <w:pStyle w:val="Compact"/>
      </w:pPr>
      <w:r>
        <w:t xml:space="preserve">Une sonde tenue hors ligne 72 h retransmet la totalité de ses mesures sans doublon ni</w:t>
      </w:r>
      <w:r>
        <w:t xml:space="preserve"> </w:t>
      </w:r>
      <w:r>
        <w:t xml:space="preserve">perte.</w:t>
      </w:r>
    </w:p>
    <w:p>
      <w:pPr>
        <w:numPr>
          <w:ilvl w:val="0"/>
          <w:numId w:val="1006"/>
        </w:numPr>
        <w:pStyle w:val="Compact"/>
      </w:pPr>
      <w:r>
        <w:t xml:space="preserve">Aucune requête d’une organisation ne renvoie de donnée appartenant à une autre, y</w:t>
      </w:r>
      <w:r>
        <w:t xml:space="preserve"> </w:t>
      </w:r>
      <w:r>
        <w:t xml:space="preserve">compris en manipulant directement les identifiants.</w:t>
      </w:r>
    </w:p>
    <w:p>
      <w:pPr>
        <w:numPr>
          <w:ilvl w:val="0"/>
          <w:numId w:val="1006"/>
        </w:numPr>
        <w:pStyle w:val="Compact"/>
      </w:pPr>
      <w:r>
        <w:t xml:space="preserve">Le délai entre une mesure en dépassement confirmée et la réception de l’alerte reste</w:t>
      </w:r>
      <w:r>
        <w:t xml:space="preserve"> </w:t>
      </w:r>
      <w:r>
        <w:t xml:space="preserve">inférieur à 60 secondes lors d’un test de charge nominal.</w:t>
      </w:r>
    </w:p>
    <w:p>
      <w:pPr>
        <w:numPr>
          <w:ilvl w:val="0"/>
          <w:numId w:val="1006"/>
        </w:numPr>
        <w:pStyle w:val="Compact"/>
      </w:pPr>
      <w:r>
        <w:t xml:space="preserve">Le rapport mensuel est généré, déposé et notifié sans aucune intervention.</w:t>
      </w:r>
    </w:p>
    <w:p>
      <w:pPr>
        <w:numPr>
          <w:ilvl w:val="0"/>
          <w:numId w:val="1006"/>
        </w:numPr>
        <w:pStyle w:val="Compact"/>
      </w:pPr>
      <w:r>
        <w:t xml:space="preserve">Une restauration complète depuis la sauvegarde est réalisée en moins de 4 heures.</w:t>
      </w:r>
    </w:p>
    <w:p>
      <w:r>
        <w:br w:type="page"/>
      </w:r>
    </w:p>
    <w:bookmarkEnd w:id="69"/>
    <w:bookmarkStart w:id="70" w:name="risques"/>
    <w:p>
      <w:pPr>
        <w:pStyle w:val="Heading1"/>
      </w:pPr>
      <w:r>
        <w:t xml:space="preserve">13. Risques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Fiabilité du réseau des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local de 72 h, alerte de silence, option GSM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d’une alerte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canaux redondants, supervision du délai d’acheminement, tests automatisés du chemin d’alerte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de données entre organisations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au niveau des lignes en base, tests d’accès transversal à chaque intégration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Dépendance à la passerelle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d’abstraction permettant de changer de prestataire, repli sur WhatsApp et courriel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d’InfluxDB à grande échelle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Agrégation à 90 jours, révision annuelle du dimensionnement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Étalonnage contesté lors d’un 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 avec un laboratoire d’étalonnage, certificat rattaché à chaque sonde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Portée excessive du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Découpage strict en lots, L1 à L4 livrables indépendamment</w:t>
            </w:r>
          </w:p>
        </w:tc>
      </w:tr>
    </w:tbl>
    <w:p>
      <w:r>
        <w:br w:type="page"/>
      </w:r>
    </w:p>
    <w:bookmarkEnd w:id="70"/>
    <w:bookmarkStart w:id="71" w:name="livrables"/>
    <w:p>
      <w:pPr>
        <w:pStyle w:val="Heading1"/>
      </w:pPr>
      <w:r>
        <w:t xml:space="preserve">14. Livrables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public, historique de commits lisible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 documenté, schéma de câblage, photos du montage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d’architecture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docs/ARCHITECTURE.md</w:t>
            </w:r>
            <w:r>
              <w:t xml:space="preserve">, schémas, journal des décisions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d’API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 OpenAPI publiée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 de démonstration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en ligne avec données fictives et compte d’essai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Démonstration 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minutes : mise en service, dérive provoquée, alerte reçue, rapport 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présent 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et Markdown dans le dépôt</w:t>
            </w:r>
          </w:p>
        </w:tc>
      </w:tr>
    </w:tbl>
    <w:p>
      <w:r>
        <w:br w:type="page"/>
      </w:r>
    </w:p>
    <w:bookmarkEnd w:id="71"/>
    <w:bookmarkStart w:id="72" w:name="glossaire"/>
    <w:p>
      <w:pPr>
        <w:pStyle w:val="Heading1"/>
      </w:pPr>
      <w:r>
        <w:t xml:space="preserve">15. Glossaire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Chaîne du froid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des opérations maintenant un produit dans une plage de température donnée, de sa production à sa consommation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Nationale de contrôle de la protection des Données à caractère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 d’analyse des dangers et de maîtrise des points critiques en sécurité alimentaire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Commun de l’Entreprise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radio longue portée et faible consommation, adapté aux sites sans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de messagerie léger conçu pour les objets connectés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National de Sécurité Sanitaire des produits Alimentaires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 / 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données maximale admissible / délai maximal de remise en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Série temporelle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de mesures horodatées, stockée dans une base spécialisée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Logiciel exploité comme un service en ligne, facturé par abonnement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rédigé par Mehdi Ammou — version 1.0, août 2026.</w:t>
      </w:r>
    </w:p>
    <w:bookmarkEnd w:id="72"/>
    <w:sectPr>
      <w:footerReference r:id="rId9" w:type="default"/>
      <w:pgMar w:bottom="1440" w:footer="709" w:gutter="0" w:header="709" w:left="1418" w:right="1418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SONDA — Cahier des charges — v1.0   |   </w:t>
    </w:r>
    <w:r>
      <w:rPr>
        <w:sz w:val="16"/>
        <w:color w:val="808080"/>
      </w:rPr>
      <w:fldChar w:fldCharType="begin"/>
    </w:r>
    <w:r>
      <w:rPr>
        <w:sz w:val="16"/>
        <w:color w:val="808080"/>
      </w:rPr>
      <w:instrText xml:space="preserve"> PAGE </w:instrText>
    </w:r>
    <w:r>
      <w:rPr>
        <w:sz w:val="16"/>
        <w:color w:val="808080"/>
      </w:rPr>
      <w:fldChar w:fldCharType="separate"/>
    </w:r>
    <w:r>
      <w:rPr>
        <w:sz w:val="16"/>
        <w:color w:val="808080"/>
      </w:rPr>
      <w:t>1</w:t>
    </w:r>
    <w:r>
      <w:rPr>
        <w:sz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 — Cahier des charges</dc:title>
  <dc:creator>Mehdi Ammou — Ingénieur Réseaux &amp; Systèmes Embarqués</dc:creator>
  <dc:language>fr</dc:language>
  <cp:keywords/>
  <dcterms:created xsi:type="dcterms:W3CDTF">2026-08-20T01:40:32Z</dcterms:created>
  <dcterms:modified xsi:type="dcterms:W3CDTF">2026-08-20T01:40:32Z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Août 2026</vt:lpwstr>
  </property>
  <property fmtid="{D5CDD505-2E9C-101B-9397-08002B2CF9AE}" pid="3" name="subtitle">
    <vt:lpwstr>Plateforme SaaS de supervision de la chaîne du froid et de l’énergie</vt:lpwstr>
  </property>
</Properties>
</file>