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B3A6B"/>
          <w:sz w:val="64"/>
        </w:rPr>
        <w:t>ACME INDUSTRIES</w:t>
      </w:r>
    </w:p>
    <w:p>
      <w:pPr>
        <w:spacing w:before="0" w:after="160"/>
        <w:pBdr>
          <w:bottom w:val="single" w:sz="4" w:space="1" w:color="F39C12"/>
        </w:pBdr>
      </w:pPr>
    </w:p>
    <w:p>
      <w:r>
        <w:rPr>
          <w:b/>
          <w:color w:val="2E86C1"/>
          <w:sz w:val="36"/>
        </w:rPr>
        <w:t>Rapport ESG Complet</w:t>
      </w:r>
    </w:p>
    <w:p>
      <w:pPr>
        <w:spacing w:after="160"/>
      </w:pPr>
      <w:r>
        <w:rPr>
          <w:color w:val="7F8C8D"/>
          <w:sz w:val="22"/>
        </w:rPr>
        <w:t>Exercice 2025  •  Industrie manufacturière  •  France</w:t>
      </w:r>
    </w:p>
    <w:p>
      <w:pPr>
        <w:spacing w:after="240"/>
      </w:pPr>
      <w:r>
        <w:rPr>
          <w:i/>
          <w:color w:val="2E86C1"/>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BF2FB"/>
          </w:tcPr>
          <w:p>
            <w:pPr>
              <w:jc w:val="center"/>
            </w:pPr>
            <w:r>
              <w:rPr>
                <w:b/>
                <w:color w:val="2E86C1"/>
                <w:sz w:val="18"/>
              </w:rPr>
              <w:t>Environnement</w:t>
            </w:r>
          </w:p>
        </w:tc>
        <w:tc>
          <w:tcPr>
            <w:tcW w:type="dxa" w:w="2351"/>
            <w:shd w:val="clear" w:fill="EBF2FB"/>
          </w:tcPr>
          <w:p>
            <w:pPr>
              <w:jc w:val="center"/>
            </w:pPr>
            <w:r>
              <w:rPr>
                <w:b/>
                <w:color w:val="2E86C1"/>
                <w:sz w:val="18"/>
              </w:rPr>
              <w:t>Social</w:t>
            </w:r>
          </w:p>
        </w:tc>
        <w:tc>
          <w:tcPr>
            <w:tcW w:type="dxa" w:w="2351"/>
            <w:shd w:val="clear" w:fill="EBF2FB"/>
          </w:tcPr>
          <w:p>
            <w:pPr>
              <w:jc w:val="center"/>
            </w:pPr>
            <w:r>
              <w:rPr>
                <w:b/>
                <w:color w:val="2E86C1"/>
                <w:sz w:val="18"/>
              </w:rPr>
              <w:t>Gouvernance</w:t>
            </w:r>
          </w:p>
        </w:tc>
        <w:tc>
          <w:tcPr>
            <w:tcW w:type="dxa" w:w="2351"/>
            <w:shd w:val="clear" w:fill="EBF2FB"/>
          </w:tcPr>
          <w:p>
            <w:pPr>
              <w:jc w:val="center"/>
            </w:pPr>
            <w:r>
              <w:rPr>
                <w:b/>
                <w:color w:val="2E86C1"/>
                <w:sz w:val="18"/>
              </w:rPr>
              <w:t>Score Global</w:t>
            </w:r>
          </w:p>
        </w:tc>
      </w:tr>
      <w:tr>
        <w:tc>
          <w:tcPr>
            <w:tcW w:type="dxa" w:w="2351"/>
          </w:tcPr>
          <w:p>
            <w:pPr>
              <w:jc w:val="center"/>
            </w:pPr>
            <w:r>
              <w:rPr>
                <w:b/>
                <w:color w:val="27AE60"/>
                <w:sz w:val="48"/>
              </w:rPr>
              <w:t>70.0</w:t>
            </w:r>
          </w:p>
        </w:tc>
        <w:tc>
          <w:tcPr>
            <w:tcW w:type="dxa" w:w="2351"/>
          </w:tcPr>
          <w:p>
            <w:pPr>
              <w:jc w:val="center"/>
            </w:pPr>
            <w:r>
              <w:rPr>
                <w:b/>
                <w:color w:val="2E86C1"/>
                <w:sz w:val="48"/>
              </w:rPr>
              <w:t>55.0</w:t>
            </w:r>
          </w:p>
        </w:tc>
        <w:tc>
          <w:tcPr>
            <w:tcW w:type="dxa" w:w="2351"/>
          </w:tcPr>
          <w:p>
            <w:pPr>
              <w:jc w:val="center"/>
            </w:pPr>
            <w:r>
              <w:rPr>
                <w:b/>
                <w:color w:val="8E44AD"/>
                <w:sz w:val="48"/>
              </w:rPr>
              <w:t>75.0</w:t>
            </w:r>
          </w:p>
        </w:tc>
        <w:tc>
          <w:tcPr>
            <w:tcW w:type="dxa" w:w="2351"/>
          </w:tcPr>
          <w:p>
            <w:pPr>
              <w:jc w:val="center"/>
            </w:pPr>
            <w:r>
              <w:rPr>
                <w:b/>
                <w:color w:val="F39C12"/>
                <w:sz w:val="48"/>
              </w:rPr>
              <w:t>66.0</w:t>
            </w:r>
          </w:p>
        </w:tc>
      </w:tr>
    </w:tbl>
    <w:p/>
    <w:p>
      <w:pPr>
        <w:spacing w:after="480"/>
        <w:jc w:val="center"/>
      </w:pPr>
      <w:r>
        <w:rPr>
          <w:b/>
          <w:color w:val="F39C12"/>
          <w:sz w:val="32"/>
        </w:rPr>
        <w:t>Note : A</w:t>
      </w:r>
    </w:p>
    <w:p>
      <w:r>
        <w:br w:type="page"/>
      </w:r>
    </w:p>
    <w:p>
      <w:r>
        <w:rPr>
          <w:b/>
          <w:color w:val="F39C12"/>
          <w:sz w:val="18"/>
        </w:rPr>
        <w:t>LE MOT DE LA DIRECTION</w:t>
      </w:r>
    </w:p>
    <w:p>
      <w:pPr>
        <w:shd w:val="clear" w:fill="EBF2FB"/>
        <w:spacing w:after="80"/>
      </w:pPr>
      <w:r>
        <w:rPr>
          <w:i/>
          <w:color w:val="1B3A6B"/>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Calibri" w:hAnsi="Calibri"/>
          <w:b/>
          <w:color w:val="1B3A6B"/>
          <w:sz w:val="44"/>
        </w:rPr>
        <w:t>1. Synthèse Exécutive</w:t>
      </w:r>
    </w:p>
    <w:p>
      <w:pPr>
        <w:spacing w:before="0" w:after="160"/>
        <w:pBdr>
          <w:bottom w:val="single" w:sz="4" w:space="1" w:color="2E86C1"/>
        </w:pBdr>
      </w:pPr>
    </w:p>
    <w:p>
      <w:pPr>
        <w:spacing w:after="240"/>
      </w:pPr>
      <w:r>
        <w:t>Acme Industries consolide pour l'exercice 2025 son reporting de durabilité, ancré dans les réalités de l'industrie manufacturière, au cœur des défis d'efficacité carbone. Avec 66.0/100 et une note A, Acme Industries affiche une bonne performance sur la grille de notation interne sur l'ensemble du périmètre extra-financier. Gouvernance domine le profil ESG (75/100) tandis que Social (55/100) constitue la marge d'amélioration prioritaire. Au global, la maturité ESG est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10 points (environnement +12, social +5,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F39C12"/>
          <w:sz w:val="17"/>
        </w:rPr>
        <w:t>L'ANALYSE DU CONSULTANT</w:t>
      </w:r>
    </w:p>
    <w:p>
      <w:pPr>
        <w:shd w:val="clear" w:fill="EBF2FB"/>
        <w:spacing w:after="160"/>
      </w:pPr>
      <w:r>
        <w:rPr>
          <w:i/>
          <w:color w:val="1B3A6B"/>
          <w:sz w:val="20"/>
        </w:rPr>
        <w:t>La priorité 2026 est la fiabilisation du reporting énergie avant l'audit de certification prévu au troisième trimestre.</w:t>
      </w:r>
    </w:p>
    <w:p>
      <w:pPr>
        <w:spacing w:before="280" w:after="120"/>
        <w:jc w:val="left"/>
      </w:pPr>
      <w:r>
        <w:rPr>
          <w:rFonts w:ascii="Calibri" w:hAnsi="Calibri"/>
          <w:b/>
          <w:color w:val="27AE60"/>
          <w:sz w:val="44"/>
        </w:rPr>
        <w:t>2. Pilier Environnemental</w:t>
      </w:r>
    </w:p>
    <w:p>
      <w:pPr>
        <w:spacing w:before="0" w:after="160"/>
        <w:pBdr>
          <w:bottom w:val="single" w:sz="4" w:space="1" w:color="27AE60"/>
        </w:pBdr>
      </w:pPr>
    </w:p>
    <w:p>
      <w:pPr>
        <w:spacing w:after="120"/>
      </w:pPr>
      <w:r>
        <w:rPr>
          <w:b/>
          <w:color w:val="27AE60"/>
          <w:sz w:val="25"/>
        </w:rPr>
        <w:t>Un bilan carbone complet, socle de la trajectoire climat</w:t>
      </w:r>
    </w:p>
    <w:p>
      <w:pPr>
        <w:spacing w:before="120" w:after="20"/>
      </w:pPr>
      <w:r>
        <w:rPr>
          <w:b/>
          <w:color w:val="F39C12"/>
          <w:sz w:val="17"/>
        </w:rPr>
        <w:t>L'ANALYSE DU CONSULTANT</w:t>
      </w:r>
    </w:p>
    <w:p>
      <w:pPr>
        <w:shd w:val="clear" w:fill="EBF2FB"/>
        <w:spacing w:after="160"/>
      </w:pPr>
      <w:r>
        <w:rPr>
          <w:i/>
          <w:color w:val="1B3A6B"/>
          <w:sz w:val="20"/>
        </w:rPr>
        <w:t>Le site de Lyon concentre près de 70 % des émissions du périmètre : c'est là que se joue la trajectoire.</w:t>
      </w:r>
    </w:p>
    <w:p>
      <w:r>
        <w:rPr>
          <w:b/>
          <w:sz w:val="22"/>
        </w:rPr>
        <w:t xml:space="preserve">Score environnemental : </w:t>
      </w:r>
      <w:r>
        <w:rPr>
          <w:b/>
          <w:color w:val="27AE60"/>
          <w:sz w:val="28"/>
        </w:rPr>
        <w:t>70.0/100</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CO2 total (t)</w:t>
            </w:r>
          </w:p>
        </w:tc>
        <w:tc>
          <w:tcPr>
            <w:tcW w:type="dxa" w:w="3135"/>
            <w:shd w:val="clear" w:fill="EBF2FB"/>
          </w:tcPr>
          <w:p>
            <w:pPr>
              <w:jc w:val="center"/>
            </w:pPr>
            <w:r>
              <w:rPr>
                <w:b/>
                <w:color w:val="2E86C1"/>
                <w:sz w:val="18"/>
              </w:rPr>
              <w:t>Renouvelable %</w:t>
            </w:r>
          </w:p>
        </w:tc>
        <w:tc>
          <w:tcPr>
            <w:tcW w:type="dxa" w:w="3135"/>
            <w:shd w:val="clear" w:fill="EBF2FB"/>
          </w:tcPr>
          <w:p>
            <w:pPr>
              <w:jc w:val="center"/>
            </w:pPr>
            <w:r>
              <w:rPr>
                <w:b/>
                <w:color w:val="2E86C1"/>
                <w:sz w:val="18"/>
              </w:rPr>
              <w:t>Énergie (MWh)</w:t>
            </w:r>
          </w:p>
        </w:tc>
      </w:tr>
      <w:tr>
        <w:tc>
          <w:tcPr>
            <w:tcW w:type="dxa" w:w="3135"/>
          </w:tcPr>
          <w:p>
            <w:pPr>
              <w:jc w:val="center"/>
            </w:pPr>
            <w:r>
              <w:rPr>
                <w:b/>
                <w:color w:val="1B3A6B"/>
                <w:sz w:val="32"/>
              </w:rPr>
              <w:t>8,200</w:t>
            </w:r>
          </w:p>
        </w:tc>
        <w:tc>
          <w:tcPr>
            <w:tcW w:type="dxa" w:w="3135"/>
          </w:tcPr>
          <w:p>
            <w:pPr>
              <w:jc w:val="center"/>
            </w:pPr>
            <w:r>
              <w:rPr>
                <w:b/>
                <w:color w:val="1B3A6B"/>
                <w:sz w:val="32"/>
              </w:rPr>
              <w:t>42.0%</w:t>
            </w:r>
          </w:p>
        </w:tc>
        <w:tc>
          <w:tcPr>
            <w:tcW w:type="dxa" w:w="3135"/>
          </w:tcPr>
          <w:p>
            <w:pPr>
              <w:jc w:val="center"/>
            </w:pPr>
            <w:r>
              <w:rPr>
                <w:b/>
                <w:color w:val="1B3A6B"/>
                <w:sz w:val="32"/>
              </w:rPr>
              <w:t>21,500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Eau (m3)</w:t>
            </w:r>
          </w:p>
        </w:tc>
        <w:tc>
          <w:tcPr>
            <w:tcW w:type="dxa" w:w="3135"/>
            <w:shd w:val="clear" w:fill="EBF2FB"/>
          </w:tcPr>
          <w:p>
            <w:pPr>
              <w:jc w:val="center"/>
            </w:pPr>
            <w:r>
              <w:rPr>
                <w:b/>
                <w:color w:val="2E86C1"/>
                <w:sz w:val="18"/>
              </w:rPr>
              <w:t>Recyclage %</w:t>
            </w:r>
          </w:p>
        </w:tc>
        <w:tc>
          <w:tcPr>
            <w:tcW w:type="dxa" w:w="3135"/>
            <w:shd w:val="clear" w:fill="EBF2FB"/>
          </w:tcPr>
          <w:p>
            <w:pPr>
              <w:jc w:val="center"/>
            </w:pPr>
            <w:r>
              <w:rPr>
                <w:b/>
                <w:color w:val="2E86C1"/>
                <w:sz w:val="18"/>
              </w:rPr>
              <w:t>Scope 1 (t)</w:t>
            </w:r>
          </w:p>
        </w:tc>
      </w:tr>
      <w:tr>
        <w:tc>
          <w:tcPr>
            <w:tcW w:type="dxa" w:w="3135"/>
          </w:tcPr>
          <w:p>
            <w:pPr>
              <w:jc w:val="center"/>
            </w:pPr>
            <w:r>
              <w:rPr>
                <w:b/>
                <w:color w:val="1B3A6B"/>
                <w:sz w:val="32"/>
              </w:rPr>
              <w:t>120,000</w:t>
            </w:r>
          </w:p>
        </w:tc>
        <w:tc>
          <w:tcPr>
            <w:tcW w:type="dxa" w:w="3135"/>
          </w:tcPr>
          <w:p>
            <w:pPr>
              <w:jc w:val="center"/>
            </w:pPr>
            <w:r>
              <w:rPr>
                <w:b/>
                <w:color w:val="1B3A6B"/>
                <w:sz w:val="32"/>
              </w:rPr>
              <w:t>63.0%</w:t>
            </w:r>
          </w:p>
        </w:tc>
        <w:tc>
          <w:tcPr>
            <w:tcW w:type="dxa" w:w="3135"/>
          </w:tcPr>
          <w:p>
            <w:pPr>
              <w:jc w:val="center"/>
            </w:pPr>
            <w:r>
              <w:rPr>
                <w:b/>
                <w:color w:val="1B3A6B"/>
                <w:sz w:val="32"/>
              </w:rPr>
              <w:t>1,200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Scope 2 (t)</w:t>
            </w:r>
          </w:p>
        </w:tc>
        <w:tc>
          <w:tcPr>
            <w:tcW w:type="dxa" w:w="3135"/>
            <w:shd w:val="clear" w:fill="EBF2FB"/>
          </w:tcPr>
          <w:p>
            <w:pPr>
              <w:jc w:val="center"/>
            </w:pPr>
            <w:r>
              <w:rPr>
                <w:b/>
                <w:color w:val="2E86C1"/>
                <w:sz w:val="18"/>
              </w:rPr>
              <w:t>Scope 3 (t)</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2,100</w:t>
            </w:r>
          </w:p>
        </w:tc>
        <w:tc>
          <w:tcPr>
            <w:tcW w:type="dxa" w:w="3135"/>
          </w:tcPr>
          <w:p>
            <w:pPr>
              <w:jc w:val="center"/>
            </w:pPr>
            <w:r>
              <w:rPr>
                <w:b/>
                <w:color w:val="1B3A6B"/>
                <w:sz w:val="32"/>
              </w:rPr>
              <w:t>4,900</w:t>
            </w:r>
          </w:p>
        </w:tc>
        <w:tc>
          <w:tcPr>
            <w:tcW w:type="dxa" w:w="3135"/>
          </w:tcPr>
          <w:p>
            <w:pPr>
              <w:jc w:val="center"/>
            </w:pPr>
            <w:r>
              <w:rPr>
                <w:b/>
                <w:color w:val="1B3A6B"/>
                <w:sz w:val="32"/>
              </w:rPr>
            </w:r>
          </w:p>
        </w:tc>
      </w:tr>
    </w:tbl>
    <w:p/>
    <w:p>
      <w:pPr>
        <w:spacing w:before="280" w:after="120"/>
        <w:jc w:val="left"/>
      </w:pPr>
      <w:r>
        <w:rPr>
          <w:rFonts w:ascii="Calibri" w:hAnsi="Calibri"/>
          <w:b/>
          <w:color w:val="2E86C1"/>
          <w:sz w:val="44"/>
        </w:rPr>
        <w:t>3. Pilier Social</w:t>
      </w:r>
    </w:p>
    <w:p>
      <w:pPr>
        <w:spacing w:before="0" w:after="160"/>
        <w:pBdr>
          <w:bottom w:val="single" w:sz="4" w:space="1" w:color="2E86C1"/>
        </w:pBdr>
      </w:pPr>
    </w:p>
    <w:p>
      <w:pPr>
        <w:spacing w:after="120"/>
      </w:pPr>
      <w:r>
        <w:rPr>
          <w:b/>
          <w:color w:val="2E86C1"/>
          <w:sz w:val="25"/>
        </w:rPr>
        <w:t>La sécurité au travail (TF 6.2), priorité à traiter</w:t>
      </w:r>
    </w:p>
    <w:p>
      <w:r>
        <w:rPr>
          <w:b/>
          <w:sz w:val="22"/>
        </w:rPr>
        <w:t xml:space="preserve">Score social : </w:t>
      </w:r>
      <w:r>
        <w:rPr>
          <w:b/>
          <w:color w:val="2E86C1"/>
          <w:sz w:val="28"/>
        </w:rPr>
        <w:t>55.0/100</w:t>
      </w:r>
    </w:p>
    <w:p>
      <w:pPr>
        <w:spacing w:after="160"/>
      </w:pPr>
      <w:r>
        <w:t>Acme Industries enregistre 55/100 sur l'axe social de son reporting extra-financier. Le bilan social présente : 320 collaborateurs (France) ; 34% de femmes dans l'effectif ; 22 h/an de formation par collaborateur (satisfaisant) ; taux de fréquence accidents 6.2 (à améliorer en priorité) ; turnover 11%.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Effectif</w:t>
            </w:r>
          </w:p>
        </w:tc>
        <w:tc>
          <w:tcPr>
            <w:tcW w:type="dxa" w:w="3135"/>
            <w:shd w:val="clear" w:fill="EBF2FB"/>
          </w:tcPr>
          <w:p>
            <w:pPr>
              <w:jc w:val="center"/>
            </w:pPr>
            <w:r>
              <w:rPr>
                <w:b/>
                <w:color w:val="2E86C1"/>
                <w:sz w:val="18"/>
              </w:rPr>
              <w:t>Femmes %</w:t>
            </w:r>
          </w:p>
        </w:tc>
        <w:tc>
          <w:tcPr>
            <w:tcW w:type="dxa" w:w="3135"/>
            <w:shd w:val="clear" w:fill="EBF2FB"/>
          </w:tcPr>
          <w:p>
            <w:pPr>
              <w:jc w:val="center"/>
            </w:pPr>
            <w:r>
              <w:rPr>
                <w:b/>
                <w:color w:val="2E86C1"/>
                <w:sz w:val="18"/>
              </w:rPr>
              <w:t>Turnover %</w:t>
            </w:r>
          </w:p>
        </w:tc>
      </w:tr>
      <w:tr>
        <w:tc>
          <w:tcPr>
            <w:tcW w:type="dxa" w:w="3135"/>
          </w:tcPr>
          <w:p>
            <w:pPr>
              <w:jc w:val="center"/>
            </w:pPr>
            <w:r>
              <w:rPr>
                <w:b/>
                <w:color w:val="1B3A6B"/>
                <w:sz w:val="32"/>
              </w:rPr>
              <w:t>320</w:t>
            </w:r>
          </w:p>
        </w:tc>
        <w:tc>
          <w:tcPr>
            <w:tcW w:type="dxa" w:w="3135"/>
          </w:tcPr>
          <w:p>
            <w:pPr>
              <w:jc w:val="center"/>
            </w:pPr>
            <w:r>
              <w:rPr>
                <w:b/>
                <w:color w:val="1B3A6B"/>
                <w:sz w:val="32"/>
              </w:rPr>
              <w:t>34.0%</w:t>
            </w:r>
          </w:p>
        </w:tc>
        <w:tc>
          <w:tcPr>
            <w:tcW w:type="dxa" w:w="3135"/>
          </w:tcPr>
          <w:p>
            <w:pPr>
              <w:jc w:val="center"/>
            </w:pPr>
            <w:r>
              <w:rPr>
                <w:b/>
                <w:color w:val="1B3A6B"/>
                <w:sz w:val="32"/>
              </w:rPr>
              <w:t>11.0%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Formation (h)</w:t>
            </w:r>
          </w:p>
        </w:tc>
        <w:tc>
          <w:tcPr>
            <w:tcW w:type="dxa" w:w="3135"/>
            <w:shd w:val="clear" w:fill="EBF2FB"/>
          </w:tcPr>
          <w:p>
            <w:pPr>
              <w:jc w:val="center"/>
            </w:pPr>
            <w:r>
              <w:rPr>
                <w:b/>
                <w:color w:val="2E86C1"/>
                <w:sz w:val="18"/>
              </w:rPr>
              <w:t>TF accidents</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22</w:t>
            </w:r>
          </w:p>
        </w:tc>
        <w:tc>
          <w:tcPr>
            <w:tcW w:type="dxa" w:w="3135"/>
          </w:tcPr>
          <w:p>
            <w:pPr>
              <w:jc w:val="center"/>
            </w:pPr>
            <w:r>
              <w:rPr>
                <w:b/>
                <w:color w:val="1B3A6B"/>
                <w:sz w:val="32"/>
              </w:rPr>
              <w:t>6.20</w:t>
            </w:r>
          </w:p>
        </w:tc>
        <w:tc>
          <w:tcPr>
            <w:tcW w:type="dxa" w:w="3135"/>
          </w:tcPr>
          <w:p>
            <w:pPr>
              <w:jc w:val="center"/>
            </w:pPr>
            <w:r>
              <w:rPr>
                <w:b/>
                <w:color w:val="1B3A6B"/>
                <w:sz w:val="32"/>
              </w:rPr>
            </w:r>
          </w:p>
        </w:tc>
      </w:tr>
    </w:tbl>
    <w:p/>
    <w:p>
      <w:pPr>
        <w:spacing w:before="280" w:after="120"/>
        <w:jc w:val="left"/>
      </w:pPr>
      <w:r>
        <w:rPr>
          <w:rFonts w:ascii="Calibri" w:hAnsi="Calibri"/>
          <w:b/>
          <w:color w:val="8E44AD"/>
          <w:sz w:val="44"/>
        </w:rPr>
        <w:t>4. Pilier Gouvernance</w:t>
      </w:r>
    </w:p>
    <w:p>
      <w:pPr>
        <w:spacing w:before="0" w:after="160"/>
        <w:pBdr>
          <w:bottom w:val="single" w:sz="4" w:space="1" w:color="8E44AD"/>
        </w:pBdr>
      </w:pPr>
    </w:p>
    <w:p>
      <w:pPr>
        <w:spacing w:after="120"/>
      </w:pPr>
      <w:r>
        <w:rPr>
          <w:b/>
          <w:color w:val="8E44AD"/>
          <w:sz w:val="25"/>
        </w:rPr>
        <w:t>L'assurance ESG indépendante, priorité de la gouvernance</w:t>
      </w:r>
    </w:p>
    <w:p>
      <w:pPr>
        <w:spacing w:before="120" w:after="20"/>
      </w:pPr>
      <w:r>
        <w:rPr>
          <w:b/>
          <w:color w:val="F39C12"/>
          <w:sz w:val="17"/>
        </w:rPr>
        <w:t>L'ANALYSE DU CONSULTANT</w:t>
      </w:r>
    </w:p>
    <w:p>
      <w:pPr>
        <w:shd w:val="clear" w:fill="EBF2FB"/>
        <w:spacing w:after="160"/>
      </w:pPr>
      <w:r>
        <w:rPr>
          <w:i/>
          <w:color w:val="1B3A6B"/>
          <w:sz w:val="20"/>
        </w:rPr>
        <w:t>Le comité de durabilité fonctionne, mais doit formaliser ses comptes rendus pour être opposable lors de la vérification.</w:t>
      </w:r>
    </w:p>
    <w:p>
      <w:r>
        <w:rPr>
          <w:b/>
          <w:sz w:val="22"/>
        </w:rPr>
        <w:t xml:space="preserve">Score gouvernance : </w:t>
      </w:r>
      <w:r>
        <w:rPr>
          <w:b/>
          <w:color w:val="8E44AD"/>
          <w:sz w:val="28"/>
        </w:rPr>
        <w:t>75.0/100</w:t>
      </w:r>
    </w:p>
    <w:p>
      <w:pPr>
        <w:spacing w:after="160"/>
      </w:pPr>
      <w:r>
        <w:t>Acme Industries positionne son axe Gouvernance à 75/100. L'architecture de gouvernance comprend : CA de 9 membres ; 44% de femmes au CA (objectif de 40 % atteint (loi Copé-Zimmermann, pour les sociétés concernées)) ; 45% d'administrateurs indépendants (sous le seuil AFEP-MEDEF 50%)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Membres CA</w:t>
            </w:r>
          </w:p>
        </w:tc>
        <w:tc>
          <w:tcPr>
            <w:tcW w:type="dxa" w:w="3135"/>
            <w:shd w:val="clear" w:fill="EBF2FB"/>
          </w:tcPr>
          <w:p>
            <w:pPr>
              <w:jc w:val="center"/>
            </w:pPr>
            <w:r>
              <w:rPr>
                <w:b/>
                <w:color w:val="2E86C1"/>
                <w:sz w:val="18"/>
              </w:rPr>
              <w:t>Femmes CA %</w:t>
            </w:r>
          </w:p>
        </w:tc>
        <w:tc>
          <w:tcPr>
            <w:tcW w:type="dxa" w:w="3135"/>
            <w:shd w:val="clear" w:fill="EBF2FB"/>
          </w:tcPr>
          <w:p>
            <w:pPr>
              <w:jc w:val="center"/>
            </w:pPr>
            <w:r>
              <w:rPr>
                <w:b/>
                <w:color w:val="2E86C1"/>
                <w:sz w:val="18"/>
              </w:rPr>
              <w:t>Indépendants %</w:t>
            </w:r>
          </w:p>
        </w:tc>
      </w:tr>
      <w:tr>
        <w:tc>
          <w:tcPr>
            <w:tcW w:type="dxa" w:w="3135"/>
          </w:tcPr>
          <w:p>
            <w:pPr>
              <w:jc w:val="center"/>
            </w:pPr>
            <w:r>
              <w:rPr>
                <w:b/>
                <w:color w:val="1B3A6B"/>
                <w:sz w:val="32"/>
              </w:rPr>
              <w:t>9</w:t>
            </w:r>
          </w:p>
        </w:tc>
        <w:tc>
          <w:tcPr>
            <w:tcW w:type="dxa" w:w="3135"/>
          </w:tcPr>
          <w:p>
            <w:pPr>
              <w:jc w:val="center"/>
            </w:pPr>
            <w:r>
              <w:rPr>
                <w:b/>
                <w:color w:val="1B3A6B"/>
                <w:sz w:val="32"/>
              </w:rPr>
              <w:t>44.0%</w:t>
            </w:r>
          </w:p>
        </w:tc>
        <w:tc>
          <w:tcPr>
            <w:tcW w:type="dxa" w:w="3135"/>
          </w:tcPr>
          <w:p>
            <w:pPr>
              <w:jc w:val="center"/>
            </w:pPr>
            <w:r>
              <w:rPr>
                <w:b/>
                <w:color w:val="1B3A6B"/>
                <w:sz w:val="32"/>
              </w:rPr>
              <w:t>45.0%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Audit ESG</w:t>
            </w:r>
          </w:p>
        </w:tc>
        <w:tc>
          <w:tcPr>
            <w:tcW w:type="dxa" w:w="3135"/>
            <w:shd w:val="clear" w:fill="EBF2FB"/>
          </w:tcPr>
          <w:p>
            <w:pPr>
              <w:jc w:val="center"/>
            </w:pPr>
            <w:r>
              <w:rPr>
                <w:b/>
                <w:color w:val="2E86C1"/>
                <w:sz w:val="18"/>
              </w:rPr>
              <w:t>Comité durable</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Non</w:t>
            </w:r>
          </w:p>
        </w:tc>
        <w:tc>
          <w:tcPr>
            <w:tcW w:type="dxa" w:w="3135"/>
          </w:tcPr>
          <w:p>
            <w:pPr>
              <w:jc w:val="center"/>
            </w:pPr>
            <w:r>
              <w:rPr>
                <w:b/>
                <w:color w:val="1B3A6B"/>
                <w:sz w:val="32"/>
              </w:rPr>
              <w:t>Oui</w:t>
            </w:r>
          </w:p>
        </w:tc>
        <w:tc>
          <w:tcPr>
            <w:tcW w:type="dxa" w:w="3135"/>
          </w:tcPr>
          <w:p>
            <w:pPr>
              <w:jc w:val="center"/>
            </w:pPr>
            <w:r>
              <w:rPr>
                <w:b/>
                <w:color w:val="1B3A6B"/>
                <w:sz w:val="32"/>
              </w:rPr>
            </w:r>
          </w:p>
        </w:tc>
      </w:tr>
    </w:tbl>
    <w:p/>
    <w:p>
      <w:r>
        <w:br w:type="page"/>
      </w:r>
    </w:p>
    <w:p>
      <w:pPr>
        <w:spacing w:before="280" w:after="120"/>
        <w:jc w:val="left"/>
      </w:pPr>
      <w:r>
        <w:rPr>
          <w:rFonts w:ascii="Calibri" w:hAnsi="Calibri"/>
          <w:b/>
          <w:color w:val="1B3A6B"/>
          <w:sz w:val="44"/>
        </w:rPr>
        <w:t>5. Analyses de Durabilité (CSRD / ESRS)</w:t>
      </w:r>
    </w:p>
    <w:p>
      <w:pPr>
        <w:spacing w:before="0" w:after="160"/>
        <w:pBdr>
          <w:bottom w:val="single" w:sz="4" w:space="1" w:color="2E86C1"/>
        </w:pBdr>
      </w:pPr>
    </w:p>
    <w:p>
      <w:pPr>
        <w:spacing w:before="280" w:after="120"/>
        <w:jc w:val="left"/>
      </w:pPr>
      <w:r>
        <w:rPr>
          <w:rFonts w:ascii="Calibri" w:hAnsi="Calibri"/>
          <w:b/>
          <w:color w:val="2E86C1"/>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Calibri" w:hAnsi="Calibri"/>
          <w:b/>
          <w:color w:val="2E86C1"/>
          <w:sz w:val="34"/>
        </w:rPr>
        <w:t>Objectifs &amp; trajectoire</w:t>
      </w:r>
    </w:p>
    <w:p>
      <w:pPr>
        <w:spacing w:after="120"/>
      </w:pPr>
      <w:r>
        <w:t>Acme Industries inscrit sa démarche ESG dans une trajectoire de progrès chiffrée à horizon 2030. Sur le plan climatique, l'entreprise vise une réduction de 42% de ses émissions de gaz à effet de serre d'ici 2030 par rapport à l'année de référence 2025, en cohérence avec une trajectoire alignée sur l'objectif 1,5°C de l'Accord de Paris (méthodologie Science Based Targets initiative). Chaque pilier fait l'objet d'une cible de progression, avec un suivi annuel des indicateurs clés et une revue par la gouvernance ESG.</w:t>
      </w:r>
    </w:p>
    <w:p>
      <w:pPr>
        <w:spacing w:before="280" w:after="120"/>
        <w:jc w:val="left"/>
      </w:pPr>
      <w:r>
        <w:rPr>
          <w:rFonts w:ascii="Calibri" w:hAnsi="Calibri"/>
          <w:b/>
          <w:color w:val="2E86C1"/>
          <w:sz w:val="34"/>
        </w:rPr>
        <w:t>Taxonomie européenne</w:t>
      </w:r>
    </w:p>
    <w:p>
      <w:pPr>
        <w:spacing w:after="120"/>
      </w:pPr>
      <w:r>
        <w:t>Au titre du règlement Taxonomie de l'Union européenne, Acme Industries déclare la part de ses activités durables sur le plan environnemental : 38% du chiffre d'affaires, 52% des CapEx, 20% des OpEx alignés. Ces indicateurs traduisent la contribution substantielle des activités à au moins un objectif environnemental, dans le respect du principe DNSH (« ne pas causer de préjudice important ») et des garanties minimales sociales. Le CapEx aligné, prospectif, reflète la trajectoire d'investissement de l'entreprise vers une économie bas-carbone.</w:t>
      </w:r>
    </w:p>
    <w:p>
      <w:pPr>
        <w:spacing w:before="280" w:after="120"/>
        <w:jc w:val="left"/>
      </w:pPr>
      <w:r>
        <w:rPr>
          <w:rFonts w:ascii="Calibri" w:hAnsi="Calibri"/>
          <w:b/>
          <w:color w:val="2E86C1"/>
          <w:sz w:val="34"/>
        </w:rPr>
        <w:t>Risques climatiques (TCFD)</w:t>
      </w:r>
    </w:p>
    <w:p>
      <w:pPr>
        <w:spacing w:after="160"/>
      </w:pPr>
      <w:r>
        <w:t>En ligne avec les recommandations de la TCFD et la norme ESRS E1 (E1-9), Acme Industries analyse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Calibri" w:hAnsi="Calibri"/>
          <w:b/>
          <w:color w:val="1B3A6B"/>
          <w:sz w:val="44"/>
        </w:rPr>
        <w:t>6. Analyse Stratégique</w:t>
      </w:r>
    </w:p>
    <w:p>
      <w:pPr>
        <w:spacing w:before="0" w:after="160"/>
        <w:pBdr>
          <w:bottom w:val="single" w:sz="4" w:space="1" w:color="F39C12"/>
        </w:pBdr>
      </w:pPr>
    </w:p>
    <w:p>
      <w:pPr>
        <w:spacing w:after="120"/>
      </w:pPr>
      <w:r>
        <w:rPr>
          <w:b/>
          <w:color w:val="F39C12"/>
          <w:sz w:val="25"/>
        </w:rPr>
        <w:t>5 forces établies, 5 leviers de progression</w:t>
      </w:r>
    </w:p>
    <w:p>
      <w:pPr>
        <w:spacing w:before="280" w:after="120"/>
        <w:jc w:val="left"/>
      </w:pPr>
      <w:r>
        <w:rPr>
          <w:rFonts w:ascii="Calibri" w:hAnsi="Calibri"/>
          <w:b/>
          <w:color w:val="27AE60"/>
          <w:sz w:val="34"/>
        </w:rPr>
        <w:t>Points Forts</w:t>
      </w:r>
    </w:p>
    <w:p>
      <w:pPr>
        <w:spacing w:after="60"/>
        <w:ind w:left="283"/>
      </w:pPr>
      <w:r>
        <w:rPr>
          <w:color w:val="27AE60"/>
          <w:sz w:val="20"/>
        </w:rPr>
        <w:t xml:space="preserve">✅  </w:t>
      </w:r>
      <w:r>
        <w:rPr>
          <w:sz w:val="20"/>
        </w:rPr>
        <w:t>Excellente performance environnementale globale</w:t>
      </w:r>
    </w:p>
    <w:p>
      <w:pPr>
        <w:spacing w:after="60"/>
        <w:ind w:left="283"/>
      </w:pPr>
      <w:r>
        <w:rPr>
          <w:color w:val="27AE60"/>
          <w:sz w:val="20"/>
        </w:rPr>
        <w:t xml:space="preserve">✅  </w:t>
      </w:r>
      <w:r>
        <w:rPr>
          <w:sz w:val="20"/>
        </w:rPr>
        <w:t>Comité de durabilité opérationnel au niveau du CA</w:t>
      </w:r>
    </w:p>
    <w:p>
      <w:pPr>
        <w:spacing w:after="60"/>
        <w:ind w:left="283"/>
      </w:pPr>
      <w:r>
        <w:rPr>
          <w:color w:val="27AE60"/>
          <w:sz w:val="20"/>
        </w:rPr>
        <w:t xml:space="preserve">✅  </w:t>
      </w:r>
      <w:r>
        <w:rPr>
          <w:sz w:val="20"/>
        </w:rPr>
        <w:t>Parité exemplaire au Conseil d'Administration (44%)</w:t>
      </w:r>
    </w:p>
    <w:p>
      <w:pPr>
        <w:spacing w:after="60"/>
        <w:ind w:left="283"/>
      </w:pPr>
      <w:r>
        <w:rPr>
          <w:color w:val="27AE60"/>
          <w:sz w:val="20"/>
        </w:rPr>
        <w:t xml:space="preserve">✅  </w:t>
      </w:r>
      <w:r>
        <w:rPr>
          <w:sz w:val="20"/>
        </w:rPr>
        <w:t>Gouvernance de haute qualité et transparente</w:t>
      </w:r>
    </w:p>
    <w:p>
      <w:pPr>
        <w:spacing w:after="60"/>
        <w:ind w:left="283"/>
      </w:pPr>
      <w:r>
        <w:rPr>
          <w:color w:val="27AE60"/>
          <w:sz w:val="20"/>
        </w:rPr>
        <w:t xml:space="preserve">✅  </w:t>
      </w:r>
      <w:r>
        <w:rPr>
          <w:sz w:val="20"/>
        </w:rPr>
        <w:t>Reporting complet des émissions Scope 1, 2 et 3</w:t>
      </w:r>
    </w:p>
    <w:p>
      <w:pPr>
        <w:spacing w:before="280" w:after="120"/>
        <w:jc w:val="left"/>
      </w:pPr>
      <w:r>
        <w:rPr>
          <w:rFonts w:ascii="Calibri" w:hAnsi="Calibri"/>
          <w:b/>
          <w:color w:val="E74C3C"/>
          <w:sz w:val="34"/>
        </w:rPr>
        <w:t>Axes d'Amélioration</w:t>
      </w:r>
    </w:p>
    <w:p>
      <w:pPr>
        <w:spacing w:after="60"/>
        <w:ind w:left="283"/>
      </w:pPr>
      <w:r>
        <w:rPr>
          <w:color w:val="E74C3C"/>
          <w:sz w:val="20"/>
        </w:rPr>
        <w:t xml:space="preserve">⚠️  </w:t>
      </w:r>
      <w:r>
        <w:rPr>
          <w:sz w:val="20"/>
        </w:rPr>
        <w:t>Énergie renouvelable à renforcer (actuellement 42%, objectif 50%)</w:t>
      </w:r>
    </w:p>
    <w:p>
      <w:pPr>
        <w:spacing w:after="60"/>
        <w:ind w:left="283"/>
      </w:pPr>
      <w:r>
        <w:rPr>
          <w:color w:val="E74C3C"/>
          <w:sz w:val="20"/>
        </w:rPr>
        <w:t xml:space="preserve">⚠️  </w:t>
      </w:r>
      <w:r>
        <w:rPr>
          <w:sz w:val="20"/>
        </w:rPr>
        <w:t>Déséquilibre de genre dans les effectifs (34% de femmes)</w:t>
      </w:r>
    </w:p>
    <w:p>
      <w:pPr>
        <w:spacing w:after="60"/>
        <w:ind w:left="283"/>
      </w:pPr>
      <w:r>
        <w:rPr>
          <w:color w:val="E74C3C"/>
          <w:sz w:val="20"/>
        </w:rPr>
        <w:t xml:space="preserve">⚠️  </w:t>
      </w:r>
      <w:r>
        <w:rPr>
          <w:sz w:val="20"/>
        </w:rPr>
        <w:t>Taux de fréquence des accidents élevé (TF 6.2)</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Calibri" w:hAnsi="Calibri"/>
          <w:b/>
          <w:color w:val="1B3A6B"/>
          <w:sz w:val="44"/>
        </w:rPr>
        <w:t>7. Recommandations Prioritaires</w:t>
      </w:r>
    </w:p>
    <w:p>
      <w:pPr>
        <w:spacing w:before="0" w:after="160"/>
        <w:pBdr>
          <w:bottom w:val="single" w:sz="4" w:space="1" w:color="F39C12"/>
        </w:pBdr>
      </w:pPr>
    </w:p>
    <w:p>
      <w:pPr>
        <w:spacing w:after="20"/>
      </w:pPr>
      <w:r>
        <w:rPr>
          <w:b/>
          <w:color w:val="F39C12"/>
        </w:rPr>
        <w:t xml:space="preserve">1.  </w:t>
      </w:r>
      <w:r>
        <w:rPr>
          <w:b/>
          <w:sz w:val="21"/>
        </w:rPr>
        <w:t>Augmenter la part d'énergie renouvelable à 50%</w:t>
      </w:r>
    </w:p>
    <w:p>
      <w:pPr>
        <w:spacing w:after="120"/>
        <w:ind w:left="397"/>
      </w:pPr>
      <w:r>
        <w:rPr>
          <w:sz w:val="19"/>
        </w:rPr>
        <w:t>Réduit les émissions Scope 2 et l'exposition aux prix de l'énergie ; contribue directement à la trajectoire SBTi.</w:t>
      </w:r>
      <w:r>
        <w:rPr>
          <w:color w:val="7F8C8D"/>
          <w:sz w:val="17"/>
        </w:rPr>
        <w:br/>
        <w:t>Objectif : 50 % d'énergie renouvelable dans le mix  ·  Responsable : Direction des opérations  ·  2027</w:t>
      </w:r>
    </w:p>
    <w:p>
      <w:pPr>
        <w:spacing w:after="20"/>
      </w:pPr>
      <w:r>
        <w:rPr>
          <w:b/>
          <w:color w:val="F39C12"/>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F39C12"/>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F39C12"/>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Calibri" w:hAnsi="Calibri"/>
          <w:b/>
          <w:color w:val="1B3A6B"/>
          <w:sz w:val="44"/>
        </w:rPr>
        <w:t>Diagnostic stratégique &amp; positionnement</w:t>
      </w:r>
    </w:p>
    <w:p>
      <w:pPr>
        <w:spacing w:before="0" w:after="160"/>
        <w:pBdr>
          <w:bottom w:val="single" w:sz="4" w:space="1" w:color="F39C12"/>
        </w:pBdr>
      </w:pPr>
    </w:p>
    <w:p>
      <w:r>
        <w:rPr>
          <w:b/>
          <w:color w:val="2E86C1"/>
          <w:sz w:val="24"/>
        </w:rPr>
        <w:t>La gouvernance est le point fort d'Acme Industries, le social sa priorité</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Pilier</w:t>
            </w:r>
          </w:p>
        </w:tc>
        <w:tc>
          <w:tcPr>
            <w:tcW w:type="dxa" w:w="2351"/>
            <w:shd w:val="clear" w:fill="1B3A6B"/>
          </w:tcPr>
          <w:p>
            <w:r>
              <w:rPr>
                <w:b/>
                <w:color w:val="FFFFFF"/>
                <w:sz w:val="18"/>
              </w:rPr>
              <w:t>Score</w:t>
            </w:r>
          </w:p>
        </w:tc>
        <w:tc>
          <w:tcPr>
            <w:tcW w:type="dxa" w:w="2351"/>
            <w:shd w:val="clear" w:fill="1B3A6B"/>
          </w:tcPr>
          <w:p>
            <w:r>
              <w:rPr>
                <w:b/>
                <w:color w:val="FFFFFF"/>
                <w:sz w:val="18"/>
              </w:rPr>
              <w:t>Écart au meilleur</w:t>
            </w:r>
          </w:p>
        </w:tc>
        <w:tc>
          <w:tcPr>
            <w:tcW w:type="dxa" w:w="2351"/>
            <w:shd w:val="clear" w:fill="1B3A6B"/>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55</w:t>
            </w:r>
          </w:p>
        </w:tc>
        <w:tc>
          <w:tcPr>
            <w:tcW w:type="dxa" w:w="2351"/>
          </w:tcPr>
          <w:p>
            <w:r>
              <w:rPr>
                <w:sz w:val="19"/>
              </w:rPr>
              <w:t>-20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66</w:t>
            </w:r>
          </w:p>
        </w:tc>
        <w:tc>
          <w:tcPr>
            <w:tcW w:type="dxa" w:w="2351"/>
          </w:tcPr>
          <w:p>
            <w:r>
              <w:rPr>
                <w:sz w:val="19"/>
              </w:rPr>
            </w:r>
          </w:p>
        </w:tc>
        <w:tc>
          <w:tcPr>
            <w:tcW w:type="dxa" w:w="2351"/>
          </w:tcPr>
          <w:p>
            <w:r>
              <w:rPr>
                <w:b/>
                <w:color w:val="2E7D32"/>
                <w:sz w:val="19"/>
              </w:rPr>
              <w:t>A</w:t>
            </w:r>
          </w:p>
        </w:tc>
      </w:tr>
    </w:tbl>
    <w:p>
      <w:pPr>
        <w:spacing w:before="120"/>
        <w:shd w:val="clear" w:fill="EBF2FB"/>
      </w:pPr>
      <w:r>
        <w:rPr>
          <w:sz w:val="20"/>
        </w:rPr>
        <w:t>20 points séparent votre pilier le plus solide du plus fragile — l'écart interne à réduire en priorité.</w:t>
      </w:r>
    </w:p>
    <w:p>
      <w:pPr>
        <w:spacing w:before="160"/>
      </w:pPr>
      <w:r>
        <w:rPr>
          <w:b/>
          <w:color w:val="2E86C1"/>
          <w:sz w:val="22"/>
        </w:rPr>
        <w:t>Niveau de maturité ESG : Structurée (2/5)</w:t>
      </w:r>
    </w:p>
    <w:p>
      <w:r>
        <w:t>Pour franchir le cap suivant : faire auditer le reporting.</w:t>
      </w:r>
    </w:p>
    <w:p>
      <w:pPr>
        <w:spacing w:before="280" w:after="120"/>
        <w:jc w:val="left"/>
      </w:pPr>
      <w:r>
        <w:rPr>
          <w:rFonts w:ascii="Calibri" w:hAnsi="Calibri"/>
          <w:b/>
          <w:color w:val="2E86C1"/>
          <w:sz w:val="34"/>
        </w:rPr>
        <w:t>Analyse des écarts réglementaires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Exigence</w:t>
            </w:r>
          </w:p>
        </w:tc>
        <w:tc>
          <w:tcPr>
            <w:tcW w:type="dxa" w:w="2351"/>
            <w:shd w:val="clear" w:fill="1B3A6B"/>
          </w:tcPr>
          <w:p>
            <w:r>
              <w:rPr>
                <w:b/>
                <w:color w:val="FFFFFF"/>
                <w:sz w:val="18"/>
              </w:rPr>
              <w:t>Référence</w:t>
            </w:r>
          </w:p>
        </w:tc>
        <w:tc>
          <w:tcPr>
            <w:tcW w:type="dxa" w:w="2351"/>
            <w:shd w:val="clear" w:fill="1B3A6B"/>
          </w:tcPr>
          <w:p>
            <w:r>
              <w:rPr>
                <w:b/>
                <w:color w:val="FFFFFF"/>
                <w:sz w:val="18"/>
              </w:rPr>
              <w:t>Statut</w:t>
            </w:r>
          </w:p>
        </w:tc>
        <w:tc>
          <w:tcPr>
            <w:tcW w:type="dxa" w:w="2351"/>
            <w:shd w:val="clear" w:fill="1B3A6B"/>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2E7D32"/>
                <w:sz w:val="18"/>
              </w:rPr>
              <w:t>Conforme</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2E7D32"/>
                <w:sz w:val="18"/>
              </w:rPr>
              <w:t>Conforme</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conforme</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2E7D32"/>
                <w:sz w:val="18"/>
              </w:rPr>
              <w:t>Conforme</w:t>
            </w:r>
          </w:p>
        </w:tc>
        <w:tc>
          <w:tcPr>
            <w:tcW w:type="dxa" w:w="2351"/>
          </w:tcPr>
          <w:p>
            <w:r>
              <w:rPr>
                <w:sz w:val="18"/>
              </w:rPr>
              <w:t>Comité de durabilité en place</w:t>
            </w:r>
          </w:p>
        </w:tc>
      </w:tr>
      <w:tr>
        <w:tc>
          <w:tcPr>
            <w:tcW w:type="dxa" w:w="2351"/>
          </w:tcPr>
          <w:p>
            <w:r>
              <w:rPr>
                <w:b/>
                <w:sz w:val="18"/>
              </w:rPr>
              <w:t>Indépendance du conseil (seuil 50 %)</w:t>
            </w:r>
          </w:p>
        </w:tc>
        <w:tc>
          <w:tcPr>
            <w:tcW w:type="dxa" w:w="2351"/>
          </w:tcPr>
          <w:p>
            <w:r>
              <w:rPr>
                <w:sz w:val="18"/>
              </w:rPr>
              <w:t>AFEP-MEDEF</w:t>
            </w:r>
          </w:p>
        </w:tc>
        <w:tc>
          <w:tcPr>
            <w:tcW w:type="dxa" w:w="2351"/>
          </w:tcPr>
          <w:p>
            <w:r>
              <w:rPr>
                <w:b/>
                <w:color w:val="D97706"/>
                <w:sz w:val="18"/>
              </w:rPr>
              <w:t>Partiel</w:t>
            </w:r>
          </w:p>
        </w:tc>
        <w:tc>
          <w:tcPr>
            <w:tcW w:type="dxa" w:w="2351"/>
          </w:tcPr>
          <w:p>
            <w:r>
              <w:rPr>
                <w:sz w:val="18"/>
              </w:rPr>
              <w:t>45 % d'administrateurs indépendants</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2E7D32"/>
                <w:sz w:val="18"/>
              </w:rPr>
              <w:t>Conforme</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2E7D32"/>
                <w:sz w:val="18"/>
              </w:rPr>
              <w:t>Conforme</w:t>
            </w:r>
          </w:p>
        </w:tc>
        <w:tc>
          <w:tcPr>
            <w:tcW w:type="dxa" w:w="2351"/>
          </w:tcPr>
          <w:p>
            <w:r>
              <w:rPr>
                <w:sz w:val="18"/>
              </w:rPr>
              <w:t>Trajectoire -42 % à 2030 définie (réf. SBTi)</w:t>
            </w:r>
          </w:p>
        </w:tc>
      </w:tr>
    </w:tbl>
    <w:p/>
    <w:p>
      <w:pPr>
        <w:spacing w:before="280" w:after="120"/>
        <w:jc w:val="left"/>
      </w:pPr>
      <w:r>
        <w:rPr>
          <w:rFonts w:ascii="Calibri" w:hAnsi="Calibri"/>
          <w:b/>
          <w:color w:val="E74C3C"/>
          <w:sz w:val="34"/>
        </w:rPr>
        <w:t>Risques majeurs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[P1] Opérationnel — Sinistralité élevée : risque humain et social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before="280" w:after="120"/>
        <w:jc w:val="left"/>
      </w:pPr>
      <w:r>
        <w:rPr>
          <w:rFonts w:ascii="Calibri" w:hAnsi="Calibri"/>
          <w:b/>
          <w:color w:val="27AE60"/>
          <w:sz w:val="34"/>
        </w:rPr>
        <w:t>Opportunités majeures</w:t>
      </w:r>
    </w:p>
    <w:p>
      <w:pPr>
        <w:spacing w:after="60"/>
        <w:ind w:left="283"/>
      </w:pPr>
      <w:r>
        <w:rPr>
          <w:color w:val="27AE60"/>
          <w:sz w:val="20"/>
        </w:rPr>
        <w:t xml:space="preserve">▪  </w:t>
      </w:r>
      <w:r>
        <w:rPr>
          <w:sz w:val="20"/>
        </w:rPr>
        <w:t>Financement — Gouvernance solide : accès facilité aux financements ESG (green bonds, prêts indexés)</w:t>
      </w:r>
    </w:p>
    <w:p>
      <w:pPr>
        <w:spacing w:after="60"/>
        <w:ind w:left="283"/>
      </w:pPr>
      <w:r>
        <w:rPr>
          <w:color w:val="27AE60"/>
          <w:sz w:val="20"/>
        </w:rPr>
        <w:t xml:space="preserve">▪  </w:t>
      </w:r>
      <w:r>
        <w:rPr>
          <w:sz w:val="20"/>
        </w:rPr>
        <w:t>Financement — Activités alignées Taxonomie : éligibilité aux financements verts</w:t>
      </w:r>
    </w:p>
    <w:p>
      <w:pPr>
        <w:spacing w:after="60"/>
        <w:ind w:left="283"/>
      </w:pPr>
      <w:r>
        <w:rPr>
          <w:color w:val="27AE60"/>
          <w:sz w:val="20"/>
        </w:rPr>
        <w:t xml:space="preserve">▪  </w:t>
      </w:r>
      <w:r>
        <w:rPr>
          <w:sz w:val="20"/>
        </w:rPr>
        <w:t>Coûts — Mix renouvelable engagé : réduction des coûts énergétiques à terme</w:t>
      </w:r>
    </w:p>
    <w:p>
      <w:pPr>
        <w:spacing w:after="60"/>
        <w:ind w:left="283"/>
      </w:pPr>
      <w:r>
        <w:rPr>
          <w:color w:val="27AE60"/>
          <w:sz w:val="20"/>
        </w:rPr>
        <w:t xml:space="preserve">▪  </w:t>
      </w:r>
      <w:r>
        <w:rPr>
          <w:sz w:val="20"/>
        </w:rPr>
        <w:t>Talents — Politique sociale : marque employeur et rétention des talents renforcées</w:t>
      </w:r>
    </w:p>
    <w:p>
      <w:pPr>
        <w:spacing w:before="280" w:after="120"/>
        <w:jc w:val="left"/>
      </w:pPr>
      <w:r>
        <w:rPr>
          <w:rFonts w:ascii="Calibri" w:hAnsi="Calibri"/>
          <w:b/>
          <w:color w:val="F39C12"/>
          <w:sz w:val="34"/>
        </w:rPr>
        <w:t>Un plan d'action ESG sur 12 mois</w:t>
      </w:r>
    </w:p>
    <w:p>
      <w:r>
        <w:rPr>
          <w:b/>
          <w:color w:val="1B3A6B"/>
          <w:sz w:val="21"/>
        </w:rPr>
        <w:t>0-3 mois — Quick wins &amp; fondations</w:t>
      </w:r>
    </w:p>
    <w:p>
      <w:pPr>
        <w:pStyle w:val="ListBullet"/>
      </w:pPr>
      <w:r>
        <w:rPr>
          <w:sz w:val="20"/>
        </w:rPr>
        <w:t>Commander un audit ESG indépendant annuel</w:t>
      </w:r>
      <w:r>
        <w:rPr>
          <w:b/>
          <w:color w:val="F39C12"/>
          <w:sz w:val="16"/>
        </w:rPr>
        <w:t xml:space="preserve">  [QUICK WIN]</w:t>
      </w:r>
    </w:p>
    <w:p>
      <w:r>
        <w:rPr>
          <w:b/>
          <w:color w:val="1B3A6B"/>
          <w:sz w:val="21"/>
        </w:rPr>
        <w:t>3-6 mois — Structuration</w:t>
      </w:r>
    </w:p>
    <w:p>
      <w:pPr>
        <w:pStyle w:val="ListBullet"/>
      </w:pPr>
      <w:r>
        <w:rPr>
          <w:sz w:val="20"/>
        </w:rPr>
        <w:t>Définir des objectifs chiffrés de parité femme-homme</w:t>
      </w:r>
      <w:r>
        <w:rPr>
          <w:b/>
          <w:color w:val="F39C12"/>
          <w:sz w:val="16"/>
        </w:rPr>
        <w:t xml:space="preserve">  [QUICK WIN]</w:t>
      </w:r>
    </w:p>
    <w:p>
      <w:pPr>
        <w:pStyle w:val="ListBullet"/>
      </w:pPr>
      <w:r>
        <w:rPr>
          <w:sz w:val="20"/>
        </w:rPr>
        <w:t>Aligner la stratégie ESG sur les ODD &amp; la TCFD</w:t>
      </w:r>
    </w:p>
    <w:p>
      <w:r>
        <w:rPr>
          <w:b/>
          <w:color w:val="1B3A6B"/>
          <w:sz w:val="21"/>
        </w:rPr>
        <w:t>6-12 mois — Deploiement</w:t>
      </w:r>
    </w:p>
    <w:p>
      <w:pPr>
        <w:pStyle w:val="ListBullet"/>
      </w:pPr>
      <w:r>
        <w:rPr>
          <w:sz w:val="20"/>
        </w:rPr>
        <w:t>Augmenter la part d'énergie renouvelable à 50%</w:t>
      </w:r>
    </w:p>
    <w:p>
      <w:pPr>
        <w:spacing w:before="280" w:after="120"/>
        <w:jc w:val="left"/>
      </w:pPr>
      <w:r>
        <w:rPr>
          <w:rFonts w:ascii="Calibri" w:hAnsi="Calibri"/>
          <w:b/>
          <w:color w:val="1B3A6B"/>
          <w:sz w:val="44"/>
        </w:rPr>
        <w:t>8. Cadres de Référence &amp; Alignement ODD</w:t>
      </w:r>
    </w:p>
    <w:p>
      <w:pPr>
        <w:spacing w:before="0" w:after="160"/>
        <w:pBdr>
          <w:bottom w:val="single" w:sz="4" w:space="1" w:color="2E86C1"/>
        </w:pBdr>
      </w:pPr>
    </w:p>
    <w:p>
      <w:r>
        <w:t>Ce rapport s'inscrit dans les cadres de référence suivants : GRI Standards, TCFD, CSRD, SFDR et ISO 14001/26000. L'organisation contribue aux ODD de l'ONU : ODD 7 (Énergie propre), ODD 8 (Travail décent), ODD 10 (Inégalités), ODD 12 (Consommation responsable), ODD 13 (Action climatique), ODD 16 (Institutions).</w:t>
      </w:r>
    </w:p>
    <w:p>
      <w:r>
        <w:br w:type="page"/>
      </w:r>
    </w:p>
    <w:p>
      <w:pPr>
        <w:spacing w:before="280" w:after="120"/>
        <w:jc w:val="left"/>
      </w:pPr>
      <w:r>
        <w:rPr>
          <w:rFonts w:ascii="Calibri" w:hAnsi="Calibri"/>
          <w:b/>
          <w:color w:val="1B3A6B"/>
          <w:sz w:val="44"/>
        </w:rPr>
        <w:t>9. Conclusion</w:t>
      </w:r>
    </w:p>
    <w:p>
      <w:pPr>
        <w:spacing w:before="0" w:after="160"/>
        <w:pBdr>
          <w:bottom w:val="single" w:sz="4" w:space="1" w:color="1B3A6B"/>
        </w:pBdr>
      </w:pPr>
    </w:p>
    <w:p>
      <w:r>
        <w:t>Fort d'un score ESG de 66.0/100 (A), Acme Industries amorce une dynamique positive sur l'ensemble des piliers ESG. L'analyse met en lumière cinq points forts consolidés et cinq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en alignement avec les référentiels GRI Standards, TCFD, CSRD et les ODD des Nations Unies.</w:t>
      </w:r>
    </w:p>
    <w:p>
      <w:pPr>
        <w:spacing w:before="280" w:after="120"/>
        <w:jc w:val="left"/>
      </w:pPr>
      <w:r>
        <w:rPr>
          <w:rFonts w:ascii="Calibri" w:hAnsi="Calibri"/>
          <w:b/>
          <w:color w:val="2E86C1"/>
          <w:sz w:val="34"/>
        </w:rPr>
        <w:t>Note méthodologique</w:t>
      </w:r>
    </w:p>
    <w:p>
      <w:pPr>
        <w:shd w:val="clear" w:fill="EBF2FB"/>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Le score global est la moyenne pondérée des trois piliers, et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Limites : certains indicateurs reposent sur des données déclaratives et des estimations ; ils sont affinés à mesure que les dispositifs de mesure gagnent en maturité. Les points de données suivants restent à consolider : la vérification par un tiers indépendant, requise par la CSRD (assurance limitée).</w:t>
      </w:r>
    </w:p>
    <w:p>
      <w:pPr>
        <w:spacing w:before="280" w:after="120"/>
        <w:jc w:val="left"/>
      </w:pPr>
      <w:r>
        <w:rPr>
          <w:rFonts w:ascii="Calibri" w:hAnsi="Calibri"/>
          <w:b/>
          <w:color w:val="2E86C1"/>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B3A6B"/>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B3A6B"/>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B3A6B"/>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B3A6B"/>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B3A6B"/>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B3A6B"/>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B3A6B"/>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B3A6B"/>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B3A6B"/>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B3A6B"/>
                <w:sz w:val="17"/>
              </w:rPr>
              <w:t>SBTi</w:t>
            </w:r>
          </w:p>
        </w:tc>
        <w:tc>
          <w:tcPr>
            <w:tcW w:type="dxa" w:w="4703"/>
          </w:tcPr>
          <w:p>
            <w:r>
              <w:rPr>
                <w:sz w:val="17"/>
              </w:rPr>
              <w:t>Science Based Targets initiative. Méthodologie de définition d'objectifs de réduction d'émissions compatibles avec la trajectoire de l'Accord de Paris.</w:t>
            </w:r>
          </w:p>
        </w:tc>
      </w:tr>
      <w:tr>
        <w:tc>
          <w:tcPr>
            <w:tcW w:type="dxa" w:w="4703"/>
          </w:tcPr>
          <w:p>
            <w:r>
              <w:rPr>
                <w:b/>
                <w:color w:val="1B3A6B"/>
                <w:sz w:val="17"/>
              </w:rPr>
              <w:t>Assurance limitée</w:t>
            </w:r>
          </w:p>
        </w:tc>
        <w:tc>
          <w:tcPr>
            <w:tcW w:type="dxa" w:w="4703"/>
          </w:tcPr>
          <w:p>
            <w:r>
              <w:rPr>
                <w:sz w:val="17"/>
              </w:rPr>
              <w:t>Niveau de vérification par un tiers indépendant requis par la CSRD : le vérificateur conclut qu'il n'a pas relevé d'anomalie significative, sans l'audit approfondi que suppose une assurance raisonnable.</w:t>
            </w:r>
          </w:p>
        </w:tc>
      </w:tr>
      <w:tr>
        <w:tc>
          <w:tcPr>
            <w:tcW w:type="dxa" w:w="4703"/>
          </w:tcPr>
          <w:p>
            <w:r>
              <w:rPr>
                <w:b/>
                <w:color w:val="1B3A6B"/>
                <w:sz w:val="17"/>
              </w:rPr>
              <w:t>ODD</w:t>
            </w:r>
          </w:p>
        </w:tc>
        <w:tc>
          <w:tcPr>
            <w:tcW w:type="dxa" w:w="4703"/>
          </w:tcPr>
          <w:p>
            <w:r>
              <w:rPr>
                <w:sz w:val="17"/>
              </w:rPr>
              <w:t>Les 17 Objectifs de développement durable des Nations unies, utilisés comme grille de lecture universelle de la contribution d'une organisation.</w:t>
            </w:r>
          </w:p>
        </w:tc>
      </w:tr>
      <w:tr>
        <w:tc>
          <w:tcPr>
            <w:tcW w:type="dxa" w:w="4703"/>
          </w:tcPr>
          <w:p>
            <w:r>
              <w:rPr>
                <w:b/>
                <w:color w:val="1B3A6B"/>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