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4B"/>
          <w:sz w:val="20"/>
        </w:rPr>
        <w:t>PROPOSITION D'ACCOMPAGNEMENT ESG</w:t>
      </w:r>
    </w:p>
    <w:p>
      <w:pPr>
        <w:spacing w:before="40" w:after="80"/>
      </w:pPr>
      <w:r>
        <w:rPr>
          <w:b/>
          <w:color w:val="1F3D33"/>
          <w:sz w:val="44"/>
        </w:rPr>
        <w:t>Lettre de mission ESG — Acme Industries</w:t>
      </w:r>
    </w:p>
    <w:p>
      <w:r>
        <w:rPr>
          <w:color w:val="7F8C8D"/>
          <w:sz w:val="21"/>
        </w:rPr>
        <w:t>Industrie manufacturière  ·  France  ·  Exercice 2025</w:t>
      </w:r>
    </w:p>
    <w:p>
      <w:pPr>
        <w:spacing w:before="0" w:after="160"/>
        <w:pBdr>
          <w:bottom w:val="single" w:sz="4" w:space="1" w:color="2E5A4B"/>
        </w:pBdr>
      </w:pPr>
    </w:p>
    <w:p>
      <w:pPr>
        <w:spacing w:before="280" w:after="80"/>
      </w:pPr>
      <w:r>
        <w:rPr>
          <w:b/>
          <w:color w:val="1F3D33"/>
          <w:sz w:val="28"/>
        </w:rPr>
        <w:t>1. Contexte et pré-diagnostic</w:t>
      </w:r>
    </w:p>
    <w:p>
      <w:r>
        <w:t>Une revue préliminaire des données ESG de Acme Industries aboutit à un score global de 70/100 (échelle interne indicative), pour une maturité ESG évaluée comme structurée (3/5). Au regard des référentiels ESRS et VSME, cette revue identifie 1 écart(s) de couverture à traiter.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1F3D33"/>
          </w:tcPr>
          <w:p>
            <w:r>
              <w:rPr>
                <w:b/>
                <w:color w:val="FFFFFF"/>
                <w:sz w:val="18"/>
              </w:rPr>
              <w:t>Exigence</w:t>
            </w:r>
          </w:p>
        </w:tc>
        <w:tc>
          <w:tcPr>
            <w:tcW w:type="dxa" w:w="3135"/>
            <w:shd w:val="clear" w:fill="1F3D33"/>
          </w:tcPr>
          <w:p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3135"/>
            <w:shd w:val="clear" w:fill="1F3D33"/>
          </w:tcPr>
          <w:p>
            <w:r>
              <w:rPr>
                <w:b/>
                <w:color w:val="FFFFFF"/>
                <w:sz w:val="18"/>
              </w:rPr>
              <w:t>Constat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Vérification du reporting par un tiers</w:t>
            </w:r>
          </w:p>
        </w:tc>
        <w:tc>
          <w:tcPr>
            <w:tcW w:type="dxa" w:w="3135"/>
          </w:tcPr>
          <w:p>
            <w:r>
              <w:rPr>
                <w:b/>
                <w:color w:val="E74C3C"/>
                <w:sz w:val="18"/>
              </w:rPr>
              <w:t>Non publié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Aucune assurance externe à date</w:t>
            </w:r>
          </w:p>
        </w:tc>
      </w:tr>
    </w:tbl>
    <w:p/>
    <w:p>
      <w:pPr>
        <w:spacing w:before="280" w:after="80"/>
      </w:pPr>
      <w:r>
        <w:rPr>
          <w:b/>
          <w:color w:val="1F3D33"/>
          <w:sz w:val="28"/>
        </w:rPr>
        <w:t>2. Objectifs de la mission</w:t>
      </w:r>
    </w:p>
    <w:p>
      <w:pPr>
        <w:pStyle w:val="ListBullet"/>
      </w:pPr>
      <w:r>
        <w:rPr>
          <w:sz w:val="20"/>
        </w:rPr>
        <w:t>Fiabiliser et compléter le reporting extra-financier au regard des exigences CSRD/VSME</w:t>
      </w:r>
    </w:p>
    <w:p>
      <w:pPr>
        <w:pStyle w:val="ListBullet"/>
      </w:pPr>
      <w:r>
        <w:rPr>
          <w:sz w:val="20"/>
        </w:rPr>
        <w:t>Traiter en priorité les écarts de couverture identifiés au pré-diagnostic</w:t>
      </w:r>
    </w:p>
    <w:p>
      <w:pPr>
        <w:pStyle w:val="ListBullet"/>
      </w:pPr>
      <w:r>
        <w:rPr>
          <w:sz w:val="20"/>
        </w:rPr>
        <w:t>Structurer la gouvernance ESG et le plan d'action à 12 mois</w:t>
      </w:r>
    </w:p>
    <w:p>
      <w:pPr>
        <w:pStyle w:val="ListBullet"/>
      </w:pPr>
      <w:r>
        <w:rPr>
          <w:sz w:val="20"/>
        </w:rPr>
        <w:t>Produire les livrables de restitution à destination de la direction et des parties prenantes</w:t>
      </w:r>
    </w:p>
    <w:p>
      <w:pPr>
        <w:spacing w:before="280" w:after="80"/>
      </w:pPr>
      <w:r>
        <w:rPr>
          <w:b/>
          <w:color w:val="1F3D33"/>
          <w:sz w:val="28"/>
        </w:rPr>
        <w:t>3. Déroulé proposé</w:t>
      </w:r>
    </w:p>
    <w:p>
      <w:r>
        <w:rPr>
          <w:b/>
          <w:color w:val="5F6B64"/>
          <w:sz w:val="22"/>
        </w:rPr>
        <w:t>0-3 mois — Quick wins &amp; fondations</w:t>
      </w:r>
    </w:p>
    <w:p>
      <w:pPr>
        <w:pStyle w:val="ListBullet"/>
      </w:pPr>
      <w:r>
        <w:rPr>
          <w:sz w:val="20"/>
        </w:rPr>
        <w:t>Commander un audit ESG indépendant annuel</w:t>
      </w:r>
    </w:p>
    <w:p>
      <w:r>
        <w:rPr>
          <w:b/>
          <w:color w:val="5F6B64"/>
          <w:sz w:val="22"/>
        </w:rPr>
        <w:t>3-6 mois — Structuration</w:t>
      </w:r>
    </w:p>
    <w:p>
      <w:pPr>
        <w:pStyle w:val="ListBullet"/>
      </w:pPr>
      <w:r>
        <w:rPr>
          <w:sz w:val="20"/>
        </w:rPr>
        <w:t>Définir des objectifs chiffrés de parité femme-homme</w:t>
      </w:r>
    </w:p>
    <w:p>
      <w:pPr>
        <w:pStyle w:val="ListBullet"/>
      </w:pPr>
      <w:r>
        <w:rPr>
          <w:sz w:val="20"/>
        </w:rPr>
        <w:t>Aligner la stratégie ESG sur les ODD &amp; la TCFD</w:t>
      </w:r>
    </w:p>
    <w:p>
      <w:r>
        <w:rPr>
          <w:b/>
          <w:color w:val="5F6B64"/>
          <w:sz w:val="22"/>
        </w:rPr>
        <w:t>6-12 mois — Deploiement</w:t>
      </w:r>
    </w:p>
    <w:p>
      <w:pPr>
        <w:pStyle w:val="ListBullet"/>
      </w:pPr>
      <w:r>
        <w:rPr>
          <w:sz w:val="20"/>
        </w:rPr>
        <w:t>Augmenter la part d'énergie renouvelable à 50 %</w:t>
      </w:r>
    </w:p>
    <w:p>
      <w:pPr>
        <w:spacing w:before="280" w:after="80"/>
      </w:pPr>
      <w:r>
        <w:rPr>
          <w:b/>
          <w:color w:val="1F3D33"/>
          <w:sz w:val="28"/>
        </w:rPr>
        <w:t>4. Livrables</w:t>
      </w:r>
    </w:p>
    <w:p>
      <w:pPr>
        <w:pStyle w:val="ListBullet"/>
      </w:pPr>
      <w:r>
        <w:rPr>
          <w:sz w:val="20"/>
        </w:rPr>
        <w:t>Rapport ESG complet (PDF) : diagnostic scoré par pilier, couverture des exigences de reporting, plan d'action</w:t>
      </w:r>
    </w:p>
    <w:p>
      <w:pPr>
        <w:pStyle w:val="ListBullet"/>
      </w:pPr>
      <w:r>
        <w:rPr>
          <w:sz w:val="20"/>
        </w:rPr>
        <w:t>Présentation de direction (PowerPoint) prête pour comité</w:t>
      </w:r>
    </w:p>
    <w:p>
      <w:pPr>
        <w:pStyle w:val="ListBullet"/>
      </w:pPr>
      <w:r>
        <w:rPr>
          <w:sz w:val="20"/>
        </w:rPr>
        <w:t>Rapport rédigé (Word) modifiable par vos équipes</w:t>
      </w:r>
    </w:p>
    <w:p>
      <w:pPr>
        <w:pStyle w:val="ListBullet"/>
      </w:pPr>
      <w:r>
        <w:rPr>
          <w:sz w:val="20"/>
        </w:rPr>
        <w:t>Feuille de route 12 mois priorisée (quick wins, responsables, échéances)</w:t>
      </w:r>
    </w:p>
    <w:p>
      <w:pPr>
        <w:spacing w:before="280" w:after="80"/>
      </w:pPr>
      <w:r>
        <w:rPr>
          <w:b/>
          <w:color w:val="1F3D33"/>
          <w:sz w:val="28"/>
        </w:rPr>
        <w:t>5. Prérequis — données à réunir</w:t>
      </w:r>
    </w:p>
    <w:p>
      <w:r>
        <w:t>La mission s'appuie sur les données du modèle de collecte (énergie, émissions, effectifs, gouvernance). Les points de données manquants identifiés ci-dessus seront collectés conjointement lors de la première phase.</w:t>
      </w:r>
    </w:p>
    <w:p>
      <w:pPr>
        <w:spacing w:before="280" w:after="80"/>
      </w:pPr>
      <w:r>
        <w:rPr>
          <w:b/>
          <w:color w:val="1F3D33"/>
          <w:sz w:val="28"/>
        </w:rPr>
        <w:t>6. Conditions</w:t>
      </w:r>
    </w:p>
    <w:p>
      <w:pPr>
        <w:shd w:val="clear" w:fill="E6E6DC"/>
      </w:pPr>
      <w:r>
        <w:rPr>
          <w:sz w:val="20"/>
        </w:rPr>
        <w:t>Durée : 12 mois à compter de la signature.  ·  Honoraires : [à compléter]  ·  Modalités de règlement : [à compléter]  ·  Confidentialité : les données restent sur les systèmes du client ; le traitement est réalisé en local, sans transfert externe.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Pour le consultant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Pour Acme Industries</w:t>
            </w:r>
          </w:p>
        </w:tc>
      </w:tr>
      <w:tr>
        <w:tc>
          <w:tcPr>
            <w:tcW w:type="dxa" w:w="4703"/>
          </w:tcPr>
          <w:p>
            <w:r>
              <w:rPr>
                <w:color w:val="7F8C8D"/>
                <w:sz w:val="18"/>
              </w:rPr>
              <w:br/>
              <w:br/>
              <w:t>Date et signature :</w:t>
            </w:r>
          </w:p>
        </w:tc>
        <w:tc>
          <w:tcPr>
            <w:tcW w:type="dxa" w:w="4703"/>
          </w:tcPr>
          <w:p>
            <w:r>
              <w:rPr>
                <w:color w:val="7F8C8D"/>
                <w:sz w:val="18"/>
              </w:rPr>
              <w:br/>
              <w:br/>
              <w:t>Date et signature :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