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B3A6B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F39C12"/>
        </w:pBdr>
      </w:pPr>
    </w:p>
    <w:p>
      <w:pPr>
        <w:spacing w:before="280" w:after="80"/>
      </w:pPr>
      <w:r>
        <w:rPr>
          <w:b/>
          <w:color w:val="1B3A6B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2 écart(s) réglementaire(s)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conforme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(seuil 50 %)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Partiel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B3A6B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réglementaires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B3A6B"/>
          <w:sz w:val="28"/>
        </w:rPr>
        <w:t>3. Déroulé proposé</w:t>
      </w:r>
    </w:p>
    <w:p>
      <w:r>
        <w:rPr>
          <w:b/>
          <w:color w:val="2E86C1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2E86C1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2E86C1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B3A6B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analyse des écarts réglementaires,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B3A6B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B3A6B"/>
          <w:sz w:val="28"/>
        </w:rPr>
        <w:t>6. Conditions</w:t>
      </w:r>
    </w:p>
    <w:p>
      <w:pPr>
        <w:shd w:val="clear" w:fill="EBF2FB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