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Georgia" w:hAnsi="Georgia"/>
          <w:b/>
          <w:color w:val="1F3D33"/>
          <w:sz w:val="64"/>
        </w:rPr>
        <w:t>ACME INDUSTRIES</w:t>
      </w:r>
    </w:p>
    <w:p>
      <w:pPr>
        <w:spacing w:before="0" w:after="160"/>
        <w:pBdr>
          <w:bottom w:val="single" w:sz="4" w:space="1" w:color="2E5A4B"/>
        </w:pBdr>
      </w:pPr>
    </w:p>
    <w:p>
      <w:r>
        <w:rPr>
          <w:b/>
          <w:color w:val="5F6B64"/>
          <w:sz w:val="36"/>
        </w:rPr>
        <w:t>Rapport ESG Complet</w:t>
      </w:r>
    </w:p>
    <w:p>
      <w:pPr>
        <w:spacing w:after="160"/>
      </w:pPr>
      <w:r>
        <w:rPr>
          <w:color w:val="7F8C8D"/>
          <w:sz w:val="22"/>
        </w:rPr>
        <w:t>Exercice 2025  •  Industrie manufacturière  •  France</w:t>
      </w:r>
    </w:p>
    <w:p>
      <w:pPr>
        <w:spacing w:after="240"/>
      </w:pPr>
      <w:r>
        <w:rPr>
          <w:i/>
          <w:color w:val="5F6B64"/>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6E6DC"/>
          </w:tcPr>
          <w:p>
            <w:pPr>
              <w:jc w:val="center"/>
            </w:pPr>
            <w:r>
              <w:rPr>
                <w:b/>
                <w:color w:val="5F6B64"/>
                <w:sz w:val="18"/>
              </w:rPr>
              <w:t>Environnement</w:t>
            </w:r>
          </w:p>
        </w:tc>
        <w:tc>
          <w:tcPr>
            <w:tcW w:type="dxa" w:w="2351"/>
            <w:shd w:val="clear" w:fill="E6E6DC"/>
          </w:tcPr>
          <w:p>
            <w:pPr>
              <w:jc w:val="center"/>
            </w:pPr>
            <w:r>
              <w:rPr>
                <w:b/>
                <w:color w:val="5F6B64"/>
                <w:sz w:val="18"/>
              </w:rPr>
              <w:t>Social</w:t>
            </w:r>
          </w:p>
        </w:tc>
        <w:tc>
          <w:tcPr>
            <w:tcW w:type="dxa" w:w="2351"/>
            <w:shd w:val="clear" w:fill="E6E6DC"/>
          </w:tcPr>
          <w:p>
            <w:pPr>
              <w:jc w:val="center"/>
            </w:pPr>
            <w:r>
              <w:rPr>
                <w:b/>
                <w:color w:val="5F6B64"/>
                <w:sz w:val="18"/>
              </w:rPr>
              <w:t>Gouvernance</w:t>
            </w:r>
          </w:p>
        </w:tc>
        <w:tc>
          <w:tcPr>
            <w:tcW w:type="dxa" w:w="2351"/>
            <w:shd w:val="clear" w:fill="E6E6DC"/>
          </w:tcPr>
          <w:p>
            <w:pPr>
              <w:jc w:val="center"/>
            </w:pPr>
            <w:r>
              <w:rPr>
                <w:b/>
                <w:color w:val="5F6B64"/>
                <w:sz w:val="18"/>
              </w:rPr>
              <w:t>Score Global</w:t>
            </w:r>
          </w:p>
        </w:tc>
      </w:tr>
      <w:tr>
        <w:tc>
          <w:tcPr>
            <w:tcW w:type="dxa" w:w="2351"/>
          </w:tcPr>
          <w:p>
            <w:pPr>
              <w:jc w:val="center"/>
            </w:pPr>
            <w:r>
              <w:rPr>
                <w:b/>
                <w:color w:val="2F6B4F"/>
                <w:sz w:val="48"/>
              </w:rPr>
              <w:t>70,0</w:t>
            </w:r>
          </w:p>
        </w:tc>
        <w:tc>
          <w:tcPr>
            <w:tcW w:type="dxa" w:w="2351"/>
          </w:tcPr>
          <w:p>
            <w:pPr>
              <w:jc w:val="center"/>
            </w:pPr>
            <w:r>
              <w:rPr>
                <w:b/>
                <w:color w:val="3D6A8A"/>
                <w:sz w:val="48"/>
              </w:rPr>
              <w:t>65,0</w:t>
            </w:r>
          </w:p>
        </w:tc>
        <w:tc>
          <w:tcPr>
            <w:tcW w:type="dxa" w:w="2351"/>
          </w:tcPr>
          <w:p>
            <w:pPr>
              <w:jc w:val="center"/>
            </w:pPr>
            <w:r>
              <w:rPr>
                <w:b/>
                <w:color w:val="6B5B86"/>
                <w:sz w:val="48"/>
              </w:rPr>
              <w:t>75,0</w:t>
            </w:r>
          </w:p>
        </w:tc>
        <w:tc>
          <w:tcPr>
            <w:tcW w:type="dxa" w:w="2351"/>
          </w:tcPr>
          <w:p>
            <w:pPr>
              <w:jc w:val="center"/>
            </w:pPr>
            <w:r>
              <w:rPr>
                <w:b/>
                <w:color w:val="2E5A4B"/>
                <w:sz w:val="48"/>
              </w:rPr>
              <w:t>69,5</w:t>
            </w:r>
          </w:p>
        </w:tc>
      </w:tr>
    </w:tbl>
    <w:p/>
    <w:p>
      <w:pPr>
        <w:spacing w:after="480"/>
        <w:jc w:val="center"/>
      </w:pPr>
      <w:r>
        <w:rPr>
          <w:b/>
          <w:color w:val="2E5A4B"/>
          <w:sz w:val="32"/>
        </w:rPr>
        <w:t>Note : A</w:t>
      </w:r>
    </w:p>
    <w:p>
      <w:r>
        <w:br w:type="page"/>
      </w:r>
    </w:p>
    <w:p>
      <w:r>
        <w:rPr>
          <w:b/>
          <w:color w:val="2E5A4B"/>
          <w:sz w:val="18"/>
        </w:rPr>
        <w:t>LE MOT DE LA DIRECTION</w:t>
      </w:r>
    </w:p>
    <w:p>
      <w:pPr>
        <w:shd w:val="clear" w:fill="E6E6DC"/>
        <w:spacing w:after="80"/>
      </w:pPr>
      <w:r>
        <w:rPr>
          <w:i/>
          <w:color w:val="1F3D33"/>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Segoe UI" w:hAnsi="Segoe UI"/>
          <w:b/>
          <w:color w:val="1F3D33"/>
          <w:sz w:val="44"/>
        </w:rPr>
        <w:t>L'entreprise en bref</w:t>
      </w:r>
    </w:p>
    <w:p>
      <w:pPr>
        <w:spacing w:before="0" w:after="160"/>
        <w:pBdr>
          <w:bottom w:val="single" w:sz="4" w:space="1" w:color="5F6B64"/>
        </w:pBdr>
      </w:pPr>
    </w:p>
    <w:p>
      <w:pPr>
        <w:spacing w:after="160"/>
      </w:pPr>
      <w:r>
        <w:rPr>
          <w:i w:val="0"/>
          <w:sz w:val="21"/>
        </w:rPr>
        <w:t>Acme Industries présente son rapport de durabilité pour l'exercice 2025. Acteur du secteur industrie manufacturière (France), l'entreprise emploie 320 collaborateurs et a réalisé un chiffre d'affaires de 48 millions d'euros sur l'exercice.</w:t>
      </w:r>
    </w:p>
    <w:p>
      <w:pPr>
        <w:spacing w:after="160"/>
      </w:pPr>
      <w:r>
        <w:rPr>
          <w:i w:val="0"/>
          <w:sz w:val="21"/>
        </w:rPr>
        <w:t>Le diagnostic suit 29 indicateurs répartis entre l'environnement, le social et la gouvernance ; 20 sont renseignés pour cet exercice, soit un taux de complétude de 69 %. La lecture des piliers est fiable sur les indicateurs renseignés ; les données manquantes sont signalées section par section.</w:t>
      </w:r>
    </w:p>
    <w:p>
      <w:pPr>
        <w:spacing w:after="160"/>
      </w:pPr>
      <w:r>
        <w:rPr>
          <w:i w:val="0"/>
          <w:sz w:val="21"/>
        </w:rPr>
        <w:t>Le rapport suit trois temps. La situation présente la performance de chaque pilier et les indicateurs qui la fondent. Le diagnostic confronte ces résultats aux exigences de reporting du référentiel CSRD / ESRS, aux risques et aux opportunités identifiés. Le plan d'action traduit ces constats en recommandations priorisées et en feuille de route sur douze mois. Les objectifs de l'entreprise sont fixés à l'horizon 2030.</w:t>
      </w:r>
    </w:p>
    <w:p>
      <w:pPr>
        <w:spacing w:before="280" w:after="120"/>
        <w:jc w:val="left"/>
      </w:pPr>
      <w:r>
        <w:rPr>
          <w:rFonts w:ascii="Segoe UI" w:hAnsi="Segoe UI"/>
          <w:b/>
          <w:color w:val="5F6B64"/>
          <w:sz w:val="34"/>
        </w:rPr>
        <w:t>Nos initiatives</w:t>
      </w:r>
    </w:p>
    <w:p>
      <w:pPr>
        <w:spacing w:after="60"/>
        <w:ind w:left="283"/>
      </w:pPr>
      <w:r>
        <w:rPr>
          <w:color w:val="2E5A4B"/>
          <w:sz w:val="20"/>
        </w:rPr>
        <w:t xml:space="preserve">•  </w:t>
      </w:r>
      <w:r>
        <w:rPr>
          <w:sz w:val="20"/>
        </w:rPr>
        <w:t>le programme Cap Climat 2027</w:t>
      </w:r>
    </w:p>
    <w:p>
      <w:pPr>
        <w:spacing w:after="60"/>
        <w:ind w:left="283"/>
      </w:pPr>
      <w:r>
        <w:rPr>
          <w:color w:val="2E5A4B"/>
          <w:sz w:val="20"/>
        </w:rPr>
        <w:t xml:space="preserve">•  </w:t>
      </w:r>
      <w:r>
        <w:rPr>
          <w:sz w:val="20"/>
        </w:rPr>
        <w:t>l'installation photovoltaïque du site de Lyon</w:t>
      </w:r>
    </w:p>
    <w:p>
      <w:pPr>
        <w:spacing w:before="280" w:after="120"/>
        <w:jc w:val="left"/>
      </w:pPr>
      <w:r>
        <w:rPr>
          <w:rFonts w:ascii="Segoe UI" w:hAnsi="Segoe UI"/>
          <w:b/>
          <w:color w:val="1F3D33"/>
          <w:sz w:val="44"/>
        </w:rPr>
        <w:t>1. Synthèse Exécutive</w:t>
      </w:r>
    </w:p>
    <w:p>
      <w:pPr>
        <w:spacing w:before="0" w:after="160"/>
        <w:pBdr>
          <w:bottom w:val="single" w:sz="4" w:space="1" w:color="5F6B64"/>
        </w:pBdr>
      </w:pPr>
    </w:p>
    <w:p>
      <w:pPr>
        <w:spacing w:after="240"/>
      </w:pPr>
      <w:r>
        <w:t>Acme Industries consolide pour l'exercice 2025 son reporting de durabilité, ancré dans les réalités de l'industrie manufacturière, au cœur des défis d'efficacité carbone. Avec 69,5/100 et une note A, Acme Industries affiche une bonne performance sur la grille de notation interne sur l'ensemble du périmètre extra-financier. Gouvernance domine le profil ESG (75/100) tandis que Social (65/100) constitue la marge d'amélioration prioritaire. Au global, la maturité ESG est évaluée comme structurée (2/5). Combler les lacunes de reporting prioritaires — au premier rang desquelles la vérification par un tiers indépendant, requise par la CSRD (assurance limitée) — constitue le levier le plus rapide pour sécuriser la conformité CSRD et renforcer la confiance des investisseurs. Par rapport à l'exercice 2024, le score global progresse de 14 points (environnement +12, social +15,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2E5A4B"/>
          <w:sz w:val="17"/>
        </w:rPr>
        <w:t>L'ANALYSE DU CONSULTANT</w:t>
      </w:r>
    </w:p>
    <w:p>
      <w:pPr>
        <w:shd w:val="clear" w:fill="E6E6DC"/>
        <w:spacing w:after="160"/>
      </w:pPr>
      <w:r>
        <w:rPr>
          <w:i/>
          <w:color w:val="1F3D33"/>
          <w:sz w:val="20"/>
        </w:rPr>
        <w:t>La priorité 2026 est la fiabilisation du reporting énergie avant l'audit de certification prévu au troisième trimestre.</w:t>
      </w:r>
    </w:p>
    <w:p>
      <w:pPr>
        <w:spacing w:before="280" w:after="120"/>
        <w:jc w:val="left"/>
      </w:pPr>
      <w:r>
        <w:rPr>
          <w:rFonts w:ascii="Segoe UI" w:hAnsi="Segoe UI"/>
          <w:b/>
          <w:color w:val="2F6B4F"/>
          <w:sz w:val="44"/>
        </w:rPr>
        <w:t>2. Pilier Environnemental</w:t>
      </w:r>
    </w:p>
    <w:p>
      <w:pPr>
        <w:spacing w:before="0" w:after="160"/>
        <w:pBdr>
          <w:bottom w:val="single" w:sz="4" w:space="1" w:color="2F6B4F"/>
        </w:pBdr>
      </w:pPr>
    </w:p>
    <w:p>
      <w:pPr>
        <w:spacing w:after="120"/>
      </w:pPr>
      <w:r>
        <w:rPr>
          <w:b/>
          <w:color w:val="2F6B4F"/>
          <w:sz w:val="25"/>
        </w:rPr>
        <w:t>Un bilan carbone complet, socle de la trajectoire climat</w:t>
      </w:r>
    </w:p>
    <w:p>
      <w:pPr>
        <w:spacing w:before="120" w:after="20"/>
      </w:pPr>
      <w:r>
        <w:rPr>
          <w:b/>
          <w:color w:val="2E5A4B"/>
          <w:sz w:val="17"/>
        </w:rPr>
        <w:t>L'ANALYSE DU CONSULTANT</w:t>
      </w:r>
    </w:p>
    <w:p>
      <w:pPr>
        <w:shd w:val="clear" w:fill="E6E6DC"/>
        <w:spacing w:after="160"/>
      </w:pPr>
      <w:r>
        <w:rPr>
          <w:i/>
          <w:color w:val="1F3D33"/>
          <w:sz w:val="20"/>
        </w:rPr>
        <w:t>Le site de Lyon concentre près de 70 % des émissions du périmètre : c'est là que se joue la trajectoire.</w:t>
      </w:r>
    </w:p>
    <w:p>
      <w:r>
        <w:rPr>
          <w:b/>
          <w:sz w:val="22"/>
        </w:rPr>
        <w:t xml:space="preserve">Score environnemental : </w:t>
      </w:r>
      <w:r>
        <w:rPr>
          <w:b/>
          <w:color w:val="2F6B4F"/>
          <w:sz w:val="28"/>
        </w:rPr>
        <w:t>70,0/100</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21 500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CO2 total (t)</w:t>
            </w:r>
          </w:p>
        </w:tc>
        <w:tc>
          <w:tcPr>
            <w:tcW w:type="dxa" w:w="3135"/>
            <w:shd w:val="clear" w:fill="E6E6DC"/>
          </w:tcPr>
          <w:p>
            <w:pPr>
              <w:jc w:val="center"/>
            </w:pPr>
            <w:r>
              <w:rPr>
                <w:b/>
                <w:color w:val="5F6B64"/>
                <w:sz w:val="18"/>
              </w:rPr>
              <w:t>Renouvelable %</w:t>
            </w:r>
          </w:p>
        </w:tc>
        <w:tc>
          <w:tcPr>
            <w:tcW w:type="dxa" w:w="3135"/>
            <w:shd w:val="clear" w:fill="E6E6DC"/>
          </w:tcPr>
          <w:p>
            <w:pPr>
              <w:jc w:val="center"/>
            </w:pPr>
            <w:r>
              <w:rPr>
                <w:b/>
                <w:color w:val="5F6B64"/>
                <w:sz w:val="18"/>
              </w:rPr>
              <w:t>Énergie (MWh)</w:t>
            </w:r>
          </w:p>
        </w:tc>
      </w:tr>
      <w:tr>
        <w:tc>
          <w:tcPr>
            <w:tcW w:type="dxa" w:w="3135"/>
          </w:tcPr>
          <w:p>
            <w:pPr>
              <w:jc w:val="center"/>
            </w:pPr>
            <w:r>
              <w:rPr>
                <w:b/>
                <w:color w:val="1F3D33"/>
                <w:sz w:val="32"/>
              </w:rPr>
              <w:t>8 200</w:t>
            </w:r>
          </w:p>
        </w:tc>
        <w:tc>
          <w:tcPr>
            <w:tcW w:type="dxa" w:w="3135"/>
          </w:tcPr>
          <w:p>
            <w:pPr>
              <w:jc w:val="center"/>
            </w:pPr>
            <w:r>
              <w:rPr>
                <w:b/>
                <w:color w:val="1F3D33"/>
                <w:sz w:val="32"/>
              </w:rPr>
              <w:t>42,0 %</w:t>
            </w:r>
          </w:p>
        </w:tc>
        <w:tc>
          <w:tcPr>
            <w:tcW w:type="dxa" w:w="3135"/>
          </w:tcPr>
          <w:p>
            <w:pPr>
              <w:jc w:val="center"/>
            </w:pPr>
            <w:r>
              <w:rPr>
                <w:b/>
                <w:color w:val="1F3D33"/>
                <w:sz w:val="32"/>
              </w:rPr>
              <w:t>21 500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Eau (m3)</w:t>
            </w:r>
          </w:p>
        </w:tc>
        <w:tc>
          <w:tcPr>
            <w:tcW w:type="dxa" w:w="3135"/>
            <w:shd w:val="clear" w:fill="E6E6DC"/>
          </w:tcPr>
          <w:p>
            <w:pPr>
              <w:jc w:val="center"/>
            </w:pPr>
            <w:r>
              <w:rPr>
                <w:b/>
                <w:color w:val="5F6B64"/>
                <w:sz w:val="18"/>
              </w:rPr>
              <w:t>Recyclage %</w:t>
            </w:r>
          </w:p>
        </w:tc>
        <w:tc>
          <w:tcPr>
            <w:tcW w:type="dxa" w:w="3135"/>
            <w:shd w:val="clear" w:fill="E6E6DC"/>
          </w:tcPr>
          <w:p>
            <w:pPr>
              <w:jc w:val="center"/>
            </w:pPr>
            <w:r>
              <w:rPr>
                <w:b/>
                <w:color w:val="5F6B64"/>
                <w:sz w:val="18"/>
              </w:rPr>
              <w:t>Scope 1 (t)</w:t>
            </w:r>
          </w:p>
        </w:tc>
      </w:tr>
      <w:tr>
        <w:tc>
          <w:tcPr>
            <w:tcW w:type="dxa" w:w="3135"/>
          </w:tcPr>
          <w:p>
            <w:pPr>
              <w:jc w:val="center"/>
            </w:pPr>
            <w:r>
              <w:rPr>
                <w:b/>
                <w:color w:val="1F3D33"/>
                <w:sz w:val="32"/>
              </w:rPr>
              <w:t>120 000</w:t>
            </w:r>
          </w:p>
        </w:tc>
        <w:tc>
          <w:tcPr>
            <w:tcW w:type="dxa" w:w="3135"/>
          </w:tcPr>
          <w:p>
            <w:pPr>
              <w:jc w:val="center"/>
            </w:pPr>
            <w:r>
              <w:rPr>
                <w:b/>
                <w:color w:val="1F3D33"/>
                <w:sz w:val="32"/>
              </w:rPr>
              <w:t>63,0 %</w:t>
            </w:r>
          </w:p>
        </w:tc>
        <w:tc>
          <w:tcPr>
            <w:tcW w:type="dxa" w:w="3135"/>
          </w:tcPr>
          <w:p>
            <w:pPr>
              <w:jc w:val="center"/>
            </w:pPr>
            <w:r>
              <w:rPr>
                <w:b/>
                <w:color w:val="1F3D33"/>
                <w:sz w:val="32"/>
              </w:rPr>
              <w:t>1 200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Scope 2 (t)</w:t>
            </w:r>
          </w:p>
        </w:tc>
        <w:tc>
          <w:tcPr>
            <w:tcW w:type="dxa" w:w="3135"/>
            <w:shd w:val="clear" w:fill="E6E6DC"/>
          </w:tcPr>
          <w:p>
            <w:pPr>
              <w:jc w:val="center"/>
            </w:pPr>
            <w:r>
              <w:rPr>
                <w:b/>
                <w:color w:val="5F6B64"/>
                <w:sz w:val="18"/>
              </w:rPr>
              <w:t>Scope 3 (t)</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2 100</w:t>
            </w:r>
          </w:p>
        </w:tc>
        <w:tc>
          <w:tcPr>
            <w:tcW w:type="dxa" w:w="3135"/>
          </w:tcPr>
          <w:p>
            <w:pPr>
              <w:jc w:val="center"/>
            </w:pPr>
            <w:r>
              <w:rPr>
                <w:b/>
                <w:color w:val="1F3D33"/>
                <w:sz w:val="32"/>
              </w:rPr>
              <w:t>4 900</w:t>
            </w:r>
          </w:p>
        </w:tc>
        <w:tc>
          <w:tcPr>
            <w:tcW w:type="dxa" w:w="3135"/>
          </w:tcPr>
          <w:p>
            <w:pPr>
              <w:jc w:val="center"/>
            </w:pPr>
            <w:r>
              <w:rPr>
                <w:b/>
                <w:color w:val="1F3D33"/>
                <w:sz w:val="32"/>
              </w:rPr>
            </w:r>
          </w:p>
        </w:tc>
      </w:tr>
    </w:tbl>
    <w:p/>
    <w:p>
      <w:pPr>
        <w:spacing w:before="280" w:after="120"/>
        <w:jc w:val="left"/>
      </w:pPr>
      <w:r>
        <w:rPr>
          <w:rFonts w:ascii="Segoe UI" w:hAnsi="Segoe UI"/>
          <w:b/>
          <w:color w:val="2F6B4F"/>
          <w:sz w:val="34"/>
        </w:rPr>
        <w:t>Lecture des indicateurs</w:t>
      </w:r>
    </w:p>
    <w:p>
      <w:pPr>
        <w:spacing w:after="160"/>
      </w:pPr>
      <w:r>
        <w:rPr>
          <w:i w:val="0"/>
          <w:sz w:val="21"/>
        </w:rPr>
        <w:t>Avec 70/100, le pilier environnemental est aligné sur le score global. Rapportées au chiffre d'affaires, les émissions représentent 171 t CO2e par million d'euros, une intensité satisfaisante selon la grille interne du diagnostic, différenciée par famille de secteurs. La part d'énergie renouvelable atteint 42 %, un niveau satisfaisant selon la grille de lecture du diagnostic. 63 % des déchets sont valorisés, ce que la grille du diagnostic classe comme solide.</w:t>
      </w:r>
    </w:p>
    <w:p>
      <w:pPr>
        <w:spacing w:after="160"/>
      </w:pPr>
      <w:r>
        <w:rPr>
          <w:i w:val="0"/>
          <w:sz w:val="21"/>
        </w:rPr>
        <w:t>La consommation d'énergie atteint 21 500 MWh, soit 67,2 MWh par salarié. La consommation d'eau de l'exercice est de 120 000 m3. Restent à documenter : le volume de déchets et les initiatives en faveur de la biodiversité. Leur collecte, au prochain exercice, fiabilisera la lecture de ce pilier.</w:t>
      </w:r>
    </w:p>
    <w:p>
      <w:pPr>
        <w:spacing w:after="160"/>
      </w:pPr>
      <w:r>
        <w:rPr>
          <w:i w:val="0"/>
          <w:sz w:val="21"/>
        </w:rPr>
        <w:t>Le plan d'action retient un levier pour ce pilier : augmenter la part d'énergie renouvelable à 50 % (objectif : 50 % d'énergie renouvelable dans le mix ; échéance : 2027).</w:t>
      </w:r>
    </w:p>
    <w:p>
      <w:pPr>
        <w:spacing w:before="280" w:after="120"/>
        <w:jc w:val="left"/>
      </w:pPr>
      <w:r>
        <w:rPr>
          <w:rFonts w:ascii="Segoe UI" w:hAnsi="Segoe UI"/>
          <w:b/>
          <w:color w:val="2F6B4F"/>
          <w:sz w:val="34"/>
        </w:rPr>
        <w:t>Émissions de gaz à effet de serre (t CO2e)</w:t>
      </w:r>
    </w:p>
    <w:p>
      <w:pPr>
        <w:spacing w:after="160"/>
      </w:pPr>
      <w:r>
        <w:rPr>
          <w:i w:val="0"/>
          <w:sz w:val="21"/>
        </w:rPr>
        <w:t>L'empreinte mesurée s'élève à 8 200 t CO2e sur les scopes renseignés. Le Scope 3 en concentre la plus grande part (60 %) : c'est le périmètre sur lequel les leviers de réduction auront le plus d'effet. Rapportées à l'effectif, les émissions représentent 25,6 t CO2e par salarié.</w:t>
      </w:r>
    </w:p>
    <w:p>
      <w:pPr>
        <w:spacing w:before="280" w:after="120"/>
        <w:jc w:val="left"/>
      </w:pPr>
      <w:r>
        <w:rPr>
          <w:rFonts w:ascii="Segoe UI" w:hAnsi="Segoe UI"/>
          <w:b/>
          <w:color w:val="3D6A8A"/>
          <w:sz w:val="44"/>
        </w:rPr>
        <w:t>3. Pilier Social</w:t>
      </w:r>
    </w:p>
    <w:p>
      <w:pPr>
        <w:spacing w:before="0" w:after="160"/>
        <w:pBdr>
          <w:bottom w:val="single" w:sz="4" w:space="1" w:color="3D6A8A"/>
        </w:pBdr>
      </w:pPr>
    </w:p>
    <w:p>
      <w:pPr>
        <w:spacing w:after="120"/>
      </w:pPr>
      <w:r>
        <w:rPr>
          <w:b/>
          <w:color w:val="3D6A8A"/>
          <w:sz w:val="25"/>
        </w:rPr>
        <w:t>La parité femmes-hommes (34 %), levier à activer</w:t>
      </w:r>
    </w:p>
    <w:p>
      <w:r>
        <w:rPr>
          <w:b/>
          <w:sz w:val="22"/>
        </w:rPr>
        <w:t xml:space="preserve">Score social : </w:t>
      </w:r>
      <w:r>
        <w:rPr>
          <w:b/>
          <w:color w:val="3D6A8A"/>
          <w:sz w:val="28"/>
        </w:rPr>
        <w:t>65,0/100</w:t>
      </w:r>
    </w:p>
    <w:p>
      <w:pPr>
        <w:spacing w:after="160"/>
      </w:pPr>
      <w:r>
        <w:t>Acme Industries enregistre 65/100 sur l'axe social de son reporting extra-financier. Le bilan social présente : 320 collaborateurs (France) ; 34 % de femmes dans l'effectif ; 22 h/an de formation par collaborateur (satisfaisant) ; taux de fréquence accidents 6,2 (inférieur ou égal à la moyenne nationale de 16,0) ; turnover 11 %. La démarche sociale combine montée en compétences, dialogue social renforcé et inclusion durable.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Effectif</w:t>
            </w:r>
          </w:p>
        </w:tc>
        <w:tc>
          <w:tcPr>
            <w:tcW w:type="dxa" w:w="3135"/>
            <w:shd w:val="clear" w:fill="E6E6DC"/>
          </w:tcPr>
          <w:p>
            <w:pPr>
              <w:jc w:val="center"/>
            </w:pPr>
            <w:r>
              <w:rPr>
                <w:b/>
                <w:color w:val="5F6B64"/>
                <w:sz w:val="18"/>
              </w:rPr>
              <w:t>Femmes %</w:t>
            </w:r>
          </w:p>
        </w:tc>
        <w:tc>
          <w:tcPr>
            <w:tcW w:type="dxa" w:w="3135"/>
            <w:shd w:val="clear" w:fill="E6E6DC"/>
          </w:tcPr>
          <w:p>
            <w:pPr>
              <w:jc w:val="center"/>
            </w:pPr>
            <w:r>
              <w:rPr>
                <w:b/>
                <w:color w:val="5F6B64"/>
                <w:sz w:val="18"/>
              </w:rPr>
              <w:t>Turnover %</w:t>
            </w:r>
          </w:p>
        </w:tc>
      </w:tr>
      <w:tr>
        <w:tc>
          <w:tcPr>
            <w:tcW w:type="dxa" w:w="3135"/>
          </w:tcPr>
          <w:p>
            <w:pPr>
              <w:jc w:val="center"/>
            </w:pPr>
            <w:r>
              <w:rPr>
                <w:b/>
                <w:color w:val="1F3D33"/>
                <w:sz w:val="32"/>
              </w:rPr>
              <w:t>320</w:t>
            </w:r>
          </w:p>
        </w:tc>
        <w:tc>
          <w:tcPr>
            <w:tcW w:type="dxa" w:w="3135"/>
          </w:tcPr>
          <w:p>
            <w:pPr>
              <w:jc w:val="center"/>
            </w:pPr>
            <w:r>
              <w:rPr>
                <w:b/>
                <w:color w:val="1F3D33"/>
                <w:sz w:val="32"/>
              </w:rPr>
              <w:t>34,0 %</w:t>
            </w:r>
          </w:p>
        </w:tc>
        <w:tc>
          <w:tcPr>
            <w:tcW w:type="dxa" w:w="3135"/>
          </w:tcPr>
          <w:p>
            <w:pPr>
              <w:jc w:val="center"/>
            </w:pPr>
            <w:r>
              <w:rPr>
                <w:b/>
                <w:color w:val="1F3D33"/>
                <w:sz w:val="32"/>
              </w:rPr>
              <w:t>11,0 %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Formation (h)</w:t>
            </w:r>
          </w:p>
        </w:tc>
        <w:tc>
          <w:tcPr>
            <w:tcW w:type="dxa" w:w="3135"/>
            <w:shd w:val="clear" w:fill="E6E6DC"/>
          </w:tcPr>
          <w:p>
            <w:pPr>
              <w:jc w:val="center"/>
            </w:pPr>
            <w:r>
              <w:rPr>
                <w:b/>
                <w:color w:val="5F6B64"/>
                <w:sz w:val="18"/>
              </w:rPr>
              <w:t>TF accidents</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22</w:t>
            </w:r>
          </w:p>
        </w:tc>
        <w:tc>
          <w:tcPr>
            <w:tcW w:type="dxa" w:w="3135"/>
          </w:tcPr>
          <w:p>
            <w:pPr>
              <w:jc w:val="center"/>
            </w:pPr>
            <w:r>
              <w:rPr>
                <w:b/>
                <w:color w:val="1F3D33"/>
                <w:sz w:val="32"/>
              </w:rPr>
              <w:t>6,20</w:t>
            </w:r>
          </w:p>
        </w:tc>
        <w:tc>
          <w:tcPr>
            <w:tcW w:type="dxa" w:w="3135"/>
          </w:tcPr>
          <w:p>
            <w:pPr>
              <w:jc w:val="center"/>
            </w:pPr>
            <w:r>
              <w:rPr>
                <w:b/>
                <w:color w:val="1F3D33"/>
                <w:sz w:val="32"/>
              </w:rPr>
            </w:r>
          </w:p>
        </w:tc>
      </w:tr>
    </w:tbl>
    <w:p/>
    <w:p>
      <w:pPr>
        <w:spacing w:before="280" w:after="120"/>
        <w:jc w:val="left"/>
      </w:pPr>
      <w:r>
        <w:rPr>
          <w:rFonts w:ascii="Segoe UI" w:hAnsi="Segoe UI"/>
          <w:b/>
          <w:color w:val="3D6A8A"/>
          <w:sz w:val="34"/>
        </w:rPr>
        <w:t>Lecture des indicateurs</w:t>
      </w:r>
    </w:p>
    <w:p>
      <w:pPr>
        <w:spacing w:after="160"/>
      </w:pPr>
      <w:r>
        <w:rPr>
          <w:i w:val="0"/>
          <w:sz w:val="21"/>
        </w:rPr>
        <w:t>Avec 65/100, le pilier social se situe 4 points en dessous du score global (70/100). Les femmes représentent 34 % de l'effectif, une situation satisfaisante selon la grille de lecture retenue. Chaque salarié a suivi en moyenne 22 h de formation sur l'exercice, un effort satisfaisant au regard de la grille du diagnostic. Le taux de fréquence des accidents s'établit à 6,2 (moyenne nationale publiée par l'Assurance Maladie pour 2024 : 16,0), un résultat solide selon la grille de lecture retenue. Le taux de rotation du personnel est de 11 %, un niveau satisfaisant selon la grille du diagnostic.</w:t>
      </w:r>
    </w:p>
    <w:p>
      <w:pPr>
        <w:spacing w:after="160"/>
      </w:pPr>
      <w:r>
        <w:rPr>
          <w:i w:val="0"/>
          <w:sz w:val="21"/>
        </w:rPr>
        <w:t>L'effectif s'établit à 320 collaborateurs sur l'exercice. Restent à documenter : le nombre d'accidents du travail, l'investissement communautaire, la part d'achats locaux, la satisfaction client et l'emploi de personnes en situation de handicap. Leur collecte, au prochain exercice, fiabilisera la lecture de ce pilier.</w:t>
      </w:r>
    </w:p>
    <w:p>
      <w:pPr>
        <w:spacing w:after="160"/>
      </w:pPr>
      <w:r>
        <w:rPr>
          <w:i w:val="0"/>
          <w:sz w:val="21"/>
        </w:rPr>
        <w:t>Le plan d'action retient un levier pour ce pilier : définir des objectifs chiffrés de parité femme-homme (objectif : cible de mixité définie et suivie annuellement ; échéance : 2026).</w:t>
      </w:r>
    </w:p>
    <w:p>
      <w:pPr>
        <w:spacing w:before="280" w:after="120"/>
        <w:jc w:val="left"/>
      </w:pPr>
      <w:r>
        <w:rPr>
          <w:rFonts w:ascii="Segoe UI" w:hAnsi="Segoe UI"/>
          <w:b/>
          <w:color w:val="6B5B86"/>
          <w:sz w:val="44"/>
        </w:rPr>
        <w:t>4. Pilier Gouvernance</w:t>
      </w:r>
    </w:p>
    <w:p>
      <w:pPr>
        <w:spacing w:before="0" w:after="160"/>
        <w:pBdr>
          <w:bottom w:val="single" w:sz="4" w:space="1" w:color="6B5B86"/>
        </w:pBdr>
      </w:pPr>
    </w:p>
    <w:p>
      <w:pPr>
        <w:spacing w:after="120"/>
      </w:pPr>
      <w:r>
        <w:rPr>
          <w:b/>
          <w:color w:val="6B5B86"/>
          <w:sz w:val="25"/>
        </w:rPr>
        <w:t>L'assurance ESG indépendante, priorité de la gouvernance</w:t>
      </w:r>
    </w:p>
    <w:p>
      <w:pPr>
        <w:spacing w:before="120" w:after="20"/>
      </w:pPr>
      <w:r>
        <w:rPr>
          <w:b/>
          <w:color w:val="2E5A4B"/>
          <w:sz w:val="17"/>
        </w:rPr>
        <w:t>L'ANALYSE DU CONSULTANT</w:t>
      </w:r>
    </w:p>
    <w:p>
      <w:pPr>
        <w:shd w:val="clear" w:fill="E6E6DC"/>
        <w:spacing w:after="160"/>
      </w:pPr>
      <w:r>
        <w:rPr>
          <w:i/>
          <w:color w:val="1F3D33"/>
          <w:sz w:val="20"/>
        </w:rPr>
        <w:t>Le comité de durabilité fonctionne, mais doit formaliser ses comptes rendus pour être opposable lors de la vérification.</w:t>
      </w:r>
    </w:p>
    <w:p>
      <w:r>
        <w:rPr>
          <w:b/>
          <w:sz w:val="22"/>
        </w:rPr>
        <w:t xml:space="preserve">Score gouvernance : </w:t>
      </w:r>
      <w:r>
        <w:rPr>
          <w:b/>
          <w:color w:val="6B5B86"/>
          <w:sz w:val="28"/>
        </w:rPr>
        <w:t>75,0/100</w:t>
      </w:r>
    </w:p>
    <w:p>
      <w:pPr>
        <w:spacing w:after="160"/>
      </w:pPr>
      <w:r>
        <w:t>Acme Industries positionne son axe Gouvernance à 75/100. L'architecture de gouvernance comprend : CA de 9 membres ; 44 % de femmes au CA (les données saisies placent l'entreprise hors du champ de la loi Copé-Zimmermann, art. L225-18-1 du Code de commerce : 40 % de chaque sexe dans les sociétés d'au moins 250 salariés permanents et 50 M€ de chiffre d'affaires ou de total de bilan, trois exercices consécutifs) ; 45 % d'administrateurs indépendants ; aucun manquement éthique enregistré ; un incident cybersécurité déclaré. Le déploiement d'une certification ESG externe constitue un axe de progrès à court terme. La supervision ESG est assurée par un comité dédié qui rend compte directement au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Membres CA</w:t>
            </w:r>
          </w:p>
        </w:tc>
        <w:tc>
          <w:tcPr>
            <w:tcW w:type="dxa" w:w="3135"/>
            <w:shd w:val="clear" w:fill="E6E6DC"/>
          </w:tcPr>
          <w:p>
            <w:pPr>
              <w:jc w:val="center"/>
            </w:pPr>
            <w:r>
              <w:rPr>
                <w:b/>
                <w:color w:val="5F6B64"/>
                <w:sz w:val="18"/>
              </w:rPr>
              <w:t>Femmes CA %</w:t>
            </w:r>
          </w:p>
        </w:tc>
        <w:tc>
          <w:tcPr>
            <w:tcW w:type="dxa" w:w="3135"/>
            <w:shd w:val="clear" w:fill="E6E6DC"/>
          </w:tcPr>
          <w:p>
            <w:pPr>
              <w:jc w:val="center"/>
            </w:pPr>
            <w:r>
              <w:rPr>
                <w:b/>
                <w:color w:val="5F6B64"/>
                <w:sz w:val="18"/>
              </w:rPr>
              <w:t>Indépendants %</w:t>
            </w:r>
          </w:p>
        </w:tc>
      </w:tr>
      <w:tr>
        <w:tc>
          <w:tcPr>
            <w:tcW w:type="dxa" w:w="3135"/>
          </w:tcPr>
          <w:p>
            <w:pPr>
              <w:jc w:val="center"/>
            </w:pPr>
            <w:r>
              <w:rPr>
                <w:b/>
                <w:color w:val="1F3D33"/>
                <w:sz w:val="32"/>
              </w:rPr>
              <w:t>9</w:t>
            </w:r>
          </w:p>
        </w:tc>
        <w:tc>
          <w:tcPr>
            <w:tcW w:type="dxa" w:w="3135"/>
          </w:tcPr>
          <w:p>
            <w:pPr>
              <w:jc w:val="center"/>
            </w:pPr>
            <w:r>
              <w:rPr>
                <w:b/>
                <w:color w:val="1F3D33"/>
                <w:sz w:val="32"/>
              </w:rPr>
              <w:t>44,0 %</w:t>
            </w:r>
          </w:p>
        </w:tc>
        <w:tc>
          <w:tcPr>
            <w:tcW w:type="dxa" w:w="3135"/>
          </w:tcPr>
          <w:p>
            <w:pPr>
              <w:jc w:val="center"/>
            </w:pPr>
            <w:r>
              <w:rPr>
                <w:b/>
                <w:color w:val="1F3D33"/>
                <w:sz w:val="32"/>
              </w:rPr>
              <w:t>45,0 %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Audit ESG</w:t>
            </w:r>
          </w:p>
        </w:tc>
        <w:tc>
          <w:tcPr>
            <w:tcW w:type="dxa" w:w="3135"/>
            <w:shd w:val="clear" w:fill="E6E6DC"/>
          </w:tcPr>
          <w:p>
            <w:pPr>
              <w:jc w:val="center"/>
            </w:pPr>
            <w:r>
              <w:rPr>
                <w:b/>
                <w:color w:val="5F6B64"/>
                <w:sz w:val="18"/>
              </w:rPr>
              <w:t>Comité durable</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Non</w:t>
            </w:r>
          </w:p>
        </w:tc>
        <w:tc>
          <w:tcPr>
            <w:tcW w:type="dxa" w:w="3135"/>
          </w:tcPr>
          <w:p>
            <w:pPr>
              <w:jc w:val="center"/>
            </w:pPr>
            <w:r>
              <w:rPr>
                <w:b/>
                <w:color w:val="1F3D33"/>
                <w:sz w:val="32"/>
              </w:rPr>
              <w:t>Oui</w:t>
            </w:r>
          </w:p>
        </w:tc>
        <w:tc>
          <w:tcPr>
            <w:tcW w:type="dxa" w:w="3135"/>
          </w:tcPr>
          <w:p>
            <w:pPr>
              <w:jc w:val="center"/>
            </w:pPr>
            <w:r>
              <w:rPr>
                <w:b/>
                <w:color w:val="1F3D33"/>
                <w:sz w:val="32"/>
              </w:rPr>
            </w:r>
          </w:p>
        </w:tc>
      </w:tr>
    </w:tbl>
    <w:p/>
    <w:p>
      <w:pPr>
        <w:spacing w:before="280" w:after="120"/>
        <w:jc w:val="left"/>
      </w:pPr>
      <w:r>
        <w:rPr>
          <w:rFonts w:ascii="Segoe UI" w:hAnsi="Segoe UI"/>
          <w:b/>
          <w:color w:val="6B5B86"/>
          <w:sz w:val="34"/>
        </w:rPr>
        <w:t>Lecture des indicateurs</w:t>
      </w:r>
    </w:p>
    <w:p>
      <w:pPr>
        <w:spacing w:after="160"/>
      </w:pPr>
      <w:r>
        <w:rPr>
          <w:i w:val="0"/>
          <w:sz w:val="21"/>
        </w:rPr>
        <w:t>Avec 75/100, le pilier de gouvernance se situe 6 points au-dessus du score global (70/100). Les administrateurs indépendants représentent 45 % du conseil, une proportion satisfaisante selon la grille du diagnostic. Les femmes occupent 44 % des sièges du conseil, une représentation exemplaire selon la grille de lecture retenue.</w:t>
      </w:r>
    </w:p>
    <w:p>
      <w:pPr>
        <w:spacing w:after="160"/>
      </w:pPr>
      <w:r>
        <w:rPr>
          <w:i w:val="0"/>
          <w:sz w:val="21"/>
        </w:rPr>
        <w:t>Le conseil compte 9 membres. Un comité de durabilité est en place : il donne un cadre de pilotage aux engagements présentés dans ce rapport. Aucun audit ESG indépendant n'a été conduit sur l'exercice. Aucun manquement éthique n'a été enregistré. Un incident de cybersécurité a été déclaré. Restent à documenter : les cas de corruption et le budget RSE. Leur collecte, au prochain exercice, fiabilisera la lecture de ce pilier.</w:t>
      </w:r>
    </w:p>
    <w:p>
      <w:pPr>
        <w:spacing w:after="160"/>
      </w:pPr>
      <w:r>
        <w:rPr>
          <w:i w:val="0"/>
          <w:sz w:val="21"/>
        </w:rPr>
        <w:t>Le plan d'action retient 2 leviers pour ce pilier : commander un audit ESG indépendant annuel (objectif : assurance limitée obtenue sur le reporting ; échéance : annuel); aligner la stratégie ESG sur les ODD &amp; la TCFD (objectif : alignement ODD / TCFD documenté ; échéance : continu).</w:t>
      </w:r>
    </w:p>
    <w:p>
      <w:r>
        <w:br w:type="page"/>
      </w:r>
    </w:p>
    <w:p>
      <w:pPr>
        <w:spacing w:before="280" w:after="120"/>
        <w:jc w:val="left"/>
      </w:pPr>
      <w:r>
        <w:rPr>
          <w:rFonts w:ascii="Segoe UI" w:hAnsi="Segoe UI"/>
          <w:b/>
          <w:color w:val="1F3D33"/>
          <w:sz w:val="44"/>
        </w:rPr>
        <w:t>5. Analyses de Durabilité (CSRD / ESRS)</w:t>
      </w:r>
    </w:p>
    <w:p>
      <w:pPr>
        <w:spacing w:before="0" w:after="160"/>
        <w:pBdr>
          <w:bottom w:val="single" w:sz="4" w:space="1" w:color="5F6B64"/>
        </w:pBdr>
      </w:pPr>
    </w:p>
    <w:p>
      <w:pPr>
        <w:spacing w:before="280" w:after="120"/>
        <w:jc w:val="left"/>
      </w:pPr>
      <w:r>
        <w:rPr>
          <w:rFonts w:ascii="Segoe UI" w:hAnsi="Segoe UI"/>
          <w:b/>
          <w:color w:val="5F6B64"/>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Segoe UI" w:hAnsi="Segoe UI"/>
          <w:b/>
          <w:color w:val="5F6B64"/>
          <w:sz w:val="34"/>
        </w:rPr>
        <w:t>Objectifs &amp; trajectoire</w:t>
      </w:r>
    </w:p>
    <w:p>
      <w:pPr>
        <w:spacing w:after="120"/>
      </w:pPr>
      <w:r>
        <w:t>À la date de ce rapport, Acme Industries n'a pas communiqué d'objectifs de durabilité chiffrés à horizon 2030 : ni trajectoire de réduction des émissions, ni cible de progression par pilier. Le bilan d'émissions étant établi pour l'exercice 2025, il fournit l'année de référence à partir de laquelle une trajectoire de réduction peut être définie. La norme ESRS E1-4 demande de publier si et comment des cibles de réduction ont été fixées — leur absence, documentée comme telle, relève de cette même exigence de transparence.</w:t>
      </w:r>
    </w:p>
    <w:p>
      <w:pPr>
        <w:spacing w:before="280" w:after="120"/>
        <w:jc w:val="left"/>
      </w:pPr>
      <w:r>
        <w:rPr>
          <w:rFonts w:ascii="Segoe UI" w:hAnsi="Segoe UI"/>
          <w:b/>
          <w:color w:val="5F6B64"/>
          <w:sz w:val="34"/>
        </w:rPr>
        <w:t>Taxonomie européenne</w:t>
      </w:r>
    </w:p>
    <w:p>
      <w:pPr>
        <w:spacing w:after="120"/>
      </w:pPr>
      <w:r>
        <w:t>Au titre du règlement Taxonomie de l'Union européenne, Acme Industries déclare la part de ses activités durables sur le plan environnemental : 38 % du chiffre d'affaires, 52 % des CapEx, 20 %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Segoe UI" w:hAnsi="Segoe UI"/>
          <w:b/>
          <w:color w:val="5F6B64"/>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Segoe UI" w:hAnsi="Segoe UI"/>
          <w:b/>
          <w:color w:val="2E5A4B"/>
          <w:sz w:val="44"/>
        </w:rPr>
        <w:t>01 — Diagnostic</w:t>
      </w:r>
    </w:p>
    <w:p>
      <w:pPr>
        <w:spacing w:after="80"/>
      </w:pPr>
      <w:r>
        <w:rPr>
          <w:i/>
          <w:sz w:val="24"/>
        </w:rPr>
        <w:t>Où vous situez-vous, et face à qui ?</w:t>
      </w:r>
    </w:p>
    <w:p>
      <w:pPr>
        <w:shd w:val="clear" w:fill="E6E6DC"/>
        <w:spacing w:after="280"/>
      </w:pPr>
      <w:r>
        <w:rPr>
          <w:i w:val="0"/>
          <w:sz w:val="21"/>
        </w:rPr>
        <w:t>Ce chapitre met en regard les résultats et leurs causes. Il identifie 5 forces et 4 axes de progrès, examine la couverture de 6 exigences de reporting (dont 1 encore ouverte) et hiérarchise 4 risques majeurs (dont 1 de priorité 1).</w:t>
      </w:r>
    </w:p>
    <w:p>
      <w:pPr>
        <w:spacing w:before="280" w:after="120"/>
        <w:jc w:val="left"/>
      </w:pPr>
      <w:r>
        <w:rPr>
          <w:rFonts w:ascii="Segoe UI" w:hAnsi="Segoe UI"/>
          <w:b/>
          <w:color w:val="1F3D33"/>
          <w:sz w:val="44"/>
        </w:rPr>
        <w:t>6. Analyse Stratégique</w:t>
      </w:r>
    </w:p>
    <w:p>
      <w:pPr>
        <w:spacing w:before="0" w:after="160"/>
        <w:pBdr>
          <w:bottom w:val="single" w:sz="4" w:space="1" w:color="2E5A4B"/>
        </w:pBdr>
      </w:pPr>
    </w:p>
    <w:p>
      <w:pPr>
        <w:spacing w:after="120"/>
      </w:pPr>
      <w:r>
        <w:rPr>
          <w:b/>
          <w:color w:val="2E5A4B"/>
          <w:sz w:val="25"/>
        </w:rPr>
        <w:t>5 forces établies, 4 leviers de progression</w:t>
      </w:r>
    </w:p>
    <w:p>
      <w:pPr>
        <w:spacing w:before="280" w:after="120"/>
        <w:jc w:val="left"/>
      </w:pPr>
      <w:r>
        <w:rPr>
          <w:rFonts w:ascii="Segoe UI" w:hAnsi="Segoe UI"/>
          <w:b/>
          <w:color w:val="2F6B4F"/>
          <w:sz w:val="34"/>
        </w:rPr>
        <w:t>Points Forts</w:t>
      </w:r>
    </w:p>
    <w:p>
      <w:pPr>
        <w:spacing w:after="60"/>
        <w:ind w:left="283"/>
      </w:pPr>
      <w:r>
        <w:rPr>
          <w:color w:val="2F6B4F"/>
          <w:sz w:val="20"/>
        </w:rPr>
        <w:t xml:space="preserve">✅  </w:t>
      </w:r>
      <w:r>
        <w:rPr>
          <w:sz w:val="20"/>
        </w:rPr>
        <w:t>Excellente performance environnementale globale</w:t>
      </w:r>
    </w:p>
    <w:p>
      <w:pPr>
        <w:spacing w:after="60"/>
        <w:ind w:left="283"/>
      </w:pPr>
      <w:r>
        <w:rPr>
          <w:color w:val="2F6B4F"/>
          <w:sz w:val="20"/>
        </w:rPr>
        <w:t xml:space="preserve">✅  </w:t>
      </w:r>
      <w:r>
        <w:rPr>
          <w:sz w:val="20"/>
        </w:rPr>
        <w:t>Comité de durabilité opérationnel au niveau du CA</w:t>
      </w:r>
    </w:p>
    <w:p>
      <w:pPr>
        <w:spacing w:after="60"/>
        <w:ind w:left="283"/>
      </w:pPr>
      <w:r>
        <w:rPr>
          <w:color w:val="2F6B4F"/>
          <w:sz w:val="20"/>
        </w:rPr>
        <w:t xml:space="preserve">✅  </w:t>
      </w:r>
      <w:r>
        <w:rPr>
          <w:sz w:val="20"/>
        </w:rPr>
        <w:t>Parité exemplaire au Conseil d'Administration (44 %)</w:t>
      </w:r>
    </w:p>
    <w:p>
      <w:pPr>
        <w:spacing w:after="60"/>
        <w:ind w:left="283"/>
      </w:pPr>
      <w:r>
        <w:rPr>
          <w:color w:val="2F6B4F"/>
          <w:sz w:val="20"/>
        </w:rPr>
        <w:t xml:space="preserve">✅  </w:t>
      </w:r>
      <w:r>
        <w:rPr>
          <w:sz w:val="20"/>
        </w:rPr>
        <w:t>Gouvernance de haute qualité et transparente</w:t>
      </w:r>
    </w:p>
    <w:p>
      <w:pPr>
        <w:spacing w:after="60"/>
        <w:ind w:left="283"/>
      </w:pPr>
      <w:r>
        <w:rPr>
          <w:color w:val="2F6B4F"/>
          <w:sz w:val="20"/>
        </w:rPr>
        <w:t xml:space="preserve">✅  </w:t>
      </w:r>
      <w:r>
        <w:rPr>
          <w:sz w:val="20"/>
        </w:rPr>
        <w:t>Reporting complet des émissions Scope 1, 2 et 3</w:t>
      </w:r>
    </w:p>
    <w:p>
      <w:pPr>
        <w:spacing w:before="280" w:after="120"/>
        <w:jc w:val="left"/>
      </w:pPr>
      <w:r>
        <w:rPr>
          <w:rFonts w:ascii="Segoe UI" w:hAnsi="Segoe UI"/>
          <w:b/>
          <w:color w:val="E74C3C"/>
          <w:sz w:val="34"/>
        </w:rPr>
        <w:t>Axes d'Amélioration</w:t>
      </w:r>
    </w:p>
    <w:p>
      <w:pPr>
        <w:spacing w:after="60"/>
        <w:ind w:left="283"/>
      </w:pPr>
      <w:r>
        <w:rPr>
          <w:color w:val="E74C3C"/>
          <w:sz w:val="20"/>
        </w:rPr>
        <w:t xml:space="preserve">⚠️  </w:t>
      </w:r>
      <w:r>
        <w:rPr>
          <w:sz w:val="20"/>
        </w:rPr>
        <w:t>Énergie renouvelable à renforcer (actuellement 42 %, objectif 50 %)</w:t>
      </w:r>
    </w:p>
    <w:p>
      <w:pPr>
        <w:spacing w:after="60"/>
        <w:ind w:left="283"/>
      </w:pPr>
      <w:r>
        <w:rPr>
          <w:color w:val="E74C3C"/>
          <w:sz w:val="20"/>
        </w:rPr>
        <w:t xml:space="preserve">⚠️  </w:t>
      </w:r>
      <w:r>
        <w:rPr>
          <w:sz w:val="20"/>
        </w:rPr>
        <w:t>Déséquilibre de genre dans les effectifs (34 % de femmes)</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Segoe UI" w:hAnsi="Segoe UI"/>
          <w:b/>
          <w:color w:val="2E5A4B"/>
          <w:sz w:val="44"/>
        </w:rPr>
        <w:t>02 — Plan d'action</w:t>
      </w:r>
    </w:p>
    <w:p>
      <w:pPr>
        <w:spacing w:after="80"/>
      </w:pPr>
      <w:r>
        <w:rPr>
          <w:i/>
          <w:sz w:val="24"/>
        </w:rPr>
        <w:t>Quoi faire, dans quel ordre, sous quel horizon.</w:t>
      </w:r>
    </w:p>
    <w:p>
      <w:pPr>
        <w:shd w:val="clear" w:fill="E6E6DC"/>
        <w:spacing w:after="280"/>
      </w:pPr>
      <w:r>
        <w:rPr>
          <w:i w:val="0"/>
          <w:sz w:val="21"/>
        </w:rPr>
        <w:t>Ce chapitre traduit le diagnostic en actions. Il propose 4 recommandations, dont 2 gains rapides, et les ordonne dans une feuille de route en trois phases sur douze mois, en cohérence avec l'horizon 2030 fixé par l'entreprise.</w:t>
      </w:r>
    </w:p>
    <w:p>
      <w:pPr>
        <w:spacing w:before="280" w:after="120"/>
        <w:jc w:val="left"/>
      </w:pPr>
      <w:r>
        <w:rPr>
          <w:rFonts w:ascii="Segoe UI" w:hAnsi="Segoe UI"/>
          <w:b/>
          <w:color w:val="1F3D33"/>
          <w:sz w:val="44"/>
        </w:rPr>
        <w:t>7. Recommandations Prioritaires</w:t>
      </w:r>
    </w:p>
    <w:p>
      <w:pPr>
        <w:spacing w:before="0" w:after="160"/>
        <w:pBdr>
          <w:bottom w:val="single" w:sz="4" w:space="1" w:color="2E5A4B"/>
        </w:pBdr>
      </w:pPr>
    </w:p>
    <w:p>
      <w:pPr>
        <w:spacing w:after="160"/>
      </w:pPr>
      <w:r>
        <w:rPr>
          <w:i w:val="0"/>
          <w:sz w:val="21"/>
        </w:rPr>
        <w:t>Les recommandations sont ordonnées par priorité. Elles se répartissent entre l'environnement (1), le social (1) et la gouvernance (2) ; chacune précise un objectif, un responsable et une échéance.</w:t>
      </w:r>
    </w:p>
    <w:p>
      <w:pPr>
        <w:spacing w:after="20"/>
      </w:pPr>
      <w:r>
        <w:rPr>
          <w:b/>
          <w:color w:val="2E5A4B"/>
        </w:rPr>
        <w:t xml:space="preserve">1.  </w:t>
      </w:r>
      <w:r>
        <w:rPr>
          <w:b/>
          <w:sz w:val="21"/>
        </w:rPr>
        <w:t>Augmenter la part d'énergie renouvelable à 50 %</w:t>
      </w:r>
    </w:p>
    <w:p>
      <w:pPr>
        <w:spacing w:after="120"/>
        <w:ind w:left="397"/>
      </w:pPr>
      <w:r>
        <w:rPr>
          <w:sz w:val="19"/>
        </w:rPr>
        <w:t>Réduit les émissions Scope 2 et l'exposition aux prix de l'énergie ; premier levier d'une trajectoire de réduction.</w:t>
      </w:r>
      <w:r>
        <w:rPr>
          <w:color w:val="7F8C8D"/>
          <w:sz w:val="17"/>
        </w:rPr>
        <w:br/>
        <w:t>Objectif : 50 % d'énergie renouvelable dans le mix  ·  Responsable : Direction des opérations  ·  2027</w:t>
      </w:r>
    </w:p>
    <w:p>
      <w:pPr>
        <w:spacing w:after="20"/>
      </w:pPr>
      <w:r>
        <w:rPr>
          <w:b/>
          <w:color w:val="2E5A4B"/>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2E5A4B"/>
        </w:rPr>
        <w:t xml:space="preserve">3.  </w:t>
      </w:r>
      <w:r>
        <w:rPr>
          <w:b/>
          <w:sz w:val="21"/>
        </w:rPr>
        <w:t>Commander un audit ESG indépendant annuel</w:t>
      </w:r>
    </w:p>
    <w:p>
      <w:pPr>
        <w:spacing w:after="120"/>
        <w:ind w:left="397"/>
      </w:pPr>
      <w:r>
        <w:rPr>
          <w:sz w:val="19"/>
        </w:rPr>
        <w:t>Apporte l'assurance d'un tiers désormais requise par la CSRD ; renforce la confiance des investisseurs.</w:t>
      </w:r>
      <w:r>
        <w:rPr>
          <w:color w:val="7F8C8D"/>
          <w:sz w:val="17"/>
        </w:rPr>
        <w:br/>
        <w:t>Objectif : Assurance limitée obtenue sur le reporting  ·  Responsable : Direction générale  ·  Annuel</w:t>
      </w:r>
    </w:p>
    <w:p>
      <w:pPr>
        <w:spacing w:after="20"/>
      </w:pPr>
      <w:r>
        <w:rPr>
          <w:b/>
          <w:color w:val="2E5A4B"/>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Segoe UI" w:hAnsi="Segoe UI"/>
          <w:b/>
          <w:color w:val="1F3D33"/>
          <w:sz w:val="44"/>
        </w:rPr>
        <w:t>Diagnostic stratégique &amp; positionnement</w:t>
      </w:r>
    </w:p>
    <w:p>
      <w:pPr>
        <w:spacing w:before="0" w:after="160"/>
        <w:pBdr>
          <w:bottom w:val="single" w:sz="4" w:space="1" w:color="2E5A4B"/>
        </w:pBdr>
      </w:pPr>
    </w:p>
    <w:p>
      <w:r>
        <w:rPr>
          <w:b/>
          <w:color w:val="5F6B64"/>
          <w:sz w:val="24"/>
        </w:rPr>
        <w:t>La gouvernance est le point fort d'Acme Industries, le social sa priorité</w:t>
      </w:r>
    </w:p>
    <w:p>
      <w:pPr>
        <w:spacing w:after="80"/>
      </w:pPr>
      <w:r>
        <w:rPr>
          <w:i w:val="0"/>
          <w:sz w:val="21"/>
        </w:rPr>
        <w:t>Le positionnement ci-dessous compare les trois piliers entre eux, sans référence externe : il indique où se concentre la marge de progression de l'entreprise.</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Pilier</w:t>
            </w:r>
          </w:p>
        </w:tc>
        <w:tc>
          <w:tcPr>
            <w:tcW w:type="dxa" w:w="2351"/>
            <w:shd w:val="clear" w:fill="1F3D33"/>
          </w:tcPr>
          <w:p>
            <w:r>
              <w:rPr>
                <w:b/>
                <w:color w:val="FFFFFF"/>
                <w:sz w:val="18"/>
              </w:rPr>
              <w:t>Score</w:t>
            </w:r>
          </w:p>
        </w:tc>
        <w:tc>
          <w:tcPr>
            <w:tcW w:type="dxa" w:w="2351"/>
            <w:shd w:val="clear" w:fill="1F3D33"/>
          </w:tcPr>
          <w:p>
            <w:r>
              <w:rPr>
                <w:b/>
                <w:color w:val="FFFFFF"/>
                <w:sz w:val="18"/>
              </w:rPr>
              <w:t>Écart au meilleur</w:t>
            </w:r>
          </w:p>
        </w:tc>
        <w:tc>
          <w:tcPr>
            <w:tcW w:type="dxa" w:w="2351"/>
            <w:shd w:val="clear" w:fill="1F3D33"/>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65</w:t>
            </w:r>
          </w:p>
        </w:tc>
        <w:tc>
          <w:tcPr>
            <w:tcW w:type="dxa" w:w="2351"/>
          </w:tcPr>
          <w:p>
            <w:r>
              <w:rPr>
                <w:sz w:val="19"/>
              </w:rPr>
              <w:t>-10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70</w:t>
            </w:r>
          </w:p>
        </w:tc>
        <w:tc>
          <w:tcPr>
            <w:tcW w:type="dxa" w:w="2351"/>
          </w:tcPr>
          <w:p>
            <w:r>
              <w:rPr>
                <w:sz w:val="19"/>
              </w:rPr>
            </w:r>
          </w:p>
        </w:tc>
        <w:tc>
          <w:tcPr>
            <w:tcW w:type="dxa" w:w="2351"/>
          </w:tcPr>
          <w:p>
            <w:r>
              <w:rPr>
                <w:b/>
                <w:color w:val="2E7D32"/>
                <w:sz w:val="19"/>
              </w:rPr>
              <w:t>A</w:t>
            </w:r>
          </w:p>
        </w:tc>
      </w:tr>
    </w:tbl>
    <w:p>
      <w:pPr>
        <w:spacing w:before="120"/>
        <w:shd w:val="clear" w:fill="E6E6DC"/>
      </w:pPr>
      <w:r>
        <w:rPr>
          <w:sz w:val="20"/>
        </w:rPr>
        <w:t>10 points séparent votre pilier le plus solide du plus fragile — l'écart interne à réduire en priorité.</w:t>
      </w:r>
    </w:p>
    <w:p>
      <w:pPr>
        <w:spacing w:before="160"/>
      </w:pPr>
      <w:r>
        <w:rPr>
          <w:b/>
          <w:color w:val="5F6B64"/>
          <w:sz w:val="22"/>
        </w:rPr>
        <w:t>Niveau de maturité ESG : Structurée (2/5)</w:t>
      </w:r>
    </w:p>
    <w:p>
      <w:r>
        <w:t>Pour franchir le cap suivant : faire auditer le reporting.</w:t>
      </w:r>
    </w:p>
    <w:p>
      <w:pPr>
        <w:spacing w:before="280" w:after="120"/>
        <w:jc w:val="left"/>
      </w:pPr>
      <w:r>
        <w:rPr>
          <w:rFonts w:ascii="Segoe UI" w:hAnsi="Segoe UI"/>
          <w:b/>
          <w:color w:val="5F6B64"/>
          <w:sz w:val="34"/>
        </w:rPr>
        <w:t>Couverture des exigences de reporting</w:t>
      </w:r>
    </w:p>
    <w:p>
      <w:pPr>
        <w:spacing w:after="160"/>
      </w:pPr>
      <w:r>
        <w:rPr>
          <w:i w:val="0"/>
          <w:sz w:val="21"/>
        </w:rPr>
        <w:t>Le tableau ci-dessous examine 6 exigences de reporting du référentiel CSRD / ESRS : 4 sont couvertes par les données de l'exercice, 1 reste ouverte ou partiellement couverte. Chaque ligne indique la référence concernée et ce qui manque pour la couvrir.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Exigence</w:t>
            </w:r>
          </w:p>
        </w:tc>
        <w:tc>
          <w:tcPr>
            <w:tcW w:type="dxa" w:w="2351"/>
            <w:shd w:val="clear" w:fill="1F3D33"/>
          </w:tcPr>
          <w:p>
            <w:r>
              <w:rPr>
                <w:b/>
                <w:color w:val="FFFFFF"/>
                <w:sz w:val="18"/>
              </w:rPr>
              <w:t>Référence</w:t>
            </w:r>
          </w:p>
        </w:tc>
        <w:tc>
          <w:tcPr>
            <w:tcW w:type="dxa" w:w="2351"/>
            <w:shd w:val="clear" w:fill="1F3D33"/>
          </w:tcPr>
          <w:p>
            <w:r>
              <w:rPr>
                <w:b/>
                <w:color w:val="FFFFFF"/>
                <w:sz w:val="18"/>
              </w:rPr>
              <w:t>Statut</w:t>
            </w:r>
          </w:p>
        </w:tc>
        <w:tc>
          <w:tcPr>
            <w:tcW w:type="dxa" w:w="2351"/>
            <w:shd w:val="clear" w:fill="1F3D33"/>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37474F"/>
                <w:sz w:val="18"/>
              </w:rPr>
              <w:t>Publié</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37474F"/>
                <w:sz w:val="18"/>
              </w:rPr>
              <w:t>Publié</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publié</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37474F"/>
                <w:sz w:val="18"/>
              </w:rPr>
              <w:t>Publié</w:t>
            </w:r>
          </w:p>
        </w:tc>
        <w:tc>
          <w:tcPr>
            <w:tcW w:type="dxa" w:w="2351"/>
          </w:tcPr>
          <w:p>
            <w:r>
              <w:rPr>
                <w:sz w:val="18"/>
              </w:rPr>
              <w:t>Comité de durabilité en place</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37474F"/>
                <w:sz w:val="18"/>
              </w:rPr>
              <w:t>Publié</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7F8C8D"/>
                <w:sz w:val="18"/>
              </w:rPr>
              <w:t>Non couvert par ce reporting</w:t>
            </w:r>
          </w:p>
        </w:tc>
        <w:tc>
          <w:tcPr>
            <w:tcW w:type="dxa" w:w="2351"/>
          </w:tcPr>
          <w:p>
            <w:r>
              <w:rPr>
                <w:sz w:val="18"/>
              </w:rPr>
              <w:t>Cibles climatiques non documentées dans ce reporting</w:t>
            </w:r>
          </w:p>
        </w:tc>
      </w:tr>
    </w:tbl>
    <w:p/>
    <w:p>
      <w:pPr>
        <w:spacing w:before="280" w:after="120"/>
        <w:jc w:val="left"/>
      </w:pPr>
      <w:r>
        <w:rPr>
          <w:rFonts w:ascii="Segoe UI" w:hAnsi="Segoe UI"/>
          <w:b/>
          <w:color w:val="E74C3C"/>
          <w:sz w:val="34"/>
        </w:rPr>
        <w:t>Risques majeurs</w:t>
      </w:r>
    </w:p>
    <w:p>
      <w:pPr>
        <w:spacing w:after="160"/>
      </w:pPr>
      <w:r>
        <w:rPr>
          <w:i w:val="0"/>
          <w:sz w:val="21"/>
        </w:rPr>
        <w:t>L'analyse retient 4 risques majeurs. Leur priorité combine l'impact estimé et la probabilité d'occurrence : 1 est classé en priorité 1 et appelle une action dans les douze prochains mois.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[P2] Transition — Intensité carbone élevée : marge exposée à la tarification du carbone (impact : élevé · probabilité : possible)</w:t>
      </w:r>
    </w:p>
    <w:p>
      <w:pPr>
        <w:spacing w:after="60"/>
        <w:ind w:left="283"/>
      </w:pPr>
      <w:r>
        <w:rPr>
          <w:color w:val="E74C3C"/>
          <w:sz w:val="20"/>
        </w:rPr>
        <w:t xml:space="preserve">▪  </w:t>
      </w:r>
      <w:r>
        <w:rPr>
          <w:sz w:val="20"/>
        </w:rPr>
        <w:t>[P2] Réglementaire — Parité sous la cible : risque réglementaire et d'attractivité (impact : modéré · probabilité : probable)</w:t>
      </w:r>
    </w:p>
    <w:p>
      <w:pPr>
        <w:spacing w:after="60"/>
        <w:ind w:left="283"/>
      </w:pPr>
      <w:r>
        <w:rPr>
          <w:color w:val="E74C3C"/>
          <w:sz w:val="20"/>
        </w:rPr>
        <w:t xml:space="preserve">▪  </w:t>
      </w:r>
      <w:r>
        <w:rPr>
          <w:sz w:val="20"/>
        </w:rPr>
        <w:t>[P2] Réputation — Incident cyber déclaré : risque réputationnel et RGPD (impact : élevé · probabilité : possible)</w:t>
      </w:r>
    </w:p>
    <w:p>
      <w:pPr>
        <w:spacing w:before="280" w:after="120"/>
        <w:jc w:val="left"/>
      </w:pPr>
      <w:r>
        <w:rPr>
          <w:rFonts w:ascii="Segoe UI" w:hAnsi="Segoe UI"/>
          <w:b/>
          <w:color w:val="2F6B4F"/>
          <w:sz w:val="34"/>
        </w:rPr>
        <w:t>Opportunités majeures</w:t>
      </w:r>
    </w:p>
    <w:p>
      <w:pPr>
        <w:spacing w:after="60"/>
        <w:ind w:left="283"/>
      </w:pPr>
      <w:r>
        <w:rPr>
          <w:color w:val="2F6B4F"/>
          <w:sz w:val="20"/>
        </w:rPr>
        <w:t xml:space="preserve">▪  </w:t>
      </w:r>
      <w:r>
        <w:rPr>
          <w:sz w:val="20"/>
        </w:rPr>
        <w:t>Financement — Gouvernance solide : accès facilité aux financements ESG (green bonds, prêts indexés)</w:t>
      </w:r>
    </w:p>
    <w:p>
      <w:pPr>
        <w:spacing w:after="60"/>
        <w:ind w:left="283"/>
      </w:pPr>
      <w:r>
        <w:rPr>
          <w:color w:val="2F6B4F"/>
          <w:sz w:val="20"/>
        </w:rPr>
        <w:t xml:space="preserve">▪  </w:t>
      </w:r>
      <w:r>
        <w:rPr>
          <w:sz w:val="20"/>
        </w:rPr>
        <w:t>Financement — Activités alignées Taxonomie : éligibilité aux financements verts</w:t>
      </w:r>
    </w:p>
    <w:p>
      <w:pPr>
        <w:spacing w:after="60"/>
        <w:ind w:left="283"/>
      </w:pPr>
      <w:r>
        <w:rPr>
          <w:color w:val="2F6B4F"/>
          <w:sz w:val="20"/>
        </w:rPr>
        <w:t xml:space="preserve">▪  </w:t>
      </w:r>
      <w:r>
        <w:rPr>
          <w:sz w:val="20"/>
        </w:rPr>
        <w:t>Coûts — Mix renouvelable engagé : réduction des coûts énergétiques à terme</w:t>
      </w:r>
    </w:p>
    <w:p>
      <w:pPr>
        <w:spacing w:after="60"/>
        <w:ind w:left="283"/>
      </w:pPr>
      <w:r>
        <w:rPr>
          <w:color w:val="2F6B4F"/>
          <w:sz w:val="20"/>
        </w:rPr>
        <w:t xml:space="preserve">▪  </w:t>
      </w:r>
      <w:r>
        <w:rPr>
          <w:sz w:val="20"/>
        </w:rPr>
        <w:t>Talents — Politique sociale : marque employeur et rétention des talents renforcées</w:t>
      </w:r>
    </w:p>
    <w:p>
      <w:pPr>
        <w:spacing w:before="280" w:after="120"/>
        <w:jc w:val="left"/>
      </w:pPr>
      <w:r>
        <w:rPr>
          <w:rFonts w:ascii="Segoe UI" w:hAnsi="Segoe UI"/>
          <w:b/>
          <w:color w:val="2E5A4B"/>
          <w:sz w:val="34"/>
        </w:rPr>
        <w:t>Un plan d'action ESG sur 12 mois</w:t>
      </w:r>
    </w:p>
    <w:p>
      <w:pPr>
        <w:spacing w:after="160"/>
      </w:pPr>
      <w:r>
        <w:rPr>
          <w:i w:val="0"/>
          <w:sz w:val="21"/>
        </w:rPr>
        <w:t>La feuille de route répartit les actions en trois phases. 0-3 mois : 1 action, 3-6 mois : 2 actions et 6-12 mois : 1 action. Les gains rapides, signalés dans le tableau, peuvent être engagés sans attendre les chantiers structurants.</w:t>
      </w:r>
    </w:p>
    <w:p>
      <w:r>
        <w:rPr>
          <w:b/>
          <w:color w:val="1F3D33"/>
          <w:sz w:val="21"/>
        </w:rPr>
        <w:t>0-3 mois — Quick wins &amp; fondations</w:t>
      </w:r>
    </w:p>
    <w:p>
      <w:pPr>
        <w:pStyle w:val="ListBullet"/>
      </w:pPr>
      <w:r>
        <w:rPr>
          <w:sz w:val="20"/>
        </w:rPr>
        <w:t>Commander un audit ESG indépendant annuel</w:t>
      </w:r>
      <w:r>
        <w:rPr>
          <w:b/>
          <w:color w:val="2E5A4B"/>
          <w:sz w:val="16"/>
        </w:rPr>
        <w:t xml:space="preserve">  [QUICK WIN]</w:t>
      </w:r>
    </w:p>
    <w:p>
      <w:r>
        <w:rPr>
          <w:b/>
          <w:color w:val="1F3D33"/>
          <w:sz w:val="21"/>
        </w:rPr>
        <w:t>3-6 mois — Structuration</w:t>
      </w:r>
    </w:p>
    <w:p>
      <w:pPr>
        <w:pStyle w:val="ListBullet"/>
      </w:pPr>
      <w:r>
        <w:rPr>
          <w:sz w:val="20"/>
        </w:rPr>
        <w:t>Définir des objectifs chiffrés de parité femme-homme</w:t>
      </w:r>
      <w:r>
        <w:rPr>
          <w:b/>
          <w:color w:val="2E5A4B"/>
          <w:sz w:val="16"/>
        </w:rPr>
        <w:t xml:space="preserve">  [QUICK WIN]</w:t>
      </w:r>
    </w:p>
    <w:p>
      <w:pPr>
        <w:pStyle w:val="ListBullet"/>
      </w:pPr>
      <w:r>
        <w:rPr>
          <w:sz w:val="20"/>
        </w:rPr>
        <w:t>Aligner la stratégie ESG sur les ODD &amp; la TCFD</w:t>
      </w:r>
    </w:p>
    <w:p>
      <w:r>
        <w:rPr>
          <w:b/>
          <w:color w:val="1F3D33"/>
          <w:sz w:val="21"/>
        </w:rPr>
        <w:t>6-12 mois — Deploiement</w:t>
      </w:r>
    </w:p>
    <w:p>
      <w:pPr>
        <w:pStyle w:val="ListBullet"/>
      </w:pPr>
      <w:r>
        <w:rPr>
          <w:sz w:val="20"/>
        </w:rPr>
        <w:t>Augmenter la part d'énergie renouvelable à 50 %</w:t>
      </w:r>
    </w:p>
    <w:p>
      <w:r>
        <w:br w:type="page"/>
      </w:r>
    </w:p>
    <w:p>
      <w:pPr>
        <w:spacing w:before="280" w:after="120"/>
        <w:jc w:val="left"/>
      </w:pPr>
      <w:r>
        <w:rPr>
          <w:rFonts w:ascii="Segoe UI" w:hAnsi="Segoe UI"/>
          <w:b/>
          <w:color w:val="1F3D33"/>
          <w:sz w:val="44"/>
        </w:rPr>
        <w:t>8. Conclusion</w:t>
      </w:r>
    </w:p>
    <w:p>
      <w:pPr>
        <w:spacing w:before="0" w:after="160"/>
        <w:pBdr>
          <w:bottom w:val="single" w:sz="4" w:space="1" w:color="1F3D33"/>
        </w:pBdr>
      </w:pPr>
    </w:p>
    <w:p>
      <w:r>
        <w:t>Fort d'un score ESG de 69,5/100 (A), Acme Industries amorce une dynamique positive sur l'ensemble des piliers ESG. L'analyse met en lumière cinq points forts consolidés et quatre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selon le référentiel de reporting visé pour cet exercice.</w:t>
      </w:r>
    </w:p>
    <w:p>
      <w:pPr>
        <w:spacing w:before="280" w:after="120"/>
        <w:jc w:val="left"/>
      </w:pPr>
      <w:r>
        <w:rPr>
          <w:rFonts w:ascii="Segoe UI" w:hAnsi="Segoe UI"/>
          <w:b/>
          <w:color w:val="5F6B64"/>
          <w:sz w:val="34"/>
        </w:rPr>
        <w:t>Note méthodologique</w:t>
      </w:r>
    </w:p>
    <w:p>
      <w:pPr>
        <w:shd w:val="clear" w:fill="E6E6DC"/>
      </w:pPr>
      <w:r>
        <w:rPr>
          <w:color w:val="5A6572"/>
          <w:sz w:val="17"/>
        </w:rPr>
        <w:t>Périmètre et méthodologie du reporting. Référentiel visé : CSRD / ESRS.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La grille du taux de fréquence des accidents est ancrée sur le taux national publié par l'Assurance Maladie (16,0 en 2024, tous secteurs ; Assurance Maladie – Risques professionnels, rapport annuel 2024, tableau 8). Le score global est la moyenne pondérée des trois piliers, et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Les points de données suivants restent à consolider : la vérification par un tiers indépendant, requise par la CSRD (assurance limitée).</w:t>
      </w:r>
    </w:p>
    <w:p>
      <w:pPr>
        <w:spacing w:before="280" w:after="120"/>
        <w:jc w:val="left"/>
      </w:pPr>
      <w:r>
        <w:rPr>
          <w:rFonts w:ascii="Segoe UI" w:hAnsi="Segoe UI"/>
          <w:b/>
          <w:color w:val="5F6B64"/>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F3D33"/>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F3D33"/>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F3D33"/>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F3D33"/>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F3D33"/>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F3D33"/>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F3D33"/>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F3D33"/>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F3D33"/>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F3D33"/>
                <w:sz w:val="17"/>
              </w:rPr>
              <w:t>Assurance limitée</w:t>
            </w:r>
          </w:p>
        </w:tc>
        <w:tc>
          <w:tcPr>
            <w:tcW w:type="dxa" w:w="4703"/>
          </w:tcPr>
          <w:p>
            <w:r>
              <w:rPr>
                <w:sz w:val="17"/>
              </w:rPr>
              <w:t>Niveau de vérification par un tiers indépendant requis par la CSRD : le vérificateur conclut qu'il n'a pas relevé d'anomalie significative, sans l'audit approfondi que suppose une assurance raisonnable.</w:t>
            </w:r>
          </w:p>
        </w:tc>
      </w:tr>
      <w:tr>
        <w:tc>
          <w:tcPr>
            <w:tcW w:type="dxa" w:w="4703"/>
          </w:tcPr>
          <w:p>
            <w:r>
              <w:rPr>
                <w:b/>
                <w:color w:val="1F3D33"/>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