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1B3A6B"/>
          <w:sz w:val="64"/>
        </w:rPr>
        <w:t>ACME INDUSTRIES</w:t>
      </w:r>
    </w:p>
    <w:p>
      <w:pPr>
        <w:spacing w:before="0" w:after="160"/>
        <w:pBdr>
          <w:bottom w:val="single" w:sz="4" w:space="1" w:color="F39C12"/>
        </w:pBdr>
      </w:pPr>
    </w:p>
    <w:p>
      <w:r>
        <w:rPr>
          <w:b/>
          <w:color w:val="2E86C1"/>
          <w:sz w:val="36"/>
        </w:rPr>
        <w:t>Rapport ESG Complet</w:t>
      </w:r>
    </w:p>
    <w:p>
      <w:pPr>
        <w:spacing w:after="160"/>
      </w:pPr>
      <w:r>
        <w:rPr>
          <w:color w:val="7F8C8D"/>
          <w:sz w:val="22"/>
        </w:rPr>
        <w:t>Exercice 2025  •  Industrie manufacturière  •  France</w:t>
      </w:r>
    </w:p>
    <w:p>
      <w:pPr>
        <w:spacing w:after="240"/>
      </w:pPr>
      <w:r>
        <w:rPr>
          <w:i/>
          <w:color w:val="2E86C1"/>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BF2FB"/>
          </w:tcPr>
          <w:p>
            <w:pPr>
              <w:jc w:val="center"/>
            </w:pPr>
            <w:r>
              <w:rPr>
                <w:b/>
                <w:color w:val="2E86C1"/>
                <w:sz w:val="18"/>
              </w:rPr>
              <w:t>Environnement</w:t>
            </w:r>
          </w:p>
        </w:tc>
        <w:tc>
          <w:tcPr>
            <w:tcW w:type="dxa" w:w="2351"/>
            <w:shd w:val="clear" w:fill="EBF2FB"/>
          </w:tcPr>
          <w:p>
            <w:pPr>
              <w:jc w:val="center"/>
            </w:pPr>
            <w:r>
              <w:rPr>
                <w:b/>
                <w:color w:val="2E86C1"/>
                <w:sz w:val="18"/>
              </w:rPr>
              <w:t>Social</w:t>
            </w:r>
          </w:p>
        </w:tc>
        <w:tc>
          <w:tcPr>
            <w:tcW w:type="dxa" w:w="2351"/>
            <w:shd w:val="clear" w:fill="EBF2FB"/>
          </w:tcPr>
          <w:p>
            <w:pPr>
              <w:jc w:val="center"/>
            </w:pPr>
            <w:r>
              <w:rPr>
                <w:b/>
                <w:color w:val="2E86C1"/>
                <w:sz w:val="18"/>
              </w:rPr>
              <w:t>Gouvernance</w:t>
            </w:r>
          </w:p>
        </w:tc>
        <w:tc>
          <w:tcPr>
            <w:tcW w:type="dxa" w:w="2351"/>
            <w:shd w:val="clear" w:fill="EBF2FB"/>
          </w:tcPr>
          <w:p>
            <w:pPr>
              <w:jc w:val="center"/>
            </w:pPr>
            <w:r>
              <w:rPr>
                <w:b/>
                <w:color w:val="2E86C1"/>
                <w:sz w:val="18"/>
              </w:rPr>
              <w:t>Score Global</w:t>
            </w:r>
          </w:p>
        </w:tc>
      </w:tr>
      <w:tr>
        <w:tc>
          <w:tcPr>
            <w:tcW w:type="dxa" w:w="2351"/>
          </w:tcPr>
          <w:p>
            <w:pPr>
              <w:jc w:val="center"/>
            </w:pPr>
            <w:r>
              <w:rPr>
                <w:b/>
                <w:color w:val="27AE60"/>
                <w:sz w:val="48"/>
              </w:rPr>
              <w:t>70.0</w:t>
            </w:r>
          </w:p>
        </w:tc>
        <w:tc>
          <w:tcPr>
            <w:tcW w:type="dxa" w:w="2351"/>
          </w:tcPr>
          <w:p>
            <w:pPr>
              <w:jc w:val="center"/>
            </w:pPr>
            <w:r>
              <w:rPr>
                <w:b/>
                <w:color w:val="2E86C1"/>
                <w:sz w:val="48"/>
              </w:rPr>
              <w:t>55.0</w:t>
            </w:r>
          </w:p>
        </w:tc>
        <w:tc>
          <w:tcPr>
            <w:tcW w:type="dxa" w:w="2351"/>
          </w:tcPr>
          <w:p>
            <w:pPr>
              <w:jc w:val="center"/>
            </w:pPr>
            <w:r>
              <w:rPr>
                <w:b/>
                <w:color w:val="8E44AD"/>
                <w:sz w:val="48"/>
              </w:rPr>
              <w:t>75.0</w:t>
            </w:r>
          </w:p>
        </w:tc>
        <w:tc>
          <w:tcPr>
            <w:tcW w:type="dxa" w:w="2351"/>
          </w:tcPr>
          <w:p>
            <w:pPr>
              <w:jc w:val="center"/>
            </w:pPr>
            <w:r>
              <w:rPr>
                <w:b/>
                <w:color w:val="F39C12"/>
                <w:sz w:val="48"/>
              </w:rPr>
              <w:t>66.0</w:t>
            </w:r>
          </w:p>
        </w:tc>
      </w:tr>
    </w:tbl>
    <w:p/>
    <w:p>
      <w:pPr>
        <w:spacing w:after="480"/>
        <w:jc w:val="center"/>
      </w:pPr>
      <w:r>
        <w:rPr>
          <w:b/>
          <w:color w:val="F39C12"/>
          <w:sz w:val="32"/>
        </w:rPr>
        <w:t>Note : A</w:t>
      </w:r>
    </w:p>
    <w:p>
      <w:r>
        <w:br w:type="page"/>
      </w:r>
    </w:p>
    <w:p>
      <w:r>
        <w:rPr>
          <w:b/>
          <w:color w:val="F39C12"/>
          <w:sz w:val="18"/>
        </w:rPr>
        <w:t>LE MOT DE LA DIRECTION</w:t>
      </w:r>
    </w:p>
    <w:p>
      <w:pPr>
        <w:shd w:val="clear" w:fill="EBF2FB"/>
        <w:spacing w:after="80"/>
      </w:pPr>
      <w:r>
        <w:rPr>
          <w:i/>
          <w:color w:val="1B3A6B"/>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Calibri" w:hAnsi="Calibri"/>
          <w:b/>
          <w:color w:val="1B3A6B"/>
          <w:sz w:val="44"/>
        </w:rPr>
        <w:t>1. Synthèse Exécutive</w:t>
      </w:r>
    </w:p>
    <w:p>
      <w:pPr>
        <w:spacing w:before="0" w:after="160"/>
        <w:pBdr>
          <w:bottom w:val="single" w:sz="4" w:space="1" w:color="2E86C1"/>
        </w:pBdr>
      </w:pPr>
    </w:p>
    <w:p>
      <w:pPr>
        <w:spacing w:after="240"/>
      </w:pPr>
      <w:r>
        <w:t>Acme Industries consolide pour l'exercice 2025 son reporting de durabilité, ancré dans les réalités de l'industrie manufacturière, au cœur des défis d'efficacité carbone. Avec 66.0/100 et une note A, Acme Industries affiche une bonne performance sur la grille de notation interne sur l'ensemble du périmètre extra-financier. Gouvernance domine le profil ESG (75/100) tandis que Social (55/100) constitue la marge d'amélioration prioritaire. Au global, la maturité ESG est évaluée comme structurée (2/5). Combler les lacunes de reporting prioritaires — au premier rang desquelles la vérification par un tiers indépendant, requise par la CSRD (assurance limitée) — constitue le levier le plus rapide pour sécuriser la conformité CSRD et renforcer la confiance des investisseurs. Par rapport à l'exercice 2024, le score global progresse de 10 points (environnement +12, social +5, gouvernance +15).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F39C12"/>
          <w:sz w:val="17"/>
        </w:rPr>
        <w:t>L'ANALYSE DU CONSULTANT</w:t>
      </w:r>
    </w:p>
    <w:p>
      <w:pPr>
        <w:shd w:val="clear" w:fill="EBF2FB"/>
        <w:spacing w:after="160"/>
      </w:pPr>
      <w:r>
        <w:rPr>
          <w:i/>
          <w:color w:val="1B3A6B"/>
          <w:sz w:val="20"/>
        </w:rPr>
        <w:t>La priorité 2026 est la fiabilisation du reporting énergie avant l'audit de certification prévu au troisième trimestre.</w:t>
      </w:r>
    </w:p>
    <w:p>
      <w:pPr>
        <w:spacing w:before="280" w:after="120"/>
        <w:jc w:val="left"/>
      </w:pPr>
      <w:r>
        <w:rPr>
          <w:rFonts w:ascii="Calibri" w:hAnsi="Calibri"/>
          <w:b/>
          <w:color w:val="27AE60"/>
          <w:sz w:val="44"/>
        </w:rPr>
        <w:t>2. Pilier Environnemental</w:t>
      </w:r>
    </w:p>
    <w:p>
      <w:pPr>
        <w:spacing w:before="0" w:after="160"/>
        <w:pBdr>
          <w:bottom w:val="single" w:sz="4" w:space="1" w:color="27AE60"/>
        </w:pBdr>
      </w:pPr>
    </w:p>
    <w:p>
      <w:pPr>
        <w:spacing w:after="120"/>
      </w:pPr>
      <w:r>
        <w:rPr>
          <w:b/>
          <w:color w:val="27AE60"/>
          <w:sz w:val="25"/>
        </w:rPr>
        <w:t>Un bilan carbone complet, socle de la trajectoire climat</w:t>
      </w:r>
    </w:p>
    <w:p>
      <w:pPr>
        <w:spacing w:before="120" w:after="20"/>
      </w:pPr>
      <w:r>
        <w:rPr>
          <w:b/>
          <w:color w:val="F39C12"/>
          <w:sz w:val="17"/>
        </w:rPr>
        <w:t>L'ANALYSE DU CONSULTANT</w:t>
      </w:r>
    </w:p>
    <w:p>
      <w:pPr>
        <w:shd w:val="clear" w:fill="EBF2FB"/>
        <w:spacing w:after="160"/>
      </w:pPr>
      <w:r>
        <w:rPr>
          <w:i/>
          <w:color w:val="1B3A6B"/>
          <w:sz w:val="20"/>
        </w:rPr>
        <w:t>Le site de Lyon concentre près de 70 % des émissions du périmètre : c'est là que se joue la trajectoire.</w:t>
      </w:r>
    </w:p>
    <w:p>
      <w:r>
        <w:rPr>
          <w:b/>
          <w:sz w:val="22"/>
        </w:rPr>
        <w:t xml:space="preserve">Score environnemental : </w:t>
      </w:r>
      <w:r>
        <w:rPr>
          <w:b/>
          <w:color w:val="27AE60"/>
          <w:sz w:val="28"/>
        </w:rPr>
        <w:t>70.0/100</w:t>
      </w:r>
    </w:p>
    <w:p>
      <w:pPr>
        <w:spacing w:after="160"/>
      </w:pPr>
      <w:r>
        <w:t>Le pilier Environnement d'Acme Industries obtient 70/100 sur l'exercice 2025. L'intensité carbone atteint 171 t CO₂e par million d'euros de chiffre d'affaires, un niveau intermédiaire : ni avantage ni retard marqué. La part d'énergie renouvelable atteint 42 %, une base correcte que la trajectoire de transition doit consolider. Le taux de recyclage s'élève à 63 %, une valorisation matière élevée. La consommation énergétique déclarée s'élève à 21,500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CO2 total (t)</w:t>
            </w:r>
          </w:p>
        </w:tc>
        <w:tc>
          <w:tcPr>
            <w:tcW w:type="dxa" w:w="3135"/>
            <w:shd w:val="clear" w:fill="EBF2FB"/>
          </w:tcPr>
          <w:p>
            <w:pPr>
              <w:jc w:val="center"/>
            </w:pPr>
            <w:r>
              <w:rPr>
                <w:b/>
                <w:color w:val="2E86C1"/>
                <w:sz w:val="18"/>
              </w:rPr>
              <w:t>Renouvelable %</w:t>
            </w:r>
          </w:p>
        </w:tc>
        <w:tc>
          <w:tcPr>
            <w:tcW w:type="dxa" w:w="3135"/>
            <w:shd w:val="clear" w:fill="EBF2FB"/>
          </w:tcPr>
          <w:p>
            <w:pPr>
              <w:jc w:val="center"/>
            </w:pPr>
            <w:r>
              <w:rPr>
                <w:b/>
                <w:color w:val="2E86C1"/>
                <w:sz w:val="18"/>
              </w:rPr>
              <w:t>Énergie (MWh)</w:t>
            </w:r>
          </w:p>
        </w:tc>
      </w:tr>
      <w:tr>
        <w:tc>
          <w:tcPr>
            <w:tcW w:type="dxa" w:w="3135"/>
          </w:tcPr>
          <w:p>
            <w:pPr>
              <w:jc w:val="center"/>
            </w:pPr>
            <w:r>
              <w:rPr>
                <w:b/>
                <w:color w:val="1B3A6B"/>
                <w:sz w:val="32"/>
              </w:rPr>
              <w:t>8,200</w:t>
            </w:r>
          </w:p>
        </w:tc>
        <w:tc>
          <w:tcPr>
            <w:tcW w:type="dxa" w:w="3135"/>
          </w:tcPr>
          <w:p>
            <w:pPr>
              <w:jc w:val="center"/>
            </w:pPr>
            <w:r>
              <w:rPr>
                <w:b/>
                <w:color w:val="1B3A6B"/>
                <w:sz w:val="32"/>
              </w:rPr>
              <w:t>42.0%</w:t>
            </w:r>
          </w:p>
        </w:tc>
        <w:tc>
          <w:tcPr>
            <w:tcW w:type="dxa" w:w="3135"/>
          </w:tcPr>
          <w:p>
            <w:pPr>
              <w:jc w:val="center"/>
            </w:pPr>
            <w:r>
              <w:rPr>
                <w:b/>
                <w:color w:val="1B3A6B"/>
                <w:sz w:val="32"/>
              </w:rPr>
              <w:t>21,500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Eau (m3)</w:t>
            </w:r>
          </w:p>
        </w:tc>
        <w:tc>
          <w:tcPr>
            <w:tcW w:type="dxa" w:w="3135"/>
            <w:shd w:val="clear" w:fill="EBF2FB"/>
          </w:tcPr>
          <w:p>
            <w:pPr>
              <w:jc w:val="center"/>
            </w:pPr>
            <w:r>
              <w:rPr>
                <w:b/>
                <w:color w:val="2E86C1"/>
                <w:sz w:val="18"/>
              </w:rPr>
              <w:t>Recyclage %</w:t>
            </w:r>
          </w:p>
        </w:tc>
        <w:tc>
          <w:tcPr>
            <w:tcW w:type="dxa" w:w="3135"/>
            <w:shd w:val="clear" w:fill="EBF2FB"/>
          </w:tcPr>
          <w:p>
            <w:pPr>
              <w:jc w:val="center"/>
            </w:pPr>
            <w:r>
              <w:rPr>
                <w:b/>
                <w:color w:val="2E86C1"/>
                <w:sz w:val="18"/>
              </w:rPr>
              <w:t>Scope 1 (t)</w:t>
            </w:r>
          </w:p>
        </w:tc>
      </w:tr>
      <w:tr>
        <w:tc>
          <w:tcPr>
            <w:tcW w:type="dxa" w:w="3135"/>
          </w:tcPr>
          <w:p>
            <w:pPr>
              <w:jc w:val="center"/>
            </w:pPr>
            <w:r>
              <w:rPr>
                <w:b/>
                <w:color w:val="1B3A6B"/>
                <w:sz w:val="32"/>
              </w:rPr>
              <w:t>120,000</w:t>
            </w:r>
          </w:p>
        </w:tc>
        <w:tc>
          <w:tcPr>
            <w:tcW w:type="dxa" w:w="3135"/>
          </w:tcPr>
          <w:p>
            <w:pPr>
              <w:jc w:val="center"/>
            </w:pPr>
            <w:r>
              <w:rPr>
                <w:b/>
                <w:color w:val="1B3A6B"/>
                <w:sz w:val="32"/>
              </w:rPr>
              <w:t>63.0%</w:t>
            </w:r>
          </w:p>
        </w:tc>
        <w:tc>
          <w:tcPr>
            <w:tcW w:type="dxa" w:w="3135"/>
          </w:tcPr>
          <w:p>
            <w:pPr>
              <w:jc w:val="center"/>
            </w:pPr>
            <w:r>
              <w:rPr>
                <w:b/>
                <w:color w:val="1B3A6B"/>
                <w:sz w:val="32"/>
              </w:rPr>
              <w:t>1,200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Scope 2 (t)</w:t>
            </w:r>
          </w:p>
        </w:tc>
        <w:tc>
          <w:tcPr>
            <w:tcW w:type="dxa" w:w="3135"/>
            <w:shd w:val="clear" w:fill="EBF2FB"/>
          </w:tcPr>
          <w:p>
            <w:pPr>
              <w:jc w:val="center"/>
            </w:pPr>
            <w:r>
              <w:rPr>
                <w:b/>
                <w:color w:val="2E86C1"/>
                <w:sz w:val="18"/>
              </w:rPr>
              <w:t>Scope 3 (t)</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2,100</w:t>
            </w:r>
          </w:p>
        </w:tc>
        <w:tc>
          <w:tcPr>
            <w:tcW w:type="dxa" w:w="3135"/>
          </w:tcPr>
          <w:p>
            <w:pPr>
              <w:jc w:val="center"/>
            </w:pPr>
            <w:r>
              <w:rPr>
                <w:b/>
                <w:color w:val="1B3A6B"/>
                <w:sz w:val="32"/>
              </w:rPr>
              <w:t>4,900</w:t>
            </w:r>
          </w:p>
        </w:tc>
        <w:tc>
          <w:tcPr>
            <w:tcW w:type="dxa" w:w="3135"/>
          </w:tcPr>
          <w:p>
            <w:pPr>
              <w:jc w:val="center"/>
            </w:pPr>
            <w:r>
              <w:rPr>
                <w:b/>
                <w:color w:val="1B3A6B"/>
                <w:sz w:val="32"/>
              </w:rPr>
            </w:r>
          </w:p>
        </w:tc>
      </w:tr>
    </w:tbl>
    <w:p/>
    <w:p>
      <w:pPr>
        <w:spacing w:before="280" w:after="120"/>
        <w:jc w:val="left"/>
      </w:pPr>
      <w:r>
        <w:rPr>
          <w:rFonts w:ascii="Calibri" w:hAnsi="Calibri"/>
          <w:b/>
          <w:color w:val="2E86C1"/>
          <w:sz w:val="44"/>
        </w:rPr>
        <w:t>3. Pilier Social</w:t>
      </w:r>
    </w:p>
    <w:p>
      <w:pPr>
        <w:spacing w:before="0" w:after="160"/>
        <w:pBdr>
          <w:bottom w:val="single" w:sz="4" w:space="1" w:color="2E86C1"/>
        </w:pBdr>
      </w:pPr>
    </w:p>
    <w:p>
      <w:pPr>
        <w:spacing w:after="120"/>
      </w:pPr>
      <w:r>
        <w:rPr>
          <w:b/>
          <w:color w:val="2E86C1"/>
          <w:sz w:val="25"/>
        </w:rPr>
        <w:t>La sécurité au travail (TF 6.2), priorité à traiter</w:t>
      </w:r>
    </w:p>
    <w:p>
      <w:r>
        <w:rPr>
          <w:b/>
          <w:sz w:val="22"/>
        </w:rPr>
        <w:t xml:space="preserve">Score social : </w:t>
      </w:r>
      <w:r>
        <w:rPr>
          <w:b/>
          <w:color w:val="2E86C1"/>
          <w:sz w:val="28"/>
        </w:rPr>
        <w:t>55.0/100</w:t>
      </w:r>
    </w:p>
    <w:p>
      <w:pPr>
        <w:spacing w:after="160"/>
      </w:pPr>
      <w:r>
        <w:t>Acme Industries enregistre 55/100 sur l'axe social de son reporting extra-financier. Le bilan social présente : 320 collaborateurs (France) ; 34% de femmes dans l'effectif ; 22 h/an de formation par collaborateur (satisfaisant) ; taux de fréquence accidents 6.2 (à améliorer en priorité) ; turnover 11%. La démarche sociale combine montée en compétences, dialogue social renforcé et inclusion durable.</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Effectif</w:t>
            </w:r>
          </w:p>
        </w:tc>
        <w:tc>
          <w:tcPr>
            <w:tcW w:type="dxa" w:w="3135"/>
            <w:shd w:val="clear" w:fill="EBF2FB"/>
          </w:tcPr>
          <w:p>
            <w:pPr>
              <w:jc w:val="center"/>
            </w:pPr>
            <w:r>
              <w:rPr>
                <w:b/>
                <w:color w:val="2E86C1"/>
                <w:sz w:val="18"/>
              </w:rPr>
              <w:t>Femmes %</w:t>
            </w:r>
          </w:p>
        </w:tc>
        <w:tc>
          <w:tcPr>
            <w:tcW w:type="dxa" w:w="3135"/>
            <w:shd w:val="clear" w:fill="EBF2FB"/>
          </w:tcPr>
          <w:p>
            <w:pPr>
              <w:jc w:val="center"/>
            </w:pPr>
            <w:r>
              <w:rPr>
                <w:b/>
                <w:color w:val="2E86C1"/>
                <w:sz w:val="18"/>
              </w:rPr>
              <w:t>Turnover %</w:t>
            </w:r>
          </w:p>
        </w:tc>
      </w:tr>
      <w:tr>
        <w:tc>
          <w:tcPr>
            <w:tcW w:type="dxa" w:w="3135"/>
          </w:tcPr>
          <w:p>
            <w:pPr>
              <w:jc w:val="center"/>
            </w:pPr>
            <w:r>
              <w:rPr>
                <w:b/>
                <w:color w:val="1B3A6B"/>
                <w:sz w:val="32"/>
              </w:rPr>
              <w:t>320</w:t>
            </w:r>
          </w:p>
        </w:tc>
        <w:tc>
          <w:tcPr>
            <w:tcW w:type="dxa" w:w="3135"/>
          </w:tcPr>
          <w:p>
            <w:pPr>
              <w:jc w:val="center"/>
            </w:pPr>
            <w:r>
              <w:rPr>
                <w:b/>
                <w:color w:val="1B3A6B"/>
                <w:sz w:val="32"/>
              </w:rPr>
              <w:t>34.0%</w:t>
            </w:r>
          </w:p>
        </w:tc>
        <w:tc>
          <w:tcPr>
            <w:tcW w:type="dxa" w:w="3135"/>
          </w:tcPr>
          <w:p>
            <w:pPr>
              <w:jc w:val="center"/>
            </w:pPr>
            <w:r>
              <w:rPr>
                <w:b/>
                <w:color w:val="1B3A6B"/>
                <w:sz w:val="32"/>
              </w:rPr>
              <w:t>11.0%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Formation (h)</w:t>
            </w:r>
          </w:p>
        </w:tc>
        <w:tc>
          <w:tcPr>
            <w:tcW w:type="dxa" w:w="3135"/>
            <w:shd w:val="clear" w:fill="EBF2FB"/>
          </w:tcPr>
          <w:p>
            <w:pPr>
              <w:jc w:val="center"/>
            </w:pPr>
            <w:r>
              <w:rPr>
                <w:b/>
                <w:color w:val="2E86C1"/>
                <w:sz w:val="18"/>
              </w:rPr>
              <w:t>TF accidents</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22</w:t>
            </w:r>
          </w:p>
        </w:tc>
        <w:tc>
          <w:tcPr>
            <w:tcW w:type="dxa" w:w="3135"/>
          </w:tcPr>
          <w:p>
            <w:pPr>
              <w:jc w:val="center"/>
            </w:pPr>
            <w:r>
              <w:rPr>
                <w:b/>
                <w:color w:val="1B3A6B"/>
                <w:sz w:val="32"/>
              </w:rPr>
              <w:t>6.20</w:t>
            </w:r>
          </w:p>
        </w:tc>
        <w:tc>
          <w:tcPr>
            <w:tcW w:type="dxa" w:w="3135"/>
          </w:tcPr>
          <w:p>
            <w:pPr>
              <w:jc w:val="center"/>
            </w:pPr>
            <w:r>
              <w:rPr>
                <w:b/>
                <w:color w:val="1B3A6B"/>
                <w:sz w:val="32"/>
              </w:rPr>
            </w:r>
          </w:p>
        </w:tc>
      </w:tr>
    </w:tbl>
    <w:p/>
    <w:p>
      <w:pPr>
        <w:spacing w:before="280" w:after="120"/>
        <w:jc w:val="left"/>
      </w:pPr>
      <w:r>
        <w:rPr>
          <w:rFonts w:ascii="Calibri" w:hAnsi="Calibri"/>
          <w:b/>
          <w:color w:val="8E44AD"/>
          <w:sz w:val="44"/>
        </w:rPr>
        <w:t>4. Pilier Gouvernance</w:t>
      </w:r>
    </w:p>
    <w:p>
      <w:pPr>
        <w:spacing w:before="0" w:after="160"/>
        <w:pBdr>
          <w:bottom w:val="single" w:sz="4" w:space="1" w:color="8E44AD"/>
        </w:pBdr>
      </w:pPr>
    </w:p>
    <w:p>
      <w:pPr>
        <w:spacing w:after="120"/>
      </w:pPr>
      <w:r>
        <w:rPr>
          <w:b/>
          <w:color w:val="8E44AD"/>
          <w:sz w:val="25"/>
        </w:rPr>
        <w:t>L'assurance ESG indépendante, priorité de la gouvernance</w:t>
      </w:r>
    </w:p>
    <w:p>
      <w:pPr>
        <w:spacing w:before="120" w:after="20"/>
      </w:pPr>
      <w:r>
        <w:rPr>
          <w:b/>
          <w:color w:val="F39C12"/>
          <w:sz w:val="17"/>
        </w:rPr>
        <w:t>L'ANALYSE DU CONSULTANT</w:t>
      </w:r>
    </w:p>
    <w:p>
      <w:pPr>
        <w:shd w:val="clear" w:fill="EBF2FB"/>
        <w:spacing w:after="160"/>
      </w:pPr>
      <w:r>
        <w:rPr>
          <w:i/>
          <w:color w:val="1B3A6B"/>
          <w:sz w:val="20"/>
        </w:rPr>
        <w:t>Le comité de durabilité fonctionne, mais doit formaliser ses comptes rendus pour être opposable lors de la vérification.</w:t>
      </w:r>
    </w:p>
    <w:p>
      <w:r>
        <w:rPr>
          <w:b/>
          <w:sz w:val="22"/>
        </w:rPr>
        <w:t xml:space="preserve">Score gouvernance : </w:t>
      </w:r>
      <w:r>
        <w:rPr>
          <w:b/>
          <w:color w:val="8E44AD"/>
          <w:sz w:val="28"/>
        </w:rPr>
        <w:t>75.0/100</w:t>
      </w:r>
    </w:p>
    <w:p>
      <w:pPr>
        <w:spacing w:after="160"/>
      </w:pPr>
      <w:r>
        <w:t>Acme Industries positionne son axe Gouvernance à 75/100. L'architecture de gouvernance comprend : CA de 9 membres ; 44% de femmes au CA (objectif de 40 % atteint (loi Copé-Zimmermann, pour les sociétés concernées)) ; 45% d'administrateurs indépendants (sous le seuil AFEP-MEDEF 50%) ; aucun manquement éthique enregistré ; un incident cybersécurité déclaré. Le déploiement d'une certification ESG externe constitue un axe de progrès à court terme. La supervision ESG est assurée par un comité dédié qui rend compte directement au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Membres CA</w:t>
            </w:r>
          </w:p>
        </w:tc>
        <w:tc>
          <w:tcPr>
            <w:tcW w:type="dxa" w:w="3135"/>
            <w:shd w:val="clear" w:fill="EBF2FB"/>
          </w:tcPr>
          <w:p>
            <w:pPr>
              <w:jc w:val="center"/>
            </w:pPr>
            <w:r>
              <w:rPr>
                <w:b/>
                <w:color w:val="2E86C1"/>
                <w:sz w:val="18"/>
              </w:rPr>
              <w:t>Femmes CA %</w:t>
            </w:r>
          </w:p>
        </w:tc>
        <w:tc>
          <w:tcPr>
            <w:tcW w:type="dxa" w:w="3135"/>
            <w:shd w:val="clear" w:fill="EBF2FB"/>
          </w:tcPr>
          <w:p>
            <w:pPr>
              <w:jc w:val="center"/>
            </w:pPr>
            <w:r>
              <w:rPr>
                <w:b/>
                <w:color w:val="2E86C1"/>
                <w:sz w:val="18"/>
              </w:rPr>
              <w:t>Indépendants %</w:t>
            </w:r>
          </w:p>
        </w:tc>
      </w:tr>
      <w:tr>
        <w:tc>
          <w:tcPr>
            <w:tcW w:type="dxa" w:w="3135"/>
          </w:tcPr>
          <w:p>
            <w:pPr>
              <w:jc w:val="center"/>
            </w:pPr>
            <w:r>
              <w:rPr>
                <w:b/>
                <w:color w:val="1B3A6B"/>
                <w:sz w:val="32"/>
              </w:rPr>
              <w:t>9</w:t>
            </w:r>
          </w:p>
        </w:tc>
        <w:tc>
          <w:tcPr>
            <w:tcW w:type="dxa" w:w="3135"/>
          </w:tcPr>
          <w:p>
            <w:pPr>
              <w:jc w:val="center"/>
            </w:pPr>
            <w:r>
              <w:rPr>
                <w:b/>
                <w:color w:val="1B3A6B"/>
                <w:sz w:val="32"/>
              </w:rPr>
              <w:t>44.0%</w:t>
            </w:r>
          </w:p>
        </w:tc>
        <w:tc>
          <w:tcPr>
            <w:tcW w:type="dxa" w:w="3135"/>
          </w:tcPr>
          <w:p>
            <w:pPr>
              <w:jc w:val="center"/>
            </w:pPr>
            <w:r>
              <w:rPr>
                <w:b/>
                <w:color w:val="1B3A6B"/>
                <w:sz w:val="32"/>
              </w:rPr>
              <w:t>45.0%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Audit ESG</w:t>
            </w:r>
          </w:p>
        </w:tc>
        <w:tc>
          <w:tcPr>
            <w:tcW w:type="dxa" w:w="3135"/>
            <w:shd w:val="clear" w:fill="EBF2FB"/>
          </w:tcPr>
          <w:p>
            <w:pPr>
              <w:jc w:val="center"/>
            </w:pPr>
            <w:r>
              <w:rPr>
                <w:b/>
                <w:color w:val="2E86C1"/>
                <w:sz w:val="18"/>
              </w:rPr>
              <w:t>Comité durable</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Non</w:t>
            </w:r>
          </w:p>
        </w:tc>
        <w:tc>
          <w:tcPr>
            <w:tcW w:type="dxa" w:w="3135"/>
          </w:tcPr>
          <w:p>
            <w:pPr>
              <w:jc w:val="center"/>
            </w:pPr>
            <w:r>
              <w:rPr>
                <w:b/>
                <w:color w:val="1B3A6B"/>
                <w:sz w:val="32"/>
              </w:rPr>
              <w:t>Oui</w:t>
            </w:r>
          </w:p>
        </w:tc>
        <w:tc>
          <w:tcPr>
            <w:tcW w:type="dxa" w:w="3135"/>
          </w:tcPr>
          <w:p>
            <w:pPr>
              <w:jc w:val="center"/>
            </w:pPr>
            <w:r>
              <w:rPr>
                <w:b/>
                <w:color w:val="1B3A6B"/>
                <w:sz w:val="32"/>
              </w:rPr>
            </w:r>
          </w:p>
        </w:tc>
      </w:tr>
    </w:tbl>
    <w:p/>
    <w:p>
      <w:r>
        <w:br w:type="page"/>
      </w:r>
    </w:p>
    <w:p>
      <w:pPr>
        <w:spacing w:before="280" w:after="120"/>
        <w:jc w:val="left"/>
      </w:pPr>
      <w:r>
        <w:rPr>
          <w:rFonts w:ascii="Calibri" w:hAnsi="Calibri"/>
          <w:b/>
          <w:color w:val="1B3A6B"/>
          <w:sz w:val="44"/>
        </w:rPr>
        <w:t>5. Analyses de Durabilité (CSRD / ESRS)</w:t>
      </w:r>
    </w:p>
    <w:p>
      <w:pPr>
        <w:spacing w:before="0" w:after="160"/>
        <w:pBdr>
          <w:bottom w:val="single" w:sz="4" w:space="1" w:color="2E86C1"/>
        </w:pBdr>
      </w:pPr>
    </w:p>
    <w:p>
      <w:pPr>
        <w:spacing w:before="280" w:after="120"/>
        <w:jc w:val="left"/>
      </w:pPr>
      <w:r>
        <w:rPr>
          <w:rFonts w:ascii="Calibri" w:hAnsi="Calibri"/>
          <w:b/>
          <w:color w:val="2E86C1"/>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Calibri" w:hAnsi="Calibri"/>
          <w:b/>
          <w:color w:val="2E86C1"/>
          <w:sz w:val="34"/>
        </w:rPr>
        <w:t>Objectifs &amp; trajectoire</w:t>
      </w:r>
    </w:p>
    <w:p>
      <w:pPr>
        <w:spacing w:after="120"/>
      </w:pPr>
      <w:r>
        <w:t>À la date de ce rapport, Acme Industries n'a pas communiqué d'objectifs de durabilité chiffrés à horizon 2030 : ni trajectoire de réduction des émissions, ni cible de progression par pilier. Le bilan d'émissions étant établi pour l'exercice 2025, il fournit l'année de référence à partir de laquelle une trajectoire de réduction peut être définie. La norme ESRS E1-4 demande de publier si et comment des cibles de réduction ont été fixées — leur absence, documentée comme telle, relève de cette même exigence de transparence.</w:t>
      </w:r>
    </w:p>
    <w:p>
      <w:pPr>
        <w:spacing w:before="280" w:after="120"/>
        <w:jc w:val="left"/>
      </w:pPr>
      <w:r>
        <w:rPr>
          <w:rFonts w:ascii="Calibri" w:hAnsi="Calibri"/>
          <w:b/>
          <w:color w:val="2E86C1"/>
          <w:sz w:val="34"/>
        </w:rPr>
        <w:t>Taxonomie européenne</w:t>
      </w:r>
    </w:p>
    <w:p>
      <w:pPr>
        <w:spacing w:after="120"/>
      </w:pPr>
      <w:r>
        <w:t>Au titre du règlement Taxonomie de l'Union européenne, Acme Industries déclare la part de ses activités durables sur le plan environnemental : 38% du chiffre d'affaires, 52% des CapEx, 20% des OpEx alignés. Ces parts sont celles déclarées par l'entreprise. L'alignement au sens du règlement suppose une contribution substantielle à au moins un objectif environnemental, le respect du principe DNSH (« ne pas causer de préjudice important ») et des garanties minimales sociales — diligence raisonnable au sens des Principes directeurs de l'OCDE et des Nations unies. Ces trois conditions ne sont pas évaluées dans ce rapport. Le CapEx aligné, prospectif, renseigne sur la trajectoire d'investissement déclarée.</w:t>
      </w:r>
    </w:p>
    <w:p>
      <w:pPr>
        <w:spacing w:before="280" w:after="120"/>
        <w:jc w:val="left"/>
      </w:pPr>
      <w:r>
        <w:rPr>
          <w:rFonts w:ascii="Calibri" w:hAnsi="Calibri"/>
          <w:b/>
          <w:color w:val="2E86C1"/>
          <w:sz w:val="34"/>
        </w:rPr>
        <w:t>Risques climatiques (TCFD)</w:t>
      </w:r>
    </w:p>
    <w:p>
      <w:pPr>
        <w:spacing w:after="160"/>
      </w:pPr>
      <w:r>
        <w:t>Structurée selon la logique TCFD et les catégories de la norme ESRS E1 (E1-9), cette section examine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Calibri" w:hAnsi="Calibri"/>
          <w:b/>
          <w:color w:val="1B3A6B"/>
          <w:sz w:val="44"/>
        </w:rPr>
        <w:t>6. Analyse Stratégique</w:t>
      </w:r>
    </w:p>
    <w:p>
      <w:pPr>
        <w:spacing w:before="0" w:after="160"/>
        <w:pBdr>
          <w:bottom w:val="single" w:sz="4" w:space="1" w:color="F39C12"/>
        </w:pBdr>
      </w:pPr>
    </w:p>
    <w:p>
      <w:pPr>
        <w:spacing w:after="120"/>
      </w:pPr>
      <w:r>
        <w:rPr>
          <w:b/>
          <w:color w:val="F39C12"/>
          <w:sz w:val="25"/>
        </w:rPr>
        <w:t>5 forces établies, 5 leviers de progression</w:t>
      </w:r>
    </w:p>
    <w:p>
      <w:pPr>
        <w:spacing w:before="280" w:after="120"/>
        <w:jc w:val="left"/>
      </w:pPr>
      <w:r>
        <w:rPr>
          <w:rFonts w:ascii="Calibri" w:hAnsi="Calibri"/>
          <w:b/>
          <w:color w:val="27AE60"/>
          <w:sz w:val="34"/>
        </w:rPr>
        <w:t>Points Forts</w:t>
      </w:r>
    </w:p>
    <w:p>
      <w:pPr>
        <w:spacing w:after="60"/>
        <w:ind w:left="283"/>
      </w:pPr>
      <w:r>
        <w:rPr>
          <w:color w:val="27AE60"/>
          <w:sz w:val="20"/>
        </w:rPr>
        <w:t xml:space="preserve">✅  </w:t>
      </w:r>
      <w:r>
        <w:rPr>
          <w:sz w:val="20"/>
        </w:rPr>
        <w:t>Excellente performance environnementale globale</w:t>
      </w:r>
    </w:p>
    <w:p>
      <w:pPr>
        <w:spacing w:after="60"/>
        <w:ind w:left="283"/>
      </w:pPr>
      <w:r>
        <w:rPr>
          <w:color w:val="27AE60"/>
          <w:sz w:val="20"/>
        </w:rPr>
        <w:t xml:space="preserve">✅  </w:t>
      </w:r>
      <w:r>
        <w:rPr>
          <w:sz w:val="20"/>
        </w:rPr>
        <w:t>Comité de durabilité opérationnel au niveau du CA</w:t>
      </w:r>
    </w:p>
    <w:p>
      <w:pPr>
        <w:spacing w:after="60"/>
        <w:ind w:left="283"/>
      </w:pPr>
      <w:r>
        <w:rPr>
          <w:color w:val="27AE60"/>
          <w:sz w:val="20"/>
        </w:rPr>
        <w:t xml:space="preserve">✅  </w:t>
      </w:r>
      <w:r>
        <w:rPr>
          <w:sz w:val="20"/>
        </w:rPr>
        <w:t>Parité exemplaire au Conseil d'Administration (44%)</w:t>
      </w:r>
    </w:p>
    <w:p>
      <w:pPr>
        <w:spacing w:after="60"/>
        <w:ind w:left="283"/>
      </w:pPr>
      <w:r>
        <w:rPr>
          <w:color w:val="27AE60"/>
          <w:sz w:val="20"/>
        </w:rPr>
        <w:t xml:space="preserve">✅  </w:t>
      </w:r>
      <w:r>
        <w:rPr>
          <w:sz w:val="20"/>
        </w:rPr>
        <w:t>Gouvernance de haute qualité et transparente</w:t>
      </w:r>
    </w:p>
    <w:p>
      <w:pPr>
        <w:spacing w:after="60"/>
        <w:ind w:left="283"/>
      </w:pPr>
      <w:r>
        <w:rPr>
          <w:color w:val="27AE60"/>
          <w:sz w:val="20"/>
        </w:rPr>
        <w:t xml:space="preserve">✅  </w:t>
      </w:r>
      <w:r>
        <w:rPr>
          <w:sz w:val="20"/>
        </w:rPr>
        <w:t>Reporting complet des émissions Scope 1, 2 et 3</w:t>
      </w:r>
    </w:p>
    <w:p>
      <w:pPr>
        <w:spacing w:before="280" w:after="120"/>
        <w:jc w:val="left"/>
      </w:pPr>
      <w:r>
        <w:rPr>
          <w:rFonts w:ascii="Calibri" w:hAnsi="Calibri"/>
          <w:b/>
          <w:color w:val="E74C3C"/>
          <w:sz w:val="34"/>
        </w:rPr>
        <w:t>Axes d'Amélioration</w:t>
      </w:r>
    </w:p>
    <w:p>
      <w:pPr>
        <w:spacing w:after="60"/>
        <w:ind w:left="283"/>
      </w:pPr>
      <w:r>
        <w:rPr>
          <w:color w:val="E74C3C"/>
          <w:sz w:val="20"/>
        </w:rPr>
        <w:t xml:space="preserve">⚠️  </w:t>
      </w:r>
      <w:r>
        <w:rPr>
          <w:sz w:val="20"/>
        </w:rPr>
        <w:t>Énergie renouvelable à renforcer (actuellement 42%, objectif 50%)</w:t>
      </w:r>
    </w:p>
    <w:p>
      <w:pPr>
        <w:spacing w:after="60"/>
        <w:ind w:left="283"/>
      </w:pPr>
      <w:r>
        <w:rPr>
          <w:color w:val="E74C3C"/>
          <w:sz w:val="20"/>
        </w:rPr>
        <w:t xml:space="preserve">⚠️  </w:t>
      </w:r>
      <w:r>
        <w:rPr>
          <w:sz w:val="20"/>
        </w:rPr>
        <w:t>Déséquilibre de genre dans les effectifs (34% de femmes)</w:t>
      </w:r>
    </w:p>
    <w:p>
      <w:pPr>
        <w:spacing w:after="60"/>
        <w:ind w:left="283"/>
      </w:pPr>
      <w:r>
        <w:rPr>
          <w:color w:val="E74C3C"/>
          <w:sz w:val="20"/>
        </w:rPr>
        <w:t xml:space="preserve">⚠️  </w:t>
      </w:r>
      <w:r>
        <w:rPr>
          <w:sz w:val="20"/>
        </w:rPr>
        <w:t>Taux de fréquence des accidents élevé (TF 6.2)</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Calibri" w:hAnsi="Calibri"/>
          <w:b/>
          <w:color w:val="1B3A6B"/>
          <w:sz w:val="44"/>
        </w:rPr>
        <w:t>7. Recommandations Prioritaires</w:t>
      </w:r>
    </w:p>
    <w:p>
      <w:pPr>
        <w:spacing w:before="0" w:after="160"/>
        <w:pBdr>
          <w:bottom w:val="single" w:sz="4" w:space="1" w:color="F39C12"/>
        </w:pBdr>
      </w:pPr>
    </w:p>
    <w:p>
      <w:pPr>
        <w:spacing w:after="20"/>
      </w:pPr>
      <w:r>
        <w:rPr>
          <w:b/>
          <w:color w:val="F39C12"/>
        </w:rPr>
        <w:t xml:space="preserve">1.  </w:t>
      </w:r>
      <w:r>
        <w:rPr>
          <w:b/>
          <w:sz w:val="21"/>
        </w:rPr>
        <w:t>Augmenter la part d'énergie renouvelable à 50%</w:t>
      </w:r>
    </w:p>
    <w:p>
      <w:pPr>
        <w:spacing w:after="120"/>
        <w:ind w:left="397"/>
      </w:pPr>
      <w:r>
        <w:rPr>
          <w:sz w:val="19"/>
        </w:rPr>
        <w:t>Réduit les émissions Scope 2 et l'exposition aux prix de l'énergie ; premier levier d'une trajectoire de réduction.</w:t>
      </w:r>
      <w:r>
        <w:rPr>
          <w:color w:val="7F8C8D"/>
          <w:sz w:val="17"/>
        </w:rPr>
        <w:br/>
        <w:t>Objectif : 50 % d'énergie renouvelable dans le mix  ·  Responsable : Direction des opérations  ·  2027</w:t>
      </w:r>
    </w:p>
    <w:p>
      <w:pPr>
        <w:spacing w:after="20"/>
      </w:pPr>
      <w:r>
        <w:rPr>
          <w:b/>
          <w:color w:val="F39C12"/>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F39C12"/>
        </w:rPr>
        <w:t xml:space="preserve">3.  </w:t>
      </w:r>
      <w:r>
        <w:rPr>
          <w:b/>
          <w:sz w:val="21"/>
        </w:rPr>
        <w:t>Commander un audit ESG indépendant annuel</w:t>
      </w:r>
    </w:p>
    <w:p>
      <w:pPr>
        <w:spacing w:after="120"/>
        <w:ind w:left="397"/>
      </w:pPr>
      <w:r>
        <w:rPr>
          <w:sz w:val="19"/>
        </w:rPr>
        <w:t>Apporte l'assurance d'un tiers désormais requise par la CSRD ; renforce la confiance des investisseurs.</w:t>
      </w:r>
      <w:r>
        <w:rPr>
          <w:color w:val="7F8C8D"/>
          <w:sz w:val="17"/>
        </w:rPr>
        <w:br/>
        <w:t>Objectif : Assurance limitée obtenue sur le reporting  ·  Responsable : Direction générale  ·  Annuel</w:t>
      </w:r>
    </w:p>
    <w:p>
      <w:pPr>
        <w:spacing w:after="20"/>
      </w:pPr>
      <w:r>
        <w:rPr>
          <w:b/>
          <w:color w:val="F39C12"/>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Calibri" w:hAnsi="Calibri"/>
          <w:b/>
          <w:color w:val="1B3A6B"/>
          <w:sz w:val="44"/>
        </w:rPr>
        <w:t>Diagnostic stratégique &amp; positionnement</w:t>
      </w:r>
    </w:p>
    <w:p>
      <w:pPr>
        <w:spacing w:before="0" w:after="160"/>
        <w:pBdr>
          <w:bottom w:val="single" w:sz="4" w:space="1" w:color="F39C12"/>
        </w:pBdr>
      </w:pPr>
    </w:p>
    <w:p>
      <w:r>
        <w:rPr>
          <w:b/>
          <w:color w:val="2E86C1"/>
          <w:sz w:val="24"/>
        </w:rPr>
        <w:t>La gouvernance est le point fort d'Acme Industries, le social sa priorité</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Pilier</w:t>
            </w:r>
          </w:p>
        </w:tc>
        <w:tc>
          <w:tcPr>
            <w:tcW w:type="dxa" w:w="2351"/>
            <w:shd w:val="clear" w:fill="1B3A6B"/>
          </w:tcPr>
          <w:p>
            <w:r>
              <w:rPr>
                <w:b/>
                <w:color w:val="FFFFFF"/>
                <w:sz w:val="18"/>
              </w:rPr>
              <w:t>Score</w:t>
            </w:r>
          </w:p>
        </w:tc>
        <w:tc>
          <w:tcPr>
            <w:tcW w:type="dxa" w:w="2351"/>
            <w:shd w:val="clear" w:fill="1B3A6B"/>
          </w:tcPr>
          <w:p>
            <w:r>
              <w:rPr>
                <w:b/>
                <w:color w:val="FFFFFF"/>
                <w:sz w:val="18"/>
              </w:rPr>
              <w:t>Écart au meilleur</w:t>
            </w:r>
          </w:p>
        </w:tc>
        <w:tc>
          <w:tcPr>
            <w:tcW w:type="dxa" w:w="2351"/>
            <w:shd w:val="clear" w:fill="1B3A6B"/>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55</w:t>
            </w:r>
          </w:p>
        </w:tc>
        <w:tc>
          <w:tcPr>
            <w:tcW w:type="dxa" w:w="2351"/>
          </w:tcPr>
          <w:p>
            <w:r>
              <w:rPr>
                <w:sz w:val="19"/>
              </w:rPr>
              <w:t>-20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66</w:t>
            </w:r>
          </w:p>
        </w:tc>
        <w:tc>
          <w:tcPr>
            <w:tcW w:type="dxa" w:w="2351"/>
          </w:tcPr>
          <w:p>
            <w:r>
              <w:rPr>
                <w:sz w:val="19"/>
              </w:rPr>
            </w:r>
          </w:p>
        </w:tc>
        <w:tc>
          <w:tcPr>
            <w:tcW w:type="dxa" w:w="2351"/>
          </w:tcPr>
          <w:p>
            <w:r>
              <w:rPr>
                <w:b/>
                <w:color w:val="2E7D32"/>
                <w:sz w:val="19"/>
              </w:rPr>
              <w:t>A</w:t>
            </w:r>
          </w:p>
        </w:tc>
      </w:tr>
    </w:tbl>
    <w:p>
      <w:pPr>
        <w:spacing w:before="120"/>
        <w:shd w:val="clear" w:fill="EBF2FB"/>
      </w:pPr>
      <w:r>
        <w:rPr>
          <w:sz w:val="20"/>
        </w:rPr>
        <w:t>20 points séparent votre pilier le plus solide du plus fragile — l'écart interne à réduire en priorité.</w:t>
      </w:r>
    </w:p>
    <w:p>
      <w:pPr>
        <w:spacing w:before="160"/>
      </w:pPr>
      <w:r>
        <w:rPr>
          <w:b/>
          <w:color w:val="2E86C1"/>
          <w:sz w:val="22"/>
        </w:rPr>
        <w:t>Niveau de maturité ESG : Structurée (2/5)</w:t>
      </w:r>
    </w:p>
    <w:p>
      <w:r>
        <w:t>Pour franchir le cap suivant : faire auditer le reporting.</w:t>
      </w:r>
    </w:p>
    <w:p>
      <w:pPr>
        <w:spacing w:before="280" w:after="120"/>
        <w:jc w:val="left"/>
      </w:pPr>
      <w:r>
        <w:rPr>
          <w:rFonts w:ascii="Calibri" w:hAnsi="Calibri"/>
          <w:b/>
          <w:color w:val="2E86C1"/>
          <w:sz w:val="34"/>
        </w:rPr>
        <w:t>Couverture des exigences de reporting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Exigence</w:t>
            </w:r>
          </w:p>
        </w:tc>
        <w:tc>
          <w:tcPr>
            <w:tcW w:type="dxa" w:w="2351"/>
            <w:shd w:val="clear" w:fill="1B3A6B"/>
          </w:tcPr>
          <w:p>
            <w:r>
              <w:rPr>
                <w:b/>
                <w:color w:val="FFFFFF"/>
                <w:sz w:val="18"/>
              </w:rPr>
              <w:t>Référence</w:t>
            </w:r>
          </w:p>
        </w:tc>
        <w:tc>
          <w:tcPr>
            <w:tcW w:type="dxa" w:w="2351"/>
            <w:shd w:val="clear" w:fill="1B3A6B"/>
          </w:tcPr>
          <w:p>
            <w:r>
              <w:rPr>
                <w:b/>
                <w:color w:val="FFFFFF"/>
                <w:sz w:val="18"/>
              </w:rPr>
              <w:t>Statut</w:t>
            </w:r>
          </w:p>
        </w:tc>
        <w:tc>
          <w:tcPr>
            <w:tcW w:type="dxa" w:w="2351"/>
            <w:shd w:val="clear" w:fill="1B3A6B"/>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37474F"/>
                <w:sz w:val="18"/>
              </w:rPr>
              <w:t>Publié</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37474F"/>
                <w:sz w:val="18"/>
              </w:rPr>
              <w:t>Publié</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publié</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37474F"/>
                <w:sz w:val="18"/>
              </w:rPr>
              <w:t>Publié</w:t>
            </w:r>
          </w:p>
        </w:tc>
        <w:tc>
          <w:tcPr>
            <w:tcW w:type="dxa" w:w="2351"/>
          </w:tcPr>
          <w:p>
            <w:r>
              <w:rPr>
                <w:sz w:val="18"/>
              </w:rPr>
              <w:t>Comité de durabilité en place</w:t>
            </w:r>
          </w:p>
        </w:tc>
      </w:tr>
      <w:tr>
        <w:tc>
          <w:tcPr>
            <w:tcW w:type="dxa" w:w="2351"/>
          </w:tcPr>
          <w:p>
            <w:r>
              <w:rPr>
                <w:b/>
                <w:sz w:val="18"/>
              </w:rPr>
              <w:t>Indépendance du conseil (AFEP-MEDEF, appliquer ou expliquer)</w:t>
            </w:r>
          </w:p>
        </w:tc>
        <w:tc>
          <w:tcPr>
            <w:tcW w:type="dxa" w:w="2351"/>
          </w:tcPr>
          <w:p>
            <w:r>
              <w:rPr>
                <w:sz w:val="18"/>
              </w:rPr>
              <w:t>AFEP-MEDEF</w:t>
            </w:r>
          </w:p>
        </w:tc>
        <w:tc>
          <w:tcPr>
            <w:tcW w:type="dxa" w:w="2351"/>
          </w:tcPr>
          <w:p>
            <w:r>
              <w:rPr>
                <w:b/>
                <w:color w:val="D97706"/>
                <w:sz w:val="18"/>
              </w:rPr>
              <w:t>Sous le seuil</w:t>
            </w:r>
          </w:p>
        </w:tc>
        <w:tc>
          <w:tcPr>
            <w:tcW w:type="dxa" w:w="2351"/>
          </w:tcPr>
          <w:p>
            <w:r>
              <w:rPr>
                <w:sz w:val="18"/>
              </w:rPr>
              <w:t>45 % d'administrateurs indépendants</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37474F"/>
                <w:sz w:val="18"/>
              </w:rPr>
              <w:t>Publié</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7F8C8D"/>
                <w:sz w:val="18"/>
              </w:rPr>
              <w:t>Non couvert par ce reporting</w:t>
            </w:r>
          </w:p>
        </w:tc>
        <w:tc>
          <w:tcPr>
            <w:tcW w:type="dxa" w:w="2351"/>
          </w:tcPr>
          <w:p>
            <w:r>
              <w:rPr>
                <w:sz w:val="18"/>
              </w:rPr>
              <w:t>Cibles climatiques non documentées dans ce reporting</w:t>
            </w:r>
          </w:p>
        </w:tc>
      </w:tr>
    </w:tbl>
    <w:p/>
    <w:p>
      <w:pPr>
        <w:spacing w:before="280" w:after="120"/>
        <w:jc w:val="left"/>
      </w:pPr>
      <w:r>
        <w:rPr>
          <w:rFonts w:ascii="Calibri" w:hAnsi="Calibri"/>
          <w:b/>
          <w:color w:val="E74C3C"/>
          <w:sz w:val="34"/>
        </w:rPr>
        <w:t>Risques majeurs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[P1] Opérationnel — Sinistralité élevée : risque humain et social (impact : élevé · probabilité : probable)</w:t>
      </w:r>
    </w:p>
    <w:p>
      <w:pPr>
        <w:spacing w:after="60"/>
        <w:ind w:left="283"/>
      </w:pPr>
      <w:r>
        <w:rPr>
          <w:color w:val="E74C3C"/>
          <w:sz w:val="20"/>
        </w:rPr>
        <w:t xml:space="preserve">▪  </w:t>
      </w:r>
      <w:r>
        <w:rPr>
          <w:sz w:val="20"/>
        </w:rPr>
        <w:t>[P2] Transition — Intensité carbone élevée : marge exposée à la tarification du carbone (impact : élevé · probabilité : possible)</w:t>
      </w:r>
    </w:p>
    <w:p>
      <w:pPr>
        <w:spacing w:after="60"/>
        <w:ind w:left="283"/>
      </w:pPr>
      <w:r>
        <w:rPr>
          <w:color w:val="E74C3C"/>
          <w:sz w:val="20"/>
        </w:rPr>
        <w:t xml:space="preserve">▪  </w:t>
      </w:r>
      <w:r>
        <w:rPr>
          <w:sz w:val="20"/>
        </w:rPr>
        <w:t>[P2] Réglementaire — Parité sous la cible : risque réglementaire et d'attractivité (impact : modéré · probabilité : probable)</w:t>
      </w:r>
    </w:p>
    <w:p>
      <w:pPr>
        <w:spacing w:before="280" w:after="120"/>
        <w:jc w:val="left"/>
      </w:pPr>
      <w:r>
        <w:rPr>
          <w:rFonts w:ascii="Calibri" w:hAnsi="Calibri"/>
          <w:b/>
          <w:color w:val="27AE60"/>
          <w:sz w:val="34"/>
        </w:rPr>
        <w:t>Opportunités majeures</w:t>
      </w:r>
    </w:p>
    <w:p>
      <w:pPr>
        <w:spacing w:after="60"/>
        <w:ind w:left="283"/>
      </w:pPr>
      <w:r>
        <w:rPr>
          <w:color w:val="27AE60"/>
          <w:sz w:val="20"/>
        </w:rPr>
        <w:t xml:space="preserve">▪  </w:t>
      </w:r>
      <w:r>
        <w:rPr>
          <w:sz w:val="20"/>
        </w:rPr>
        <w:t>Financement — Gouvernance solide : accès facilité aux financements ESG (green bonds, prêts indexés)</w:t>
      </w:r>
    </w:p>
    <w:p>
      <w:pPr>
        <w:spacing w:after="60"/>
        <w:ind w:left="283"/>
      </w:pPr>
      <w:r>
        <w:rPr>
          <w:color w:val="27AE60"/>
          <w:sz w:val="20"/>
        </w:rPr>
        <w:t xml:space="preserve">▪  </w:t>
      </w:r>
      <w:r>
        <w:rPr>
          <w:sz w:val="20"/>
        </w:rPr>
        <w:t>Financement — Activités alignées Taxonomie : éligibilité aux financements verts</w:t>
      </w:r>
    </w:p>
    <w:p>
      <w:pPr>
        <w:spacing w:after="60"/>
        <w:ind w:left="283"/>
      </w:pPr>
      <w:r>
        <w:rPr>
          <w:color w:val="27AE60"/>
          <w:sz w:val="20"/>
        </w:rPr>
        <w:t xml:space="preserve">▪  </w:t>
      </w:r>
      <w:r>
        <w:rPr>
          <w:sz w:val="20"/>
        </w:rPr>
        <w:t>Coûts — Mix renouvelable engagé : réduction des coûts énergétiques à terme</w:t>
      </w:r>
    </w:p>
    <w:p>
      <w:pPr>
        <w:spacing w:after="60"/>
        <w:ind w:left="283"/>
      </w:pPr>
      <w:r>
        <w:rPr>
          <w:color w:val="27AE60"/>
          <w:sz w:val="20"/>
        </w:rPr>
        <w:t xml:space="preserve">▪  </w:t>
      </w:r>
      <w:r>
        <w:rPr>
          <w:sz w:val="20"/>
        </w:rPr>
        <w:t>Talents — Politique sociale : marque employeur et rétention des talents renforcées</w:t>
      </w:r>
    </w:p>
    <w:p>
      <w:pPr>
        <w:spacing w:before="280" w:after="120"/>
        <w:jc w:val="left"/>
      </w:pPr>
      <w:r>
        <w:rPr>
          <w:rFonts w:ascii="Calibri" w:hAnsi="Calibri"/>
          <w:b/>
          <w:color w:val="F39C12"/>
          <w:sz w:val="34"/>
        </w:rPr>
        <w:t>Un plan d'action ESG sur 12 mois</w:t>
      </w:r>
    </w:p>
    <w:p>
      <w:r>
        <w:rPr>
          <w:b/>
          <w:color w:val="1B3A6B"/>
          <w:sz w:val="21"/>
        </w:rPr>
        <w:t>0-3 mois — Quick wins &amp; fondations</w:t>
      </w:r>
    </w:p>
    <w:p>
      <w:pPr>
        <w:pStyle w:val="ListBullet"/>
      </w:pPr>
      <w:r>
        <w:rPr>
          <w:sz w:val="20"/>
        </w:rPr>
        <w:t>Commander un audit ESG indépendant annuel</w:t>
      </w:r>
      <w:r>
        <w:rPr>
          <w:b/>
          <w:color w:val="F39C12"/>
          <w:sz w:val="16"/>
        </w:rPr>
        <w:t xml:space="preserve">  [QUICK WIN]</w:t>
      </w:r>
    </w:p>
    <w:p>
      <w:r>
        <w:rPr>
          <w:b/>
          <w:color w:val="1B3A6B"/>
          <w:sz w:val="21"/>
        </w:rPr>
        <w:t>3-6 mois — Structuration</w:t>
      </w:r>
    </w:p>
    <w:p>
      <w:pPr>
        <w:pStyle w:val="ListBullet"/>
      </w:pPr>
      <w:r>
        <w:rPr>
          <w:sz w:val="20"/>
        </w:rPr>
        <w:t>Définir des objectifs chiffrés de parité femme-homme</w:t>
      </w:r>
      <w:r>
        <w:rPr>
          <w:b/>
          <w:color w:val="F39C12"/>
          <w:sz w:val="16"/>
        </w:rPr>
        <w:t xml:space="preserve">  [QUICK WIN]</w:t>
      </w:r>
    </w:p>
    <w:p>
      <w:pPr>
        <w:pStyle w:val="ListBullet"/>
      </w:pPr>
      <w:r>
        <w:rPr>
          <w:sz w:val="20"/>
        </w:rPr>
        <w:t>Aligner la stratégie ESG sur les ODD &amp; la TCFD</w:t>
      </w:r>
    </w:p>
    <w:p>
      <w:r>
        <w:rPr>
          <w:b/>
          <w:color w:val="1B3A6B"/>
          <w:sz w:val="21"/>
        </w:rPr>
        <w:t>6-12 mois — Deploiement</w:t>
      </w:r>
    </w:p>
    <w:p>
      <w:pPr>
        <w:pStyle w:val="ListBullet"/>
      </w:pPr>
      <w:r>
        <w:rPr>
          <w:sz w:val="20"/>
        </w:rPr>
        <w:t>Augmenter la part d'énergie renouvelable à 50%</w:t>
      </w:r>
    </w:p>
    <w:p>
      <w:r>
        <w:br w:type="page"/>
      </w:r>
    </w:p>
    <w:p>
      <w:pPr>
        <w:spacing w:before="280" w:after="120"/>
        <w:jc w:val="left"/>
      </w:pPr>
      <w:r>
        <w:rPr>
          <w:rFonts w:ascii="Calibri" w:hAnsi="Calibri"/>
          <w:b/>
          <w:color w:val="1B3A6B"/>
          <w:sz w:val="44"/>
        </w:rPr>
        <w:t>8. Conclusion</w:t>
      </w:r>
    </w:p>
    <w:p>
      <w:pPr>
        <w:spacing w:before="0" w:after="160"/>
        <w:pBdr>
          <w:bottom w:val="single" w:sz="4" w:space="1" w:color="1B3A6B"/>
        </w:pBdr>
      </w:pPr>
    </w:p>
    <w:p>
      <w:r>
        <w:t>Fort d'un score ESG de 66.0/100 (A), Acme Industries amorce une dynamique positive sur l'ensemble des piliers ESG. L'analyse met en lumière cinq points forts consolidés et cinq axes d'amélioration prioritaires. Portée par ces premiers résultats, Acme Industries structure une trajectoire de progrès sur les prochains exercices, en s'appuyant sur les 4 recommandations formulées comme feuille de route opérationnelle. L'organisation réaffirme son engagement envers un reporting transparent et rigoureux, selon le référentiel de reporting visé pour cet exercice.</w:t>
      </w:r>
    </w:p>
    <w:p>
      <w:pPr>
        <w:spacing w:before="280" w:after="120"/>
        <w:jc w:val="left"/>
      </w:pPr>
      <w:r>
        <w:rPr>
          <w:rFonts w:ascii="Calibri" w:hAnsi="Calibri"/>
          <w:b/>
          <w:color w:val="2E86C1"/>
          <w:sz w:val="34"/>
        </w:rPr>
        <w:t>Note méthodologique</w:t>
      </w:r>
    </w:p>
    <w:p>
      <w:pPr>
        <w:shd w:val="clear" w:fill="EBF2FB"/>
      </w:pPr>
      <w:r>
        <w:rPr>
          <w:color w:val="5A6572"/>
          <w:sz w:val="17"/>
        </w:rPr>
        <w:t>Périmètre et méthodologie du reporting. Référentiel visé : CSRD / ESRS.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sur une GRILLE DE NOTATION INTERNE, propre à l'outil : ses seuils ont été définis en interne et ne sont adossés à aucun référentiel externe publié. L'intensité carbone est notée sur une grille différenciée par famille sectorielle (services, industrie, transport, énergie…), elle aussi interne. Le score global est la moyenne pondérée des trois piliers, et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Périmètre : ce rapport documente les indicateurs collectés pour l'exercice — bilan d'émissions par scope, indicateurs sociaux et de gouvernance, et parts déclarées comme alignées à la Taxonomie UE lorsqu'elles sont renseignées. Il ne constitue ni une vérification par un tiers, ni une déclaration de conformité à un cadre de reporting, ni un engagement de l'organisation. Limites : certains indicateurs reposent sur des données déclaratives et des estimations ; ils sont affinés à mesure que les dispositifs de mesure gagnent en maturité. Les points de données suivants restent à consolider : la vérification par un tiers indépendant, requise par la CSRD (assurance limitée).</w:t>
      </w:r>
    </w:p>
    <w:p>
      <w:pPr>
        <w:spacing w:before="280" w:after="120"/>
        <w:jc w:val="left"/>
      </w:pPr>
      <w:r>
        <w:rPr>
          <w:rFonts w:ascii="Calibri" w:hAnsi="Calibri"/>
          <w:b/>
          <w:color w:val="2E86C1"/>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B3A6B"/>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B3A6B"/>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B3A6B"/>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B3A6B"/>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B3A6B"/>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B3A6B"/>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B3A6B"/>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B3A6B"/>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B3A6B"/>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B3A6B"/>
                <w:sz w:val="17"/>
              </w:rPr>
              <w:t>Assurance limitée</w:t>
            </w:r>
          </w:p>
        </w:tc>
        <w:tc>
          <w:tcPr>
            <w:tcW w:type="dxa" w:w="4703"/>
          </w:tcPr>
          <w:p>
            <w:r>
              <w:rPr>
                <w:sz w:val="17"/>
              </w:rPr>
              <w:t>Niveau de vérification par un tiers indépendant requis par la CSRD : le vérificateur conclut qu'il n'a pas relevé d'anomalie significative, sans l'audit approfondi que suppose une assurance raisonnable.</w:t>
            </w:r>
          </w:p>
        </w:tc>
      </w:tr>
      <w:tr>
        <w:tc>
          <w:tcPr>
            <w:tcW w:type="dxa" w:w="4703"/>
          </w:tcPr>
          <w:p>
            <w:r>
              <w:rPr>
                <w:b/>
                <w:color w:val="1B3A6B"/>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