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Georgia" w:hAnsi="Georgia"/>
          <w:b/>
          <w:color w:val="1F3D33"/>
          <w:sz w:val="64"/>
        </w:rPr>
        <w:t>ACME INDUSTRIES</w:t>
      </w:r>
    </w:p>
    <w:p>
      <w:pPr>
        <w:spacing w:before="0" w:after="160"/>
        <w:pBdr>
          <w:bottom w:val="single" w:sz="4" w:space="1" w:color="2E5A4B"/>
        </w:pBdr>
      </w:pPr>
    </w:p>
    <w:p>
      <w:r>
        <w:rPr>
          <w:b/>
          <w:color w:val="5F6B64"/>
          <w:sz w:val="36"/>
        </w:rPr>
        <w:t>Rapport ESG Complet</w:t>
      </w:r>
    </w:p>
    <w:p>
      <w:pPr>
        <w:spacing w:after="160"/>
      </w:pPr>
      <w:r>
        <w:rPr>
          <w:color w:val="7F8C8D"/>
          <w:sz w:val="22"/>
        </w:rPr>
        <w:t>Exercice 2025  •  Industrie manufacturière  •  France</w:t>
      </w:r>
    </w:p>
    <w:p>
      <w:pPr>
        <w:spacing w:after="240"/>
      </w:pPr>
      <w:r>
        <w:rPr>
          <w:i/>
          <w:color w:val="5F6B64"/>
          <w:sz w:val="22"/>
        </w:rPr>
        <w:t>Présenté par J. Martin — Directrice Générale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fill="E6E6DC"/>
          </w:tcPr>
          <w:p>
            <w:pPr>
              <w:jc w:val="center"/>
            </w:pPr>
            <w:r>
              <w:rPr>
                <w:b/>
                <w:color w:val="5F6B64"/>
                <w:sz w:val="18"/>
              </w:rPr>
              <w:t>Environnement</w:t>
            </w:r>
          </w:p>
        </w:tc>
        <w:tc>
          <w:tcPr>
            <w:tcW w:type="dxa" w:w="2351"/>
            <w:shd w:val="clear" w:fill="E6E6DC"/>
          </w:tcPr>
          <w:p>
            <w:pPr>
              <w:jc w:val="center"/>
            </w:pPr>
            <w:r>
              <w:rPr>
                <w:b/>
                <w:color w:val="5F6B64"/>
                <w:sz w:val="18"/>
              </w:rPr>
              <w:t>Social</w:t>
            </w:r>
          </w:p>
        </w:tc>
        <w:tc>
          <w:tcPr>
            <w:tcW w:type="dxa" w:w="2351"/>
            <w:shd w:val="clear" w:fill="E6E6DC"/>
          </w:tcPr>
          <w:p>
            <w:pPr>
              <w:jc w:val="center"/>
            </w:pPr>
            <w:r>
              <w:rPr>
                <w:b/>
                <w:color w:val="5F6B64"/>
                <w:sz w:val="18"/>
              </w:rPr>
              <w:t>Gouvernance</w:t>
            </w:r>
          </w:p>
        </w:tc>
        <w:tc>
          <w:tcPr>
            <w:tcW w:type="dxa" w:w="2351"/>
            <w:shd w:val="clear" w:fill="E6E6DC"/>
          </w:tcPr>
          <w:p>
            <w:pPr>
              <w:jc w:val="center"/>
            </w:pPr>
            <w:r>
              <w:rPr>
                <w:b/>
                <w:color w:val="5F6B64"/>
                <w:sz w:val="18"/>
              </w:rPr>
              <w:t>Score Global</w:t>
            </w:r>
          </w:p>
        </w:tc>
      </w:tr>
      <w:tr>
        <w:tc>
          <w:tcPr>
            <w:tcW w:type="dxa" w:w="2351"/>
          </w:tcPr>
          <w:p>
            <w:pPr>
              <w:jc w:val="center"/>
            </w:pPr>
            <w:r>
              <w:rPr>
                <w:b/>
                <w:color w:val="2F6B4F"/>
                <w:sz w:val="48"/>
              </w:rPr>
              <w:t>70,0</w:t>
            </w:r>
          </w:p>
          <w:p>
            <w:pPr>
              <w:jc w:val="center"/>
            </w:pPr>
            <w:r>
              <w:rPr>
                <w:color w:val="5F6B64"/>
                <w:sz w:val="16"/>
              </w:rPr>
              <w:t>3/4 indicateurs notés</w:t>
            </w:r>
          </w:p>
        </w:tc>
        <w:tc>
          <w:tcPr>
            <w:tcW w:type="dxa" w:w="2351"/>
          </w:tcPr>
          <w:p>
            <w:pPr>
              <w:jc w:val="center"/>
            </w:pPr>
            <w:r>
              <w:rPr>
                <w:b/>
                <w:color w:val="3D6A8A"/>
                <w:sz w:val="48"/>
              </w:rPr>
              <w:t>65,0</w:t>
            </w:r>
          </w:p>
          <w:p>
            <w:pPr>
              <w:jc w:val="center"/>
            </w:pPr>
            <w:r>
              <w:rPr>
                <w:color w:val="5F6B64"/>
                <w:sz w:val="16"/>
              </w:rPr>
              <w:t>4/6 indicateurs notés</w:t>
            </w:r>
          </w:p>
        </w:tc>
        <w:tc>
          <w:tcPr>
            <w:tcW w:type="dxa" w:w="2351"/>
          </w:tcPr>
          <w:p>
            <w:pPr>
              <w:jc w:val="center"/>
            </w:pPr>
            <w:r>
              <w:rPr>
                <w:b/>
                <w:color w:val="6B5B86"/>
                <w:sz w:val="48"/>
              </w:rPr>
              <w:t>75,0</w:t>
            </w:r>
          </w:p>
          <w:p>
            <w:pPr>
              <w:jc w:val="center"/>
            </w:pPr>
            <w:r>
              <w:rPr>
                <w:color w:val="5F6B64"/>
                <w:sz w:val="16"/>
              </w:rPr>
              <w:t>6/8 indicateurs notés</w:t>
            </w:r>
          </w:p>
        </w:tc>
        <w:tc>
          <w:tcPr>
            <w:tcW w:type="dxa" w:w="2351"/>
          </w:tcPr>
          <w:p>
            <w:pPr>
              <w:jc w:val="center"/>
            </w:pPr>
            <w:r>
              <w:rPr>
                <w:b/>
                <w:color w:val="2E5A4B"/>
                <w:sz w:val="48"/>
              </w:rPr>
              <w:t>69,5</w:t>
            </w:r>
          </w:p>
        </w:tc>
      </w:tr>
    </w:tbl>
    <w:p/>
    <w:p>
      <w:pPr>
        <w:spacing w:after="480"/>
        <w:jc w:val="center"/>
      </w:pPr>
      <w:r>
        <w:rPr>
          <w:b/>
          <w:color w:val="2E5A4B"/>
          <w:sz w:val="32"/>
        </w:rPr>
        <w:t>Note : A</w:t>
      </w:r>
    </w:p>
    <w:p>
      <w:r>
        <w:br w:type="page"/>
      </w:r>
    </w:p>
    <w:p>
      <w:r>
        <w:rPr>
          <w:b/>
          <w:color w:val="2E5A4B"/>
          <w:sz w:val="18"/>
        </w:rPr>
        <w:t>LE MOT DE LA DIRECTION</w:t>
      </w:r>
    </w:p>
    <w:p>
      <w:pPr>
        <w:shd w:val="clear" w:fill="E6E6DC"/>
        <w:spacing w:after="80"/>
      </w:pPr>
      <w:r>
        <w:rPr>
          <w:i/>
          <w:color w:val="1F3D33"/>
          <w:sz w:val="26"/>
        </w:rPr>
        <w:t>« La performance durable est au cœur de notre stratégie industrielle : chaque euro investi doit créer de la valeur pour nos clients et pour la planète. »</w:t>
      </w:r>
    </w:p>
    <w:p>
      <w:pPr>
        <w:spacing w:after="360"/>
      </w:pPr>
      <w:r>
        <w:rPr>
          <w:b/>
          <w:color w:val="7F8C8D"/>
          <w:sz w:val="19"/>
        </w:rPr>
        <w:t>J. Martin — Directrice Générale</w:t>
      </w:r>
    </w:p>
    <w:p>
      <w:pPr>
        <w:spacing w:before="280" w:after="120"/>
        <w:jc w:val="left"/>
      </w:pPr>
      <w:r>
        <w:rPr>
          <w:rFonts w:ascii="Segoe UI" w:hAnsi="Segoe UI"/>
          <w:b/>
          <w:color w:val="1F3D33"/>
          <w:sz w:val="44"/>
        </w:rPr>
        <w:t>L'entreprise en bref</w:t>
      </w:r>
    </w:p>
    <w:p>
      <w:pPr>
        <w:spacing w:before="0" w:after="160"/>
        <w:pBdr>
          <w:bottom w:val="single" w:sz="4" w:space="1" w:color="5F6B64"/>
        </w:pBdr>
      </w:pPr>
    </w:p>
    <w:p>
      <w:pPr>
        <w:spacing w:after="160"/>
      </w:pPr>
      <w:r>
        <w:rPr>
          <w:i w:val="0"/>
          <w:sz w:val="21"/>
        </w:rPr>
        <w:t>Acme Industries présente son rapport de durabilité pour l'exercice 2025. Acteur du secteur industrie manufacturière (France), l'entreprise emploie 320 collaborateurs et a réalisé un chiffre d'affaires de 48 millions d'euros sur l'exercice.</w:t>
      </w:r>
    </w:p>
    <w:p>
      <w:pPr>
        <w:spacing w:after="160"/>
      </w:pPr>
      <w:r>
        <w:rPr>
          <w:i w:val="0"/>
          <w:sz w:val="21"/>
        </w:rPr>
        <w:t>Le diagnostic suit 29 indicateurs répartis entre l'environnement, le social et la gouvernance ; 20 sont renseignés pour cet exercice, soit un taux de complétude de 69 %. La lecture des piliers est fiable sur les indicateurs renseignés ; les données manquantes sont signalées section par section.</w:t>
      </w:r>
    </w:p>
    <w:p>
      <w:pPr>
        <w:spacing w:after="160"/>
      </w:pPr>
      <w:r>
        <w:rPr>
          <w:i w:val="0"/>
          <w:sz w:val="21"/>
        </w:rPr>
        <w:t>Le rapport suit trois temps. La situation présente la performance de chaque pilier et les indicateurs qui la fondent. Le diagnostic confronte ces résultats aux exigences de reporting du référentiel CSRD / ESRS, aux risques et aux opportunités identifiés. Le plan d'action traduit ces constats en recommandations priorisées et en feuille de route sur douze mois. Les objectifs de l'entreprise sont fixés à l'horizon 2030.</w:t>
      </w:r>
    </w:p>
    <w:p>
      <w:pPr>
        <w:spacing w:before="280" w:after="120"/>
        <w:jc w:val="left"/>
      </w:pPr>
      <w:r>
        <w:rPr>
          <w:rFonts w:ascii="Segoe UI" w:hAnsi="Segoe UI"/>
          <w:b/>
          <w:color w:val="5F6B64"/>
          <w:sz w:val="34"/>
        </w:rPr>
        <w:t>Nos initiatives</w:t>
      </w:r>
    </w:p>
    <w:p>
      <w:pPr>
        <w:spacing w:after="60"/>
        <w:ind w:left="283"/>
      </w:pPr>
      <w:r>
        <w:rPr>
          <w:color w:val="2E5A4B"/>
          <w:sz w:val="20"/>
        </w:rPr>
        <w:t xml:space="preserve">•  </w:t>
      </w:r>
      <w:r>
        <w:rPr>
          <w:sz w:val="20"/>
        </w:rPr>
        <w:t>le programme Cap Climat 2027</w:t>
      </w:r>
    </w:p>
    <w:p>
      <w:pPr>
        <w:spacing w:after="60"/>
        <w:ind w:left="283"/>
      </w:pPr>
      <w:r>
        <w:rPr>
          <w:color w:val="2E5A4B"/>
          <w:sz w:val="20"/>
        </w:rPr>
        <w:t xml:space="preserve">•  </w:t>
      </w:r>
      <w:r>
        <w:rPr>
          <w:sz w:val="20"/>
        </w:rPr>
        <w:t>l'installation photovoltaïque du site de Lyon</w:t>
      </w:r>
    </w:p>
    <w:p>
      <w:pPr>
        <w:spacing w:before="280" w:after="120"/>
        <w:jc w:val="left"/>
      </w:pPr>
      <w:r>
        <w:rPr>
          <w:rFonts w:ascii="Segoe UI" w:hAnsi="Segoe UI"/>
          <w:b/>
          <w:color w:val="1F3D33"/>
          <w:sz w:val="44"/>
        </w:rPr>
        <w:t>1. Synthèse Exécutive</w:t>
      </w:r>
    </w:p>
    <w:p>
      <w:pPr>
        <w:spacing w:before="0" w:after="160"/>
        <w:pBdr>
          <w:bottom w:val="single" w:sz="4" w:space="1" w:color="5F6B64"/>
        </w:pBdr>
      </w:pPr>
    </w:p>
    <w:p>
      <w:pPr>
        <w:spacing w:after="240"/>
      </w:pPr>
      <w:r>
        <w:t>Acme Industries consolide pour l'exercice 2025 son reporting de durabilité, ancré dans les réalités de l'industrie manufacturière, au cœur des défis d'efficacité carbone. Avec 69,5/100 et une note A, Acme Industries affiche une bonne performance sur la grille de notation interne sur l'ensemble du périmètre extra-financier. Gouvernance domine le profil ESG (75/100) tandis que Social (65/100) constitue la marge d'amélioration prioritaire. Au global, la maturité ESG est évaluée comme structurée (3/5). Combler les lacunes de reporting prioritaires — au premier rang desquelles la vérification par un tiers indépendant (assurance limitée, exigée des entreprises soumises à la CSRD) — constitue le levier le plus rapide pour renforcer la crédibilité du reporting et la confiance des investisseurs. Par rapport à l'exercice 2024, le score global progresse de 6 points (environnement +10, social +10, gouvernance -5). Depuis le précédent plan d'action, deux actions sont déclarées engagées, dont « Créer un comité de durabilité au conseil » et « Porter la formation à 20h/employé/an minimum ». Cette démarche s'appuie sur des initiatives déjà engagées, notamment le programme Cap Climat 2027 et l'installation photovoltaïque du site de Lyon.</w:t>
      </w:r>
    </w:p>
    <w:p>
      <w:pPr>
        <w:spacing w:before="120" w:after="20"/>
      </w:pPr>
      <w:r>
        <w:rPr>
          <w:b/>
          <w:color w:val="2E5A4B"/>
          <w:sz w:val="17"/>
        </w:rPr>
        <w:t>L'ANALYSE DU CONSULTANT</w:t>
      </w:r>
    </w:p>
    <w:p>
      <w:pPr>
        <w:shd w:val="clear" w:fill="E6E6DC"/>
        <w:spacing w:after="160"/>
      </w:pPr>
      <w:r>
        <w:rPr>
          <w:i/>
          <w:color w:val="1F3D33"/>
          <w:sz w:val="20"/>
        </w:rPr>
        <w:t>La priorité 2026 est la fiabilisation du reporting énergie avant l'audit de certification prévu au troisième trimestre.</w:t>
      </w:r>
    </w:p>
    <w:p>
      <w:pPr>
        <w:spacing w:before="280" w:after="120"/>
        <w:jc w:val="left"/>
      </w:pPr>
      <w:r>
        <w:rPr>
          <w:rFonts w:ascii="Segoe UI" w:hAnsi="Segoe UI"/>
          <w:b/>
          <w:color w:val="1F3D33"/>
          <w:sz w:val="34"/>
        </w:rPr>
        <w:t>Diagnostic d'ensemble</w:t>
      </w:r>
    </w:p>
    <w:p>
      <w:pPr>
        <w:spacing w:before="280" w:after="120"/>
        <w:jc w:val="left"/>
      </w:pPr>
      <w:r>
        <w:rPr>
          <w:rFonts w:ascii="Segoe UI" w:hAnsi="Segoe UI"/>
          <w:b/>
          <w:color w:val="1F3D33"/>
          <w:sz w:val="24"/>
        </w:rPr>
        <w:t>Le profil qui se dégage</w:t>
      </w:r>
    </w:p>
    <w:p>
      <w:pPr>
        <w:spacing w:after="160"/>
      </w:pPr>
      <w:r>
        <w:rPr>
          <w:i w:val="0"/>
          <w:sz w:val="21"/>
        </w:rPr>
        <w:t>Le dossier d'Acme Industries fait ressortir 2 enjeux et un point d'appui. Les enjeux repérés relèvent surtout du pilier de gouvernance : l'intégrité et la sécurité de l'information et le pilotage de la démarche. C'est là que le plan d'action doit porter en premier.</w:t>
      </w:r>
    </w:p>
    <w:p>
      <w:pPr>
        <w:spacing w:after="160"/>
      </w:pPr>
      <w:r>
        <w:rPr>
          <w:i w:val="0"/>
          <w:sz w:val="21"/>
        </w:rPr>
        <w:t>Les points d'appui sont la maîtrise des risques professionnels : ce sont eux qui donnent de la crédibilité au plan d'action.</w:t>
      </w:r>
    </w:p>
    <w:p>
      <w:pPr>
        <w:spacing w:before="280" w:after="120"/>
        <w:jc w:val="left"/>
      </w:pPr>
      <w:r>
        <w:rPr>
          <w:rFonts w:ascii="Segoe UI" w:hAnsi="Segoe UI"/>
          <w:b/>
          <w:color w:val="1F3D33"/>
          <w:sz w:val="24"/>
        </w:rPr>
        <w:t>Les enjeux structurants</w:t>
      </w:r>
    </w:p>
    <w:p>
      <w:pPr>
        <w:spacing w:after="160"/>
      </w:pPr>
      <w:r>
        <w:rPr>
          <w:i w:val="0"/>
          <w:sz w:val="21"/>
        </w:rPr>
        <w:t>Les enjeux ci-dessous sont classés par gravité, telle que la mesurent les écarts à la grille du diagnostic et aux références disponibles.</w:t>
      </w:r>
    </w:p>
    <w:p>
      <w:pPr>
        <w:keepNext/>
        <w:spacing w:before="280" w:after="120"/>
        <w:jc w:val="left"/>
      </w:pPr>
      <w:r>
        <w:rPr>
          <w:rFonts w:ascii="Segoe UI" w:hAnsi="Segoe UI"/>
          <w:b/>
          <w:color w:val="6B5B86"/>
          <w:sz w:val="22"/>
        </w:rPr>
        <w:t>1. Des incidents d'intégrité déclarés</w:t>
      </w:r>
    </w:p>
    <w:p>
      <w:pPr>
        <w:spacing w:after="160"/>
      </w:pPr>
      <w:r>
        <w:rPr>
          <w:i w:val="0"/>
          <w:sz w:val="21"/>
        </w:rPr>
        <w:t>Une violation de données a été déclarée sur l'exercice.</w:t>
      </w:r>
    </w:p>
    <w:p>
      <w:pPr>
        <w:spacing w:after="160"/>
      </w:pPr>
      <w:r>
        <w:rPr>
          <w:i w:val="0"/>
          <w:sz w:val="21"/>
        </w:rPr>
        <w:t>Chaque violation de données entame la confiance des clients.</w:t>
      </w:r>
    </w:p>
    <w:p>
      <w:pPr>
        <w:keepNext/>
        <w:spacing w:before="280" w:after="120"/>
        <w:jc w:val="left"/>
      </w:pPr>
      <w:r>
        <w:rPr>
          <w:rFonts w:ascii="Segoe UI" w:hAnsi="Segoe UI"/>
          <w:b/>
          <w:color w:val="6B5B86"/>
          <w:sz w:val="22"/>
        </w:rPr>
        <w:t>2. Des données ESG non vérifiées</w:t>
      </w:r>
    </w:p>
    <w:p>
      <w:pPr>
        <w:spacing w:after="160"/>
      </w:pPr>
      <w:r>
        <w:rPr>
          <w:i w:val="0"/>
          <w:sz w:val="21"/>
        </w:rPr>
        <w:t>Les indicateurs publiés n'ont été contrôlés par aucun tiers.</w:t>
      </w:r>
    </w:p>
    <w:p>
      <w:pPr>
        <w:spacing w:after="160"/>
      </w:pPr>
      <w:r>
        <w:rPr>
          <w:i w:val="0"/>
          <w:sz w:val="21"/>
        </w:rPr>
        <w:t>Les chiffres publiés restent exposés à la contestation des partenaires financiers et des grands clients, qui accordent davantage de crédit à une information vérifiée.</w:t>
      </w:r>
    </w:p>
    <w:p>
      <w:pPr>
        <w:spacing w:before="280" w:after="120"/>
        <w:jc w:val="left"/>
      </w:pPr>
      <w:r>
        <w:rPr>
          <w:rFonts w:ascii="Segoe UI" w:hAnsi="Segoe UI"/>
          <w:b/>
          <w:color w:val="2F6B4F"/>
          <w:sz w:val="44"/>
        </w:rPr>
        <w:t>2. Pilier Environnemental</w:t>
      </w:r>
    </w:p>
    <w:p>
      <w:pPr>
        <w:spacing w:before="0" w:after="160"/>
        <w:pBdr>
          <w:bottom w:val="single" w:sz="4" w:space="1" w:color="2F6B4F"/>
        </w:pBdr>
      </w:pPr>
    </w:p>
    <w:p>
      <w:pPr>
        <w:spacing w:after="120"/>
      </w:pPr>
      <w:r>
        <w:rPr>
          <w:b/>
          <w:color w:val="2F6B4F"/>
          <w:sz w:val="25"/>
        </w:rPr>
        <w:t>Un bilan carbone complet, socle de la trajectoire climat</w:t>
      </w:r>
    </w:p>
    <w:p>
      <w:pPr>
        <w:spacing w:before="120" w:after="20"/>
      </w:pPr>
      <w:r>
        <w:rPr>
          <w:b/>
          <w:color w:val="2E5A4B"/>
          <w:sz w:val="17"/>
        </w:rPr>
        <w:t>L'ANALYSE DU CONSULTANT</w:t>
      </w:r>
    </w:p>
    <w:p>
      <w:pPr>
        <w:shd w:val="clear" w:fill="E6E6DC"/>
        <w:spacing w:after="160"/>
      </w:pPr>
      <w:r>
        <w:rPr>
          <w:i/>
          <w:color w:val="1F3D33"/>
          <w:sz w:val="20"/>
        </w:rPr>
        <w:t>Le site de Lyon concentre près de 70 % des émissions du périmètre : c'est là que se joue la trajectoire.</w:t>
      </w:r>
    </w:p>
    <w:p>
      <w:r>
        <w:rPr>
          <w:b/>
          <w:sz w:val="22"/>
        </w:rPr>
        <w:t xml:space="preserve">Score environnemental : </w:t>
      </w:r>
      <w:r>
        <w:rPr>
          <w:b/>
          <w:color w:val="2F6B4F"/>
          <w:sz w:val="28"/>
        </w:rPr>
        <w:t>70,0/100</w:t>
      </w:r>
      <w:r>
        <w:rPr>
          <w:sz w:val="20"/>
        </w:rPr>
        <w:t xml:space="preserve">  ·  3/4 indicateurs notés</w:t>
      </w:r>
    </w:p>
    <w:p>
      <w:pPr>
        <w:spacing w:after="160"/>
      </w:pPr>
      <w:r>
        <w:t>Le pilier Environnement d'Acme Industries obtient 70/100 sur l'exercice 2025. L'intensité carbone atteint 171 t CO₂e par million d'euros de chiffre d'affaires, un niveau intermédiaire : ni avantage ni retard marqué. La part d'énergie renouvelable atteint 42 %, une base correcte que la trajectoire de transition doit consolider. Le taux de recyclage s'élève à 63 %, une valorisation matière élevée. La consommation énergétique déclarée s'élève à 21 500 MWh sur l'exercice. Le bilan carbone couvre les trois scopes d'émissions (1, 2 et 3), une complétude qui renforce la crédibilité du reporting. L'empreinte environnementale constitue le principal levier de création de valeur durable pour Acme Industries.</w:t>
      </w:r>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CO2 total (t)</w:t>
            </w:r>
          </w:p>
        </w:tc>
        <w:tc>
          <w:tcPr>
            <w:tcW w:type="dxa" w:w="3135"/>
            <w:shd w:val="clear" w:fill="E6E6DC"/>
          </w:tcPr>
          <w:p>
            <w:pPr>
              <w:jc w:val="center"/>
            </w:pPr>
            <w:r>
              <w:rPr>
                <w:b/>
                <w:color w:val="5F6B64"/>
                <w:sz w:val="18"/>
              </w:rPr>
              <w:t>Renouvelable %</w:t>
            </w:r>
          </w:p>
        </w:tc>
        <w:tc>
          <w:tcPr>
            <w:tcW w:type="dxa" w:w="3135"/>
            <w:shd w:val="clear" w:fill="E6E6DC"/>
          </w:tcPr>
          <w:p>
            <w:pPr>
              <w:jc w:val="center"/>
            </w:pPr>
            <w:r>
              <w:rPr>
                <w:b/>
                <w:color w:val="5F6B64"/>
                <w:sz w:val="18"/>
              </w:rPr>
              <w:t>Énergie (MWh)</w:t>
            </w:r>
          </w:p>
        </w:tc>
      </w:tr>
      <w:tr>
        <w:tc>
          <w:tcPr>
            <w:tcW w:type="dxa" w:w="3135"/>
          </w:tcPr>
          <w:p>
            <w:pPr>
              <w:jc w:val="center"/>
            </w:pPr>
            <w:r>
              <w:rPr>
                <w:b/>
                <w:color w:val="1F3D33"/>
                <w:sz w:val="32"/>
              </w:rPr>
              <w:t>8 200</w:t>
            </w:r>
          </w:p>
        </w:tc>
        <w:tc>
          <w:tcPr>
            <w:tcW w:type="dxa" w:w="3135"/>
          </w:tcPr>
          <w:p>
            <w:pPr>
              <w:jc w:val="center"/>
            </w:pPr>
            <w:r>
              <w:rPr>
                <w:b/>
                <w:color w:val="1F3D33"/>
                <w:sz w:val="32"/>
              </w:rPr>
              <w:t>42,0 %</w:t>
            </w:r>
          </w:p>
        </w:tc>
        <w:tc>
          <w:tcPr>
            <w:tcW w:type="dxa" w:w="3135"/>
          </w:tcPr>
          <w:p>
            <w:pPr>
              <w:jc w:val="center"/>
            </w:pPr>
            <w:r>
              <w:rPr>
                <w:b/>
                <w:color w:val="1F3D33"/>
                <w:sz w:val="32"/>
              </w:rPr>
              <w:t>21 500</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Eau (m3)</w:t>
            </w:r>
          </w:p>
        </w:tc>
        <w:tc>
          <w:tcPr>
            <w:tcW w:type="dxa" w:w="3135"/>
            <w:shd w:val="clear" w:fill="E6E6DC"/>
          </w:tcPr>
          <w:p>
            <w:pPr>
              <w:jc w:val="center"/>
            </w:pPr>
            <w:r>
              <w:rPr>
                <w:b/>
                <w:color w:val="5F6B64"/>
                <w:sz w:val="18"/>
              </w:rPr>
              <w:t>Recyclage %</w:t>
            </w:r>
          </w:p>
        </w:tc>
        <w:tc>
          <w:tcPr>
            <w:tcW w:type="dxa" w:w="3135"/>
            <w:shd w:val="clear" w:fill="E6E6DC"/>
          </w:tcPr>
          <w:p>
            <w:pPr>
              <w:jc w:val="center"/>
            </w:pPr>
            <w:r>
              <w:rPr>
                <w:b/>
                <w:color w:val="5F6B64"/>
                <w:sz w:val="18"/>
              </w:rPr>
              <w:t>Scope 1 (t)</w:t>
            </w:r>
          </w:p>
        </w:tc>
      </w:tr>
      <w:tr>
        <w:tc>
          <w:tcPr>
            <w:tcW w:type="dxa" w:w="3135"/>
          </w:tcPr>
          <w:p>
            <w:pPr>
              <w:jc w:val="center"/>
            </w:pPr>
            <w:r>
              <w:rPr>
                <w:b/>
                <w:color w:val="1F3D33"/>
                <w:sz w:val="32"/>
              </w:rPr>
              <w:t>120 000</w:t>
            </w:r>
          </w:p>
        </w:tc>
        <w:tc>
          <w:tcPr>
            <w:tcW w:type="dxa" w:w="3135"/>
          </w:tcPr>
          <w:p>
            <w:pPr>
              <w:jc w:val="center"/>
            </w:pPr>
            <w:r>
              <w:rPr>
                <w:b/>
                <w:color w:val="1F3D33"/>
                <w:sz w:val="32"/>
              </w:rPr>
              <w:t>63,0 %</w:t>
            </w:r>
          </w:p>
        </w:tc>
        <w:tc>
          <w:tcPr>
            <w:tcW w:type="dxa" w:w="3135"/>
          </w:tcPr>
          <w:p>
            <w:pPr>
              <w:jc w:val="center"/>
            </w:pPr>
            <w:r>
              <w:rPr>
                <w:b/>
                <w:color w:val="1F3D33"/>
                <w:sz w:val="32"/>
              </w:rPr>
              <w:t>1 200</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Scope 2 (t)</w:t>
            </w:r>
          </w:p>
        </w:tc>
        <w:tc>
          <w:tcPr>
            <w:tcW w:type="dxa" w:w="3135"/>
            <w:shd w:val="clear" w:fill="E6E6DC"/>
          </w:tcPr>
          <w:p>
            <w:pPr>
              <w:jc w:val="center"/>
            </w:pPr>
            <w:r>
              <w:rPr>
                <w:b/>
                <w:color w:val="5F6B64"/>
                <w:sz w:val="18"/>
              </w:rPr>
              <w:t>Scope 3 (t)</w:t>
            </w:r>
          </w:p>
        </w:tc>
        <w:tc>
          <w:tcPr>
            <w:tcW w:type="dxa" w:w="3135"/>
            <w:shd w:val="clear" w:fill="E6E6DC"/>
          </w:tcPr>
          <w:p>
            <w:pPr>
              <w:jc w:val="center"/>
            </w:pPr>
            <w:r>
              <w:rPr>
                <w:b/>
                <w:color w:val="5F6B64"/>
                <w:sz w:val="18"/>
              </w:rPr>
            </w:r>
          </w:p>
        </w:tc>
      </w:tr>
      <w:tr>
        <w:tc>
          <w:tcPr>
            <w:tcW w:type="dxa" w:w="3135"/>
          </w:tcPr>
          <w:p>
            <w:pPr>
              <w:jc w:val="center"/>
            </w:pPr>
            <w:r>
              <w:rPr>
                <w:b/>
                <w:color w:val="1F3D33"/>
                <w:sz w:val="32"/>
              </w:rPr>
              <w:t>2 100</w:t>
            </w:r>
          </w:p>
        </w:tc>
        <w:tc>
          <w:tcPr>
            <w:tcW w:type="dxa" w:w="3135"/>
          </w:tcPr>
          <w:p>
            <w:pPr>
              <w:jc w:val="center"/>
            </w:pPr>
            <w:r>
              <w:rPr>
                <w:b/>
                <w:color w:val="1F3D33"/>
                <w:sz w:val="32"/>
              </w:rPr>
              <w:t>4 900</w:t>
            </w:r>
          </w:p>
        </w:tc>
        <w:tc>
          <w:tcPr>
            <w:tcW w:type="dxa" w:w="3135"/>
          </w:tcPr>
          <w:p>
            <w:pPr>
              <w:jc w:val="center"/>
            </w:pPr>
            <w:r>
              <w:rPr>
                <w:b/>
                <w:color w:val="1F3D33"/>
                <w:sz w:val="32"/>
              </w:rPr>
            </w:r>
          </w:p>
        </w:tc>
      </w:tr>
    </w:tbl>
    <w:p/>
    <w:p>
      <w:pPr>
        <w:spacing w:before="280" w:after="120"/>
        <w:jc w:val="left"/>
      </w:pPr>
      <w:r>
        <w:rPr>
          <w:rFonts w:ascii="Segoe UI" w:hAnsi="Segoe UI"/>
          <w:b/>
          <w:color w:val="2F6B4F"/>
          <w:sz w:val="34"/>
        </w:rPr>
        <w:t>Lecture des indicateurs</w:t>
      </w:r>
    </w:p>
    <w:p>
      <w:pPr>
        <w:spacing w:after="160"/>
      </w:pPr>
      <w:r>
        <w:rPr>
          <w:i w:val="0"/>
          <w:sz w:val="21"/>
        </w:rPr>
        <w:t>Avec 70/100, le pilier environnemental est aligné sur le score global. Rapportées au chiffre d'affaires, les émissions représentent 171 t CO2e par million d'euros, une intensité satisfaisante selon la grille interne du diagnostic, différenciée par famille de secteurs. La part d'énergie renouvelable atteint 42 %, un niveau satisfaisant selon la grille de lecture du diagnostic. 63 % des déchets sont valorisés, ce que la grille du diagnostic classe comme solide.</w:t>
      </w:r>
    </w:p>
    <w:p>
      <w:pPr>
        <w:spacing w:after="160"/>
      </w:pPr>
      <w:r>
        <w:rPr>
          <w:i w:val="0"/>
          <w:sz w:val="21"/>
        </w:rPr>
        <w:t>La consommation d'énergie atteint 21 500 MWh, soit 67,2 MWh par salarié. La consommation d'eau de l'exercice est de 120 000 m3. Restent à documenter : le volume de déchets et les initiatives en faveur de la biodiversité. Leur collecte, au prochain exercice, fiabilisera la lecture de ce pilier. L'entreprise s'est fixé, à horizon 2030, les cibles suivantes : part d'énergie renouvelable : 60 % (42 % sur l'exercice, soit 18 points à gagner d'ici 2030).</w:t>
      </w:r>
    </w:p>
    <w:p>
      <w:pPr>
        <w:spacing w:after="160"/>
      </w:pPr>
      <w:r>
        <w:rPr>
          <w:i w:val="0"/>
          <w:sz w:val="21"/>
        </w:rPr>
        <w:t>Le plan d'action retient un levier pour ce pilier : atteindre la cible de 60 % d'énergie renouvelable fixée pour 2030 (objectif : cible de l'entreprise : 60 % en 2030 ; échéance : 2027).</w:t>
      </w:r>
    </w:p>
    <w:p>
      <w:pPr>
        <w:spacing w:before="280" w:after="120"/>
        <w:jc w:val="left"/>
      </w:pPr>
      <w:r>
        <w:rPr>
          <w:rFonts w:ascii="Segoe UI" w:hAnsi="Segoe UI"/>
          <w:b/>
          <w:color w:val="2F6B4F"/>
          <w:sz w:val="34"/>
        </w:rPr>
        <w:t>Analyse approfondie : ce que disent les chiffres environnementaux</w:t>
      </w:r>
    </w:p>
    <w:p>
      <w:pPr>
        <w:keepNext/>
        <w:spacing w:before="280" w:after="120"/>
        <w:jc w:val="left"/>
      </w:pPr>
      <w:r>
        <w:rPr>
          <w:rFonts w:ascii="Segoe UI" w:hAnsi="Segoe UI"/>
          <w:b/>
          <w:color w:val="2F6B4F"/>
          <w:sz w:val="22"/>
        </w:rPr>
        <w:t>Où se forme l'empreinte carbone</w:t>
      </w:r>
    </w:p>
    <w:p>
      <w:pPr>
        <w:spacing w:after="160"/>
      </w:pPr>
      <w:r>
        <w:rPr>
          <w:i w:val="0"/>
          <w:sz w:val="21"/>
        </w:rPr>
        <w:t>Sur les 8 200 t CO2e mesurées sur les scopes renseignés, le Scope 3 en représente 60 %, le Scope 2, 26 % et le Scope 1, 15 %. La majeure partie de l'empreinte se situe hors des murs, dans la chaîne de valeur : chez un industriel, elle recouvre matières premières et composants achetés, transport amont et aval, et parfois usage et fin de vie des produits vendus.</w:t>
      </w:r>
    </w:p>
    <w:p>
      <w:pPr>
        <w:spacing w:after="160"/>
      </w:pPr>
      <w:r>
        <w:rPr>
          <w:i w:val="0"/>
          <w:sz w:val="21"/>
        </w:rPr>
        <w:t>L'entreprise ne peut la réduire seule : elle dépend des choix de ses fournisseurs, de la conception de ses offres et de l'usage qu'en font ses clients. Elle en porte pourtant le risque, car une hausse du coût du carbone chez les fournisseurs finit par se retrouver dans les prix d'achat. Le chantier commence par les données : identifier les fournisseurs et les catégories d'achat qui pèsent le plus, obtenir leurs propres bilans, puis intégrer un critère carbone aux consultations.</w:t>
      </w:r>
    </w:p>
    <w:p>
      <w:pPr>
        <w:keepNext/>
        <w:spacing w:before="280" w:after="120"/>
        <w:jc w:val="left"/>
      </w:pPr>
      <w:r>
        <w:rPr>
          <w:rFonts w:ascii="Segoe UI" w:hAnsi="Segoe UI"/>
          <w:b/>
          <w:color w:val="2F6B4F"/>
          <w:sz w:val="22"/>
        </w:rPr>
        <w:t>Intensité carbone : ce que dit le ratio</w:t>
      </w:r>
    </w:p>
    <w:p>
      <w:pPr>
        <w:spacing w:after="160"/>
      </w:pPr>
      <w:r>
        <w:rPr>
          <w:i w:val="0"/>
          <w:sz w:val="21"/>
        </w:rPr>
        <w:t>Rapportées à l'activité, les 8 200 t CO2e déclarées représentent 171 t par million d'euros de chiffre d'affaires, soit 25,6 t par salarié. Pour un industriel, la grille sectorielle du diagnostic classe ce niveau comme satisfaisant.</w:t>
      </w:r>
    </w:p>
    <w:p>
      <w:pPr>
        <w:spacing w:after="160"/>
      </w:pPr>
      <w:r>
        <w:rPr>
          <w:i w:val="0"/>
          <w:sz w:val="21"/>
        </w:rPr>
        <w:t>L'entreprise n'est ni en avance ni en retard sur les acteurs comparables. C'est pourtant une position exposée à moyen terme : les attentes se déplacent, et ce qui est dans la moyenne aujourd'hui deviendra un retard dès que les concurrents auront engagé leur propre décarbonation.</w:t>
      </w:r>
    </w:p>
    <w:p>
      <w:pPr>
        <w:keepNext/>
        <w:spacing w:before="280" w:after="120"/>
        <w:jc w:val="left"/>
      </w:pPr>
      <w:r>
        <w:rPr>
          <w:rFonts w:ascii="Segoe UI" w:hAnsi="Segoe UI"/>
          <w:b/>
          <w:color w:val="2F6B4F"/>
          <w:sz w:val="22"/>
        </w:rPr>
        <w:t>Énergie : sobriété, efficacité, origine</w:t>
      </w:r>
    </w:p>
    <w:p>
      <w:pPr>
        <w:spacing w:after="160"/>
      </w:pPr>
      <w:r>
        <w:rPr>
          <w:i w:val="0"/>
          <w:sz w:val="21"/>
        </w:rPr>
        <w:t>L'entreprise a consommé 21 500 MWh sur l'exercice, soit 67,2 MWh par salarié et 448 MWh par million d'euros de chiffre d'affaires. 42 % de l'énergie consommée est d'origine renouvelable, un niveau satisfaisant selon la grille du diagnostic. Le niveau atteint montre qu'une politique d'achat existe ; il reste à la sécuriser dans la durée, par des contrats pluriannuels et une traçabilité de l'origine de l'énergie.</w:t>
      </w:r>
    </w:p>
    <w:p>
      <w:pPr>
        <w:spacing w:after="160"/>
      </w:pPr>
      <w:r>
        <w:rPr>
          <w:i w:val="0"/>
          <w:sz w:val="21"/>
        </w:rPr>
        <w:t>Dans l'industrie, les gisements d'efficacité se cachent souvent dans les utilités — air comprimé, froid, vapeur — et dans les moteurs, où la variation de vitesse et la chasse aux fuites produisent des gains rapides. Dans une démarche bien ordonnée, la sobriété précède l'efficacité, qui précède le verdissement : chaque mégawattheure évité est un gain à la fois économique et climatique, alors qu'un mégawattheure verdi reste une dépense.</w:t>
      </w:r>
    </w:p>
    <w:p>
      <w:pPr>
        <w:keepNext/>
        <w:spacing w:before="280" w:after="120"/>
        <w:jc w:val="left"/>
      </w:pPr>
      <w:r>
        <w:rPr>
          <w:rFonts w:ascii="Segoe UI" w:hAnsi="Segoe UI"/>
          <w:b/>
          <w:color w:val="2F6B4F"/>
          <w:sz w:val="22"/>
        </w:rPr>
        <w:t>Déchets et ressources</w:t>
      </w:r>
    </w:p>
    <w:p>
      <w:pPr>
        <w:spacing w:after="160"/>
      </w:pPr>
      <w:r>
        <w:rPr>
          <w:i w:val="0"/>
          <w:sz w:val="21"/>
        </w:rPr>
        <w:t>Chez un industriel, les gisements principaux sont en général les chutes de production, les emballages des matières premières, les déchets dangereux (huiles, solvants) et les rebuts de qualité. 63 % des déchets sont valorisés, un taux solide selon la grille du diagnostic.</w:t>
      </w:r>
    </w:p>
    <w:p>
      <w:pPr>
        <w:spacing w:after="160"/>
      </w:pPr>
      <w:r>
        <w:rPr>
          <w:i w:val="0"/>
          <w:sz w:val="21"/>
        </w:rPr>
        <w:t>Le tri et les filières sont en place. L'enjeu suivant est la réduction à la source, car un déchet bien recyclé reste une matière achetée puis perdue.</w:t>
      </w:r>
    </w:p>
    <w:p>
      <w:pPr>
        <w:keepNext/>
        <w:spacing w:before="280" w:after="120"/>
        <w:jc w:val="left"/>
      </w:pPr>
      <w:r>
        <w:rPr>
          <w:rFonts w:ascii="Segoe UI" w:hAnsi="Segoe UI"/>
          <w:b/>
          <w:color w:val="2F6B4F"/>
          <w:sz w:val="22"/>
        </w:rPr>
        <w:t>Eau</w:t>
      </w:r>
    </w:p>
    <w:p>
      <w:pPr>
        <w:spacing w:after="160"/>
      </w:pPr>
      <w:r>
        <w:rPr>
          <w:i w:val="0"/>
          <w:sz w:val="21"/>
        </w:rPr>
        <w:t>120 000 m³ d'eau ont été consommés sur l'exercice, soit 375 m³ par salarié. Chez un industriel, l'eau sert principalement à le refroidissement, le lavage des pièces et certains procédés.</w:t>
      </w:r>
    </w:p>
    <w:p>
      <w:pPr>
        <w:spacing w:after="160"/>
      </w:pPr>
      <w:r>
        <w:rPr>
          <w:i w:val="0"/>
          <w:sz w:val="21"/>
        </w:rPr>
        <w:t>Le diagnostic ne classe pas ce volume, faute de grille sectorielle défendable. Il invite en revanche à le suivre site par site : un même volume n'a pas le même enjeu dans un bassin en tension hydrique et dans un bassin excédentaire, et c'est cette géographie qui détermine le risque d'approvisionnement.</w:t>
      </w:r>
    </w:p>
    <w:p>
      <w:pPr>
        <w:spacing w:before="280" w:after="120"/>
        <w:jc w:val="left"/>
      </w:pPr>
      <w:r>
        <w:rPr>
          <w:rFonts w:ascii="Segoe UI" w:hAnsi="Segoe UI"/>
          <w:b/>
          <w:color w:val="2F6B4F"/>
          <w:sz w:val="34"/>
        </w:rPr>
        <w:t>Émissions de gaz à effet de serre (t CO2e)</w:t>
      </w:r>
    </w:p>
    <w:p>
      <w:pPr>
        <w:spacing w:after="160"/>
      </w:pPr>
      <w:r>
        <w:rPr>
          <w:i w:val="0"/>
          <w:sz w:val="21"/>
        </w:rPr>
        <w:t>L'empreinte mesurée s'élève à 8 200 t CO2e sur les scopes renseignés. Le Scope 3 en concentre la plus grande part (60 %) : c'est le périmètre sur lequel les leviers de réduction auront le plus d'effet. Rapportées à l'effectif, les émissions représentent 25,6 t CO2e par salarié.</w:t>
      </w:r>
    </w:p>
    <w:p>
      <w:pPr>
        <w:spacing w:before="280" w:after="120"/>
        <w:jc w:val="left"/>
      </w:pPr>
      <w:r>
        <w:rPr>
          <w:rFonts w:ascii="Segoe UI" w:hAnsi="Segoe UI"/>
          <w:b/>
          <w:color w:val="3D6A8A"/>
          <w:sz w:val="44"/>
        </w:rPr>
        <w:t>3. Pilier Social</w:t>
      </w:r>
    </w:p>
    <w:p>
      <w:pPr>
        <w:spacing w:before="0" w:after="160"/>
        <w:pBdr>
          <w:bottom w:val="single" w:sz="4" w:space="1" w:color="3D6A8A"/>
        </w:pBdr>
      </w:pPr>
    </w:p>
    <w:p>
      <w:pPr>
        <w:spacing w:after="120"/>
      </w:pPr>
      <w:r>
        <w:rPr>
          <w:b/>
          <w:color w:val="3D6A8A"/>
          <w:sz w:val="25"/>
        </w:rPr>
        <w:t>La parité femmes-hommes (34 %), levier à activer</w:t>
      </w:r>
    </w:p>
    <w:p>
      <w:r>
        <w:rPr>
          <w:b/>
          <w:sz w:val="22"/>
        </w:rPr>
        <w:t xml:space="preserve">Score social : </w:t>
      </w:r>
      <w:r>
        <w:rPr>
          <w:b/>
          <w:color w:val="3D6A8A"/>
          <w:sz w:val="28"/>
        </w:rPr>
        <w:t>65,0/100</w:t>
      </w:r>
      <w:r>
        <w:rPr>
          <w:sz w:val="20"/>
        </w:rPr>
        <w:t xml:space="preserve">  ·  4/6 indicateurs notés</w:t>
      </w:r>
    </w:p>
    <w:p>
      <w:pPr>
        <w:spacing w:after="160"/>
      </w:pPr>
      <w:r>
        <w:t>Acme Industries enregistre 65/100 sur l'axe social de son reporting extra-financier. Le bilan social présente : 320 collaborateurs (France) ; 34 % de femmes dans l'effectif ; 22 h/an de formation par collaborateur (satisfaisant) ; taux de fréquence accidents 6,2 (inférieur ou égal à la moyenne nationale de 16,0) ; turnover 11 %.</w:t>
      </w:r>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Effectif</w:t>
            </w:r>
          </w:p>
        </w:tc>
        <w:tc>
          <w:tcPr>
            <w:tcW w:type="dxa" w:w="3135"/>
            <w:shd w:val="clear" w:fill="E6E6DC"/>
          </w:tcPr>
          <w:p>
            <w:pPr>
              <w:jc w:val="center"/>
            </w:pPr>
            <w:r>
              <w:rPr>
                <w:b/>
                <w:color w:val="5F6B64"/>
                <w:sz w:val="18"/>
              </w:rPr>
              <w:t>Femmes %</w:t>
            </w:r>
          </w:p>
        </w:tc>
        <w:tc>
          <w:tcPr>
            <w:tcW w:type="dxa" w:w="3135"/>
            <w:shd w:val="clear" w:fill="E6E6DC"/>
          </w:tcPr>
          <w:p>
            <w:pPr>
              <w:jc w:val="center"/>
            </w:pPr>
            <w:r>
              <w:rPr>
                <w:b/>
                <w:color w:val="5F6B64"/>
                <w:sz w:val="18"/>
              </w:rPr>
              <w:t>Turnover %</w:t>
            </w:r>
          </w:p>
        </w:tc>
      </w:tr>
      <w:tr>
        <w:tc>
          <w:tcPr>
            <w:tcW w:type="dxa" w:w="3135"/>
          </w:tcPr>
          <w:p>
            <w:pPr>
              <w:jc w:val="center"/>
            </w:pPr>
            <w:r>
              <w:rPr>
                <w:b/>
                <w:color w:val="1F3D33"/>
                <w:sz w:val="32"/>
              </w:rPr>
              <w:t>320</w:t>
            </w:r>
          </w:p>
        </w:tc>
        <w:tc>
          <w:tcPr>
            <w:tcW w:type="dxa" w:w="3135"/>
          </w:tcPr>
          <w:p>
            <w:pPr>
              <w:jc w:val="center"/>
            </w:pPr>
            <w:r>
              <w:rPr>
                <w:b/>
                <w:color w:val="1F3D33"/>
                <w:sz w:val="32"/>
              </w:rPr>
              <w:t>34,0 %</w:t>
            </w:r>
          </w:p>
        </w:tc>
        <w:tc>
          <w:tcPr>
            <w:tcW w:type="dxa" w:w="3135"/>
          </w:tcPr>
          <w:p>
            <w:pPr>
              <w:jc w:val="center"/>
            </w:pPr>
            <w:r>
              <w:rPr>
                <w:b/>
                <w:color w:val="1F3D33"/>
                <w:sz w:val="32"/>
              </w:rPr>
              <w:t>11,0 %</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Formation (h)</w:t>
            </w:r>
          </w:p>
        </w:tc>
        <w:tc>
          <w:tcPr>
            <w:tcW w:type="dxa" w:w="3135"/>
            <w:shd w:val="clear" w:fill="E6E6DC"/>
          </w:tcPr>
          <w:p>
            <w:pPr>
              <w:jc w:val="center"/>
            </w:pPr>
            <w:r>
              <w:rPr>
                <w:b/>
                <w:color w:val="5F6B64"/>
                <w:sz w:val="18"/>
              </w:rPr>
              <w:t>TF accidents</w:t>
            </w:r>
          </w:p>
        </w:tc>
        <w:tc>
          <w:tcPr>
            <w:tcW w:type="dxa" w:w="3135"/>
            <w:shd w:val="clear" w:fill="E6E6DC"/>
          </w:tcPr>
          <w:p>
            <w:pPr>
              <w:jc w:val="center"/>
            </w:pPr>
            <w:r>
              <w:rPr>
                <w:b/>
                <w:color w:val="5F6B64"/>
                <w:sz w:val="18"/>
              </w:rPr>
            </w:r>
          </w:p>
        </w:tc>
      </w:tr>
      <w:tr>
        <w:tc>
          <w:tcPr>
            <w:tcW w:type="dxa" w:w="3135"/>
          </w:tcPr>
          <w:p>
            <w:pPr>
              <w:jc w:val="center"/>
            </w:pPr>
            <w:r>
              <w:rPr>
                <w:b/>
                <w:color w:val="1F3D33"/>
                <w:sz w:val="32"/>
              </w:rPr>
              <w:t>22</w:t>
            </w:r>
          </w:p>
        </w:tc>
        <w:tc>
          <w:tcPr>
            <w:tcW w:type="dxa" w:w="3135"/>
          </w:tcPr>
          <w:p>
            <w:pPr>
              <w:jc w:val="center"/>
            </w:pPr>
            <w:r>
              <w:rPr>
                <w:b/>
                <w:color w:val="1F3D33"/>
                <w:sz w:val="32"/>
              </w:rPr>
              <w:t>6,20</w:t>
            </w:r>
          </w:p>
        </w:tc>
        <w:tc>
          <w:tcPr>
            <w:tcW w:type="dxa" w:w="3135"/>
          </w:tcPr>
          <w:p>
            <w:pPr>
              <w:jc w:val="center"/>
            </w:pPr>
            <w:r>
              <w:rPr>
                <w:b/>
                <w:color w:val="1F3D33"/>
                <w:sz w:val="32"/>
              </w:rPr>
            </w:r>
          </w:p>
        </w:tc>
      </w:tr>
    </w:tbl>
    <w:p/>
    <w:p>
      <w:pPr>
        <w:spacing w:before="280" w:after="120"/>
        <w:jc w:val="left"/>
      </w:pPr>
      <w:r>
        <w:rPr>
          <w:rFonts w:ascii="Segoe UI" w:hAnsi="Segoe UI"/>
          <w:b/>
          <w:color w:val="3D6A8A"/>
          <w:sz w:val="34"/>
        </w:rPr>
        <w:t>Lecture des indicateurs</w:t>
      </w:r>
    </w:p>
    <w:p>
      <w:pPr>
        <w:spacing w:after="160"/>
      </w:pPr>
      <w:r>
        <w:rPr>
          <w:i w:val="0"/>
          <w:sz w:val="21"/>
        </w:rPr>
        <w:t>Avec 65/100, le pilier social se situe 4 points en dessous du score global (70/100). Les femmes représentent 34 % de l'effectif, une situation satisfaisante selon la grille de lecture retenue. Chaque salarié a suivi en moyenne 22 h de formation sur l'exercice, un effort satisfaisant au regard de la grille du diagnostic. Le taux de fréquence des accidents s'établit à 6,2 (moyenne nationale publiée par l'Assurance Maladie pour 2024 : 16,0), un résultat solide selon la grille de lecture retenue. Le taux de rotation du personnel est de 11 %, un niveau satisfaisant selon la grille du diagnostic.</w:t>
      </w:r>
    </w:p>
    <w:p>
      <w:pPr>
        <w:spacing w:after="160"/>
      </w:pPr>
      <w:r>
        <w:rPr>
          <w:i w:val="0"/>
          <w:sz w:val="21"/>
        </w:rPr>
        <w:t>L'effectif s'établit à 320 collaborateurs sur l'exercice. Restent à documenter : le nombre d'accidents du travail, l'investissement communautaire, la part d'achats locaux, la satisfaction client et l'emploi de personnes en situation de handicap. Leur collecte, au prochain exercice, fiabilisera la lecture de ce pilier. L'entreprise s'est fixé, à horizon 2030, les cibles suivantes : heures de formation par salarié : 30 h (22 h sur l'exercice, soit 8 h à gagner d'ici 2030).</w:t>
      </w:r>
    </w:p>
    <w:p>
      <w:pPr>
        <w:spacing w:after="160"/>
      </w:pPr>
      <w:r>
        <w:rPr>
          <w:i w:val="0"/>
          <w:sz w:val="21"/>
        </w:rPr>
        <w:t>Le plan d'action retient un levier pour ce pilier : définir des objectifs chiffrés de parité femme-homme (objectif : cible de mixité définie et suivie annuellement ; échéance : 2026).</w:t>
      </w:r>
    </w:p>
    <w:p>
      <w:pPr>
        <w:spacing w:before="280" w:after="120"/>
        <w:jc w:val="left"/>
      </w:pPr>
      <w:r>
        <w:rPr>
          <w:rFonts w:ascii="Segoe UI" w:hAnsi="Segoe UI"/>
          <w:b/>
          <w:color w:val="3D6A8A"/>
          <w:sz w:val="34"/>
        </w:rPr>
        <w:t>Analyse approfondie : ce que disent les chiffres sociaux</w:t>
      </w:r>
    </w:p>
    <w:p>
      <w:pPr>
        <w:keepNext/>
        <w:spacing w:before="280" w:after="120"/>
        <w:jc w:val="left"/>
      </w:pPr>
      <w:r>
        <w:rPr>
          <w:rFonts w:ascii="Segoe UI" w:hAnsi="Segoe UI"/>
          <w:b/>
          <w:color w:val="3D6A8A"/>
          <w:sz w:val="22"/>
        </w:rPr>
        <w:t>Santé et sécurité au travail</w:t>
      </w:r>
    </w:p>
    <w:p>
      <w:pPr>
        <w:spacing w:after="160"/>
      </w:pPr>
      <w:r>
        <w:rPr>
          <w:i w:val="0"/>
          <w:sz w:val="21"/>
        </w:rPr>
        <w:t>Le taux de fréquence des accidents s'établit à 6,2, moins de la moitié de la moyenne nationale publiée par l'Assurance Maladie pour 2024 (16,0). Chez un industriel, la manutention, les machines, les chutes et les interventions de maintenance concentrent traditionnellement l'essentiel des risques.</w:t>
      </w:r>
    </w:p>
    <w:p>
      <w:pPr>
        <w:spacing w:after="160"/>
      </w:pPr>
      <w:r>
        <w:rPr>
          <w:i w:val="0"/>
          <w:sz w:val="21"/>
        </w:rPr>
        <w:t>Ce résultat témoigne d'une prévention installée. Il doit être protégé : un bon taux de fréquence peut coexister avec des risques graves mais rares, ou avec des troubles musculosquelettiques qui ne se traduisent pas immédiatement en arrêts. Le suivi de la gravité et des presque-accidents complète utilement l'indicateur.</w:t>
      </w:r>
    </w:p>
    <w:p>
      <w:pPr>
        <w:keepNext/>
        <w:spacing w:before="280" w:after="120"/>
        <w:jc w:val="left"/>
      </w:pPr>
      <w:r>
        <w:rPr>
          <w:rFonts w:ascii="Segoe UI" w:hAnsi="Segoe UI"/>
          <w:b/>
          <w:color w:val="3D6A8A"/>
          <w:sz w:val="22"/>
        </w:rPr>
        <w:t>Fidélisation et compétences</w:t>
      </w:r>
    </w:p>
    <w:p>
      <w:pPr>
        <w:spacing w:after="160"/>
      </w:pPr>
      <w:r>
        <w:rPr>
          <w:i w:val="0"/>
          <w:sz w:val="21"/>
        </w:rPr>
        <w:t>Avec un taux de rotation de 11 %, l'entreprise a vu partir l'équivalent d'environ 35 salariés sur l'exercice. Chaque salarié a suivi en moyenne 22 h de formation, soit de l'ordre de 7 040 heures au total.</w:t>
      </w:r>
    </w:p>
    <w:p>
      <w:pPr>
        <w:spacing w:after="160"/>
      </w:pPr>
      <w:r>
        <w:rPr>
          <w:i w:val="0"/>
          <w:sz w:val="21"/>
        </w:rPr>
        <w:t>Aucun des deux indicateurs n'appelle d'alerte, sans que l'un ou l'autre constitue un avantage distinctif. Les suivre par métier et par site permettrait de repérer les poches de fragilité que la moyenne masque.</w:t>
      </w:r>
    </w:p>
    <w:p>
      <w:pPr>
        <w:keepNext/>
        <w:spacing w:before="280" w:after="120"/>
        <w:jc w:val="left"/>
      </w:pPr>
      <w:r>
        <w:rPr>
          <w:rFonts w:ascii="Segoe UI" w:hAnsi="Segoe UI"/>
          <w:b/>
          <w:color w:val="3D6A8A"/>
          <w:sz w:val="22"/>
        </w:rPr>
        <w:t>Mixité des équipes</w:t>
      </w:r>
    </w:p>
    <w:p>
      <w:pPr>
        <w:spacing w:after="160"/>
      </w:pPr>
      <w:r>
        <w:rPr>
          <w:i w:val="0"/>
          <w:sz w:val="21"/>
        </w:rPr>
        <w:t>Les femmes représentent 34 % de l'effectif, soit environ 109 salariées. C'est en deçà du repère interne de 40 % retenu par ce diagnostic — un repère d'analyse, non une obligation légale.</w:t>
      </w:r>
    </w:p>
    <w:p>
      <w:pPr>
        <w:spacing w:after="160"/>
      </w:pPr>
      <w:r>
        <w:rPr>
          <w:i w:val="0"/>
          <w:sz w:val="21"/>
        </w:rPr>
        <w:t>L'industrie reste un secteur historiquement très masculin, en particulier dans les métiers de la production et de la maintenance. Le déséquilibre relève en partie des filières de formation, mais il réduit d'autant le vivier accessible pour des postes souvent difficiles à pourvoir. Un effectif déséquilibré se prive d'une partie des candidats, et donc de compétences, au moment où les recrutements se tendent.</w:t>
      </w:r>
    </w:p>
    <w:p>
      <w:pPr>
        <w:spacing w:after="160"/>
      </w:pPr>
      <w:r>
        <w:rPr>
          <w:i w:val="0"/>
          <w:sz w:val="21"/>
        </w:rPr>
        <w:t>Fait notable, le conseil (44 % de femmes) est plus féminisé que l'effectif : la gouvernance donne un signal que l'organisation ne suit pas encore.</w:t>
      </w:r>
    </w:p>
    <w:p>
      <w:pPr>
        <w:spacing w:before="280" w:after="120"/>
        <w:jc w:val="left"/>
      </w:pPr>
      <w:r>
        <w:rPr>
          <w:rFonts w:ascii="Segoe UI" w:hAnsi="Segoe UI"/>
          <w:b/>
          <w:color w:val="6B5B86"/>
          <w:sz w:val="44"/>
        </w:rPr>
        <w:t>4. Pilier Gouvernance</w:t>
      </w:r>
    </w:p>
    <w:p>
      <w:pPr>
        <w:spacing w:before="0" w:after="160"/>
        <w:pBdr>
          <w:bottom w:val="single" w:sz="4" w:space="1" w:color="6B5B86"/>
        </w:pBdr>
      </w:pPr>
    </w:p>
    <w:p>
      <w:pPr>
        <w:spacing w:after="120"/>
      </w:pPr>
      <w:r>
        <w:rPr>
          <w:b/>
          <w:color w:val="6B5B86"/>
          <w:sz w:val="25"/>
        </w:rPr>
        <w:t>L'assurance ESG indépendante, priorité de la gouvernance</w:t>
      </w:r>
    </w:p>
    <w:p>
      <w:pPr>
        <w:spacing w:before="120" w:after="20"/>
      </w:pPr>
      <w:r>
        <w:rPr>
          <w:b/>
          <w:color w:val="2E5A4B"/>
          <w:sz w:val="17"/>
        </w:rPr>
        <w:t>L'ANALYSE DU CONSULTANT</w:t>
      </w:r>
    </w:p>
    <w:p>
      <w:pPr>
        <w:shd w:val="clear" w:fill="E6E6DC"/>
        <w:spacing w:after="160"/>
      </w:pPr>
      <w:r>
        <w:rPr>
          <w:i/>
          <w:color w:val="1F3D33"/>
          <w:sz w:val="20"/>
        </w:rPr>
        <w:t>Le comité de durabilité fonctionne, mais doit formaliser ses comptes rendus pour être opposable lors de la vérification.</w:t>
      </w:r>
    </w:p>
    <w:p>
      <w:r>
        <w:rPr>
          <w:b/>
          <w:sz w:val="22"/>
        </w:rPr>
        <w:t xml:space="preserve">Score gouvernance : </w:t>
      </w:r>
      <w:r>
        <w:rPr>
          <w:b/>
          <w:color w:val="6B5B86"/>
          <w:sz w:val="28"/>
        </w:rPr>
        <w:t>75,0/100</w:t>
      </w:r>
      <w:r>
        <w:rPr>
          <w:sz w:val="20"/>
        </w:rPr>
        <w:t xml:space="preserve">  ·  6/8 indicateurs notés</w:t>
      </w:r>
    </w:p>
    <w:p>
      <w:pPr>
        <w:spacing w:after="160"/>
      </w:pPr>
      <w:r>
        <w:t>Acme Industries positionne son axe Gouvernance à 75/100. L'architecture de gouvernance comprend : CA de 9 membres ; 44 % de femmes au CA (les données saisies placent l'entreprise hors du champ de la loi Copé-Zimmermann, art. L225-18-1 du Code de commerce : 40 % de chaque sexe dans les sociétés d'au moins 250 salariés permanents et 50 M€ de chiffre d'affaires ou de total de bilan, trois exercices consécutifs) ; 45 % d'administrateurs indépendants ; aucun manquement éthique enregistré ; un incident cybersécurité déclaré. Le déploiement d'une certification ESG externe constitue un axe de progrès à court terme. Les enjeux ESG disposent d'une instance dédiée au niveau du Conseil.</w:t>
      </w:r>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Membres CA</w:t>
            </w:r>
          </w:p>
        </w:tc>
        <w:tc>
          <w:tcPr>
            <w:tcW w:type="dxa" w:w="3135"/>
            <w:shd w:val="clear" w:fill="E6E6DC"/>
          </w:tcPr>
          <w:p>
            <w:pPr>
              <w:jc w:val="center"/>
            </w:pPr>
            <w:r>
              <w:rPr>
                <w:b/>
                <w:color w:val="5F6B64"/>
                <w:sz w:val="18"/>
              </w:rPr>
              <w:t>Femmes CA %</w:t>
            </w:r>
          </w:p>
        </w:tc>
        <w:tc>
          <w:tcPr>
            <w:tcW w:type="dxa" w:w="3135"/>
            <w:shd w:val="clear" w:fill="E6E6DC"/>
          </w:tcPr>
          <w:p>
            <w:pPr>
              <w:jc w:val="center"/>
            </w:pPr>
            <w:r>
              <w:rPr>
                <w:b/>
                <w:color w:val="5F6B64"/>
                <w:sz w:val="18"/>
              </w:rPr>
              <w:t>Indépendants %</w:t>
            </w:r>
          </w:p>
        </w:tc>
      </w:tr>
      <w:tr>
        <w:tc>
          <w:tcPr>
            <w:tcW w:type="dxa" w:w="3135"/>
          </w:tcPr>
          <w:p>
            <w:pPr>
              <w:jc w:val="center"/>
            </w:pPr>
            <w:r>
              <w:rPr>
                <w:b/>
                <w:color w:val="1F3D33"/>
                <w:sz w:val="32"/>
              </w:rPr>
              <w:t>9</w:t>
            </w:r>
          </w:p>
        </w:tc>
        <w:tc>
          <w:tcPr>
            <w:tcW w:type="dxa" w:w="3135"/>
          </w:tcPr>
          <w:p>
            <w:pPr>
              <w:jc w:val="center"/>
            </w:pPr>
            <w:r>
              <w:rPr>
                <w:b/>
                <w:color w:val="1F3D33"/>
                <w:sz w:val="32"/>
              </w:rPr>
              <w:t>44,0 %</w:t>
            </w:r>
          </w:p>
        </w:tc>
        <w:tc>
          <w:tcPr>
            <w:tcW w:type="dxa" w:w="3135"/>
          </w:tcPr>
          <w:p>
            <w:pPr>
              <w:jc w:val="center"/>
            </w:pPr>
            <w:r>
              <w:rPr>
                <w:b/>
                <w:color w:val="1F3D33"/>
                <w:sz w:val="32"/>
              </w:rPr>
              <w:t>45,0 %</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fill="E6E6DC"/>
          </w:tcPr>
          <w:p>
            <w:pPr>
              <w:jc w:val="center"/>
            </w:pPr>
            <w:r>
              <w:rPr>
                <w:b/>
                <w:color w:val="5F6B64"/>
                <w:sz w:val="18"/>
              </w:rPr>
              <w:t>Audit ESG</w:t>
            </w:r>
          </w:p>
        </w:tc>
        <w:tc>
          <w:tcPr>
            <w:tcW w:type="dxa" w:w="3135"/>
            <w:shd w:val="clear" w:fill="E6E6DC"/>
          </w:tcPr>
          <w:p>
            <w:pPr>
              <w:jc w:val="center"/>
            </w:pPr>
            <w:r>
              <w:rPr>
                <w:b/>
                <w:color w:val="5F6B64"/>
                <w:sz w:val="18"/>
              </w:rPr>
              <w:t>Comité durable</w:t>
            </w:r>
          </w:p>
        </w:tc>
        <w:tc>
          <w:tcPr>
            <w:tcW w:type="dxa" w:w="3135"/>
            <w:shd w:val="clear" w:fill="E6E6DC"/>
          </w:tcPr>
          <w:p>
            <w:pPr>
              <w:jc w:val="center"/>
            </w:pPr>
            <w:r>
              <w:rPr>
                <w:b/>
                <w:color w:val="5F6B64"/>
                <w:sz w:val="18"/>
              </w:rPr>
            </w:r>
          </w:p>
        </w:tc>
      </w:tr>
      <w:tr>
        <w:tc>
          <w:tcPr>
            <w:tcW w:type="dxa" w:w="3135"/>
          </w:tcPr>
          <w:p>
            <w:pPr>
              <w:jc w:val="center"/>
            </w:pPr>
            <w:r>
              <w:rPr>
                <w:b/>
                <w:color w:val="1F3D33"/>
                <w:sz w:val="32"/>
              </w:rPr>
              <w:t>Non</w:t>
            </w:r>
          </w:p>
        </w:tc>
        <w:tc>
          <w:tcPr>
            <w:tcW w:type="dxa" w:w="3135"/>
          </w:tcPr>
          <w:p>
            <w:pPr>
              <w:jc w:val="center"/>
            </w:pPr>
            <w:r>
              <w:rPr>
                <w:b/>
                <w:color w:val="1F3D33"/>
                <w:sz w:val="32"/>
              </w:rPr>
              <w:t>Oui</w:t>
            </w:r>
          </w:p>
        </w:tc>
        <w:tc>
          <w:tcPr>
            <w:tcW w:type="dxa" w:w="3135"/>
          </w:tcPr>
          <w:p>
            <w:pPr>
              <w:jc w:val="center"/>
            </w:pPr>
            <w:r>
              <w:rPr>
                <w:b/>
                <w:color w:val="1F3D33"/>
                <w:sz w:val="32"/>
              </w:rPr>
            </w:r>
          </w:p>
        </w:tc>
      </w:tr>
    </w:tbl>
    <w:p/>
    <w:p>
      <w:pPr>
        <w:spacing w:before="280" w:after="120"/>
        <w:jc w:val="left"/>
      </w:pPr>
      <w:r>
        <w:rPr>
          <w:rFonts w:ascii="Segoe UI" w:hAnsi="Segoe UI"/>
          <w:b/>
          <w:color w:val="6B5B86"/>
          <w:sz w:val="34"/>
        </w:rPr>
        <w:t>Lecture des indicateurs</w:t>
      </w:r>
    </w:p>
    <w:p>
      <w:pPr>
        <w:spacing w:after="160"/>
      </w:pPr>
      <w:r>
        <w:rPr>
          <w:i w:val="0"/>
          <w:sz w:val="21"/>
        </w:rPr>
        <w:t>Avec 75/100, le pilier de gouvernance se situe 6 points au-dessus du score global (70/100). Les administrateurs indépendants représentent 45 % du conseil, une proportion satisfaisante selon la grille du diagnostic. Les femmes occupent 44 % des sièges du conseil, une représentation exemplaire selon la grille de lecture retenue.</w:t>
      </w:r>
    </w:p>
    <w:p>
      <w:pPr>
        <w:spacing w:after="160"/>
      </w:pPr>
      <w:r>
        <w:rPr>
          <w:i w:val="0"/>
          <w:sz w:val="21"/>
        </w:rPr>
        <w:t>Le conseil compte 9 membres. Un comité de durabilité est en place : il donne un cadre de pilotage aux engagements présentés dans ce rapport. Aucun audit ESG indépendant n'a été conduit sur l'exercice. Aucun manquement éthique n'a été enregistré. Un incident de cybersécurité a été déclaré. Restent à documenter : les cas de corruption et le budget RSE. Leur collecte, au prochain exercice, fiabilisera la lecture de ce pilier.</w:t>
      </w:r>
    </w:p>
    <w:p>
      <w:pPr>
        <w:spacing w:after="160"/>
      </w:pPr>
      <w:r>
        <w:rPr>
          <w:i w:val="0"/>
          <w:sz w:val="21"/>
        </w:rPr>
        <w:t>Le plan d'action retient 2 leviers pour ce pilier : commander un audit ESG indépendant annuel (objectif : assurance limitée obtenue sur le reporting ; échéance : annuel); aligner la stratégie ESG sur les ODD &amp; la TCFD (objectif : alignement ODD / TCFD documenté ; échéance : continu).</w:t>
      </w:r>
    </w:p>
    <w:p>
      <w:pPr>
        <w:spacing w:before="280" w:after="120"/>
        <w:jc w:val="left"/>
      </w:pPr>
      <w:r>
        <w:rPr>
          <w:rFonts w:ascii="Segoe UI" w:hAnsi="Segoe UI"/>
          <w:b/>
          <w:color w:val="6B5B86"/>
          <w:sz w:val="34"/>
        </w:rPr>
        <w:t>Analyse approfondie : ce que disent les chiffres de gouvernance</w:t>
      </w:r>
    </w:p>
    <w:p>
      <w:pPr>
        <w:keepNext/>
        <w:spacing w:before="280" w:after="120"/>
        <w:jc w:val="left"/>
      </w:pPr>
      <w:r>
        <w:rPr>
          <w:rFonts w:ascii="Segoe UI" w:hAnsi="Segoe UI"/>
          <w:b/>
          <w:color w:val="6B5B86"/>
          <w:sz w:val="22"/>
        </w:rPr>
        <w:t>Pilotage de la démarche de durabilité</w:t>
      </w:r>
    </w:p>
    <w:p>
      <w:pPr>
        <w:spacing w:after="160"/>
      </w:pPr>
      <w:r>
        <w:rPr>
          <w:i w:val="0"/>
          <w:sz w:val="21"/>
        </w:rPr>
        <w:t>Un comité de durabilité existe, mais les données ESG ne font pas l'objet d'une vérification externe. Le pilotage repose donc sur des chiffres que personne d'extérieur n'a contrôlés : c'est une fragilité face aux banques, aux investisseurs et aux grands clients, qui accordent plus de crédit à une information vérifiée. Une revue externe ciblée sur quelques indicateurs clés constitue une première étape proportionnée.</w:t>
      </w:r>
    </w:p>
    <w:p>
      <w:pPr>
        <w:keepNext/>
        <w:spacing w:before="280" w:after="120"/>
        <w:jc w:val="left"/>
      </w:pPr>
      <w:r>
        <w:rPr>
          <w:rFonts w:ascii="Segoe UI" w:hAnsi="Segoe UI"/>
          <w:b/>
          <w:color w:val="6B5B86"/>
          <w:sz w:val="22"/>
        </w:rPr>
        <w:t>Le conseil d'administration</w:t>
      </w:r>
    </w:p>
    <w:p>
      <w:pPr>
        <w:spacing w:after="160"/>
      </w:pPr>
      <w:r>
        <w:rPr>
          <w:i w:val="0"/>
          <w:sz w:val="21"/>
        </w:rPr>
        <w:t>Le conseil compte 9 membres, dont 4 indépendants (45 %) et 4 femmes (44 %). Cette taille permet de réunir des compétences variées sans alourdir les délibérations.</w:t>
      </w:r>
    </w:p>
    <w:p>
      <w:pPr>
        <w:keepNext/>
        <w:spacing w:before="280" w:after="120"/>
        <w:jc w:val="left"/>
      </w:pPr>
      <w:r>
        <w:rPr>
          <w:rFonts w:ascii="Segoe UI" w:hAnsi="Segoe UI"/>
          <w:b/>
          <w:color w:val="6B5B86"/>
          <w:sz w:val="22"/>
        </w:rPr>
        <w:t>Éthique, intégrité et sécurité de l'information</w:t>
      </w:r>
    </w:p>
    <w:p>
      <w:pPr>
        <w:spacing w:after="160"/>
      </w:pPr>
      <w:r>
        <w:rPr>
          <w:i w:val="0"/>
          <w:sz w:val="21"/>
        </w:rPr>
        <w:t>Une violation de données a été déclarée. Chaque incident expose l'entreprise à des coûts de remédiation, à une perte de confiance des clients et, le cas échéant, à des obligations de notification. L'analyse des causes — erreur humaine, faille technique, prestataire — doit orienter le plan : sensibilisation, correctifs, exigences contractuelles envers les sous-traitants.</w:t>
      </w:r>
    </w:p>
    <w:p>
      <w:r>
        <w:br w:type="page"/>
      </w:r>
    </w:p>
    <w:p>
      <w:pPr>
        <w:spacing w:before="280" w:after="120"/>
        <w:jc w:val="left"/>
      </w:pPr>
      <w:r>
        <w:rPr>
          <w:rFonts w:ascii="Segoe UI" w:hAnsi="Segoe UI"/>
          <w:b/>
          <w:color w:val="1F3D33"/>
          <w:sz w:val="44"/>
        </w:rPr>
        <w:t>5. Analyses de Durabilité (CSRD / ESRS)</w:t>
      </w:r>
    </w:p>
    <w:p>
      <w:pPr>
        <w:spacing w:before="0" w:after="160"/>
        <w:pBdr>
          <w:bottom w:val="single" w:sz="4" w:space="1" w:color="5F6B64"/>
        </w:pBdr>
      </w:pPr>
    </w:p>
    <w:p>
      <w:pPr>
        <w:spacing w:before="280" w:after="120"/>
        <w:jc w:val="left"/>
      </w:pPr>
      <w:r>
        <w:rPr>
          <w:rFonts w:ascii="Segoe UI" w:hAnsi="Segoe UI"/>
          <w:b/>
          <w:color w:val="5F6B64"/>
          <w:sz w:val="34"/>
        </w:rPr>
        <w:t>Cartographie de priorisation des enjeux</w:t>
      </w:r>
    </w:p>
    <w:p>
      <w:pPr>
        <w:spacing w:after="120"/>
      </w:pPr>
      <w:r>
        <w:t>Acme Industries présente une cartographie de priorisation de ses enjeux de durabilité, dérivée des indicateurs déclarés au titre de l'exercice 2025 et des scores obtenus par pilier. Chaque enjeu est positionné selon deux dimensions estimées à partir des données saisies : son exposition et sa sensibilité économique. Cette cartographie vise à orienter les priorités du plan d'action ; elle ne se substitue pas à une analyse de double matérialité au sens de l'ESRS 1, laquelle requiert une consultation formelle des parties prenantes et une cotation dédiée des impacts, risques et opportunités. Elle peut en constituer une étape préparatoire.</w:t>
      </w:r>
    </w:p>
    <w:p>
      <w:pPr>
        <w:spacing w:before="280" w:after="120"/>
        <w:jc w:val="left"/>
      </w:pPr>
      <w:r>
        <w:rPr>
          <w:rFonts w:ascii="Segoe UI" w:hAnsi="Segoe UI"/>
          <w:b/>
          <w:color w:val="5F6B64"/>
          <w:sz w:val="34"/>
        </w:rPr>
        <w:t>Objectifs &amp; trajectoire</w:t>
      </w:r>
    </w:p>
    <w:p>
      <w:pPr>
        <w:spacing w:after="120"/>
      </w:pPr>
      <w:r>
        <w:t>Acme Industries déclare un objectif de réduction de ses émissions de gaz à effet de serre de 42 % entre 2025 et 2030 (scopes 1 et 2), soit une baisse moyenne équivalente à 8,4 % des émissions de 2025 chaque année. Rapportée au bilan 2025, la cible correspond à environ 1 914 t CO₂e en 2030. Cibles déclarées par l'entreprise à horizon 2030 : part d'énergie renouvelable : 60 % (42 % sur l'exercice, soit 18 points à gagner d'ici 2030) ; heures de formation par salarié : 30 h (22 h sur l'exercice, soit 8 h à gagner d'ici 2030). Ces objectifs sont ceux que l'entreprise a communiqués : ce rapport les documente sans évaluer leur alignement sur une trajectoire de référence. La norme ESRS E1-4 demande de publier si et comment des cibles de réduction ont été fixées : la cible ci-dessus en constitue la déclaration.</w:t>
      </w:r>
    </w:p>
    <w:p>
      <w:pPr>
        <w:spacing w:before="280" w:after="120"/>
        <w:jc w:val="left"/>
      </w:pPr>
      <w:r>
        <w:rPr>
          <w:rFonts w:ascii="Segoe UI" w:hAnsi="Segoe UI"/>
          <w:b/>
          <w:color w:val="5F6B64"/>
          <w:sz w:val="34"/>
        </w:rPr>
        <w:t>Taxonomie européenne</w:t>
      </w:r>
    </w:p>
    <w:p>
      <w:pPr>
        <w:spacing w:after="120"/>
      </w:pPr>
      <w:r>
        <w:t>Au titre du règlement Taxonomie de l'Union européenne, Acme Industries déclare la part de ses activités durables sur le plan environnemental : 38 % du chiffre d'affaires, 52 % des CapEx, 20 % des OpEx alignés. Ces parts sont celles déclarées par l'entreprise. L'alignement au sens du règlement suppose une contribution substantielle à au moins un objectif environnemental, le respect du principe DNSH (« ne pas causer de préjudice important ») et des garanties minimales sociales — diligence raisonnable au sens des Principes directeurs de l'OCDE et des Nations unies. Ces trois conditions ne sont pas évaluées dans ce rapport. Le CapEx aligné, prospectif, renseigne sur la trajectoire d'investissement déclarée.</w:t>
      </w:r>
    </w:p>
    <w:p>
      <w:pPr>
        <w:spacing w:before="280" w:after="120"/>
        <w:jc w:val="left"/>
      </w:pPr>
      <w:r>
        <w:rPr>
          <w:rFonts w:ascii="Segoe UI" w:hAnsi="Segoe UI"/>
          <w:b/>
          <w:color w:val="5F6B64"/>
          <w:sz w:val="34"/>
        </w:rPr>
        <w:t>Risques climatiques (TCFD)</w:t>
      </w:r>
    </w:p>
    <w:p>
      <w:pPr>
        <w:spacing w:after="160"/>
      </w:pPr>
      <w:r>
        <w:t>Structurée selon la logique TCFD et les catégories de la norme ESRS E1 (E1-9), cette section examine ses risques climatiques sur trois horizons : court terme (0-3 ans, aligné sur les cycles budgétaires), moyen terme (3-10 ans) et long terme (au-delà de 10 ans). Les risques physiques concernent en premier lieu la vulnérabilité des sites de production aux vagues de chaleur et au stress hydrique (refroidissement des procédés), ainsi que la perturbation des chaînes d'approvisionnement en matières premières. Les risques de transition sont portés par le renchérissement du carbone (SEQE-UE, taxe carbone aux frontières CBAM) sur les intrants énergo-intensifs et l'exigence croissante d'écoconception de la part des donneurs d'ordre. Avec une intensité carbone de 171 t CO₂e/M€ de CA, l'exposition de l'entreprise à un prix du carbone de 100 €/t est jugée élevée. La part renouvelable du mix énergétique (42 %) atténue partiellement le risque de transition énergétique. Les opportunités associées — efficacité énergétique, offres bas-carbone, accès aux financements à impact — sont évaluées en miroir des risques. La résilience du modèle d'affaires est examinée au regard de deux scénarios de référence (inférieur à 2 °C et supérieur à 3 °C), et les conclusions alimentent la cartographie des risques et le plan stratégique.</w:t>
      </w:r>
    </w:p>
    <w:p>
      <w:r>
        <w:br w:type="page"/>
      </w:r>
    </w:p>
    <w:p>
      <w:pPr>
        <w:spacing w:before="280" w:after="120"/>
        <w:jc w:val="left"/>
      </w:pPr>
      <w:r>
        <w:rPr>
          <w:rFonts w:ascii="Segoe UI" w:hAnsi="Segoe UI"/>
          <w:b/>
          <w:color w:val="2E5A4B"/>
          <w:sz w:val="44"/>
        </w:rPr>
        <w:t>01 — Diagnostic</w:t>
      </w:r>
    </w:p>
    <w:p>
      <w:pPr>
        <w:spacing w:after="80"/>
      </w:pPr>
      <w:r>
        <w:rPr>
          <w:i/>
          <w:sz w:val="24"/>
        </w:rPr>
        <w:t>Où vous situez-vous, et face à qui ?</w:t>
      </w:r>
    </w:p>
    <w:p>
      <w:pPr>
        <w:shd w:val="clear" w:fill="E6E6DC"/>
        <w:spacing w:after="280"/>
      </w:pPr>
      <w:r>
        <w:rPr>
          <w:i w:val="0"/>
          <w:sz w:val="21"/>
        </w:rPr>
        <w:t>Ce chapitre met en regard les résultats et leurs causes. Il identifie 5 forces et 4 axes de progrès, examine la couverture de 6 exigences de reporting (dont 1 encore ouverte) et hiérarchise 4 risques majeurs (dont 1 de priorité 1).</w:t>
      </w:r>
    </w:p>
    <w:p>
      <w:pPr>
        <w:spacing w:before="280" w:after="120"/>
        <w:jc w:val="left"/>
      </w:pPr>
      <w:r>
        <w:rPr>
          <w:rFonts w:ascii="Segoe UI" w:hAnsi="Segoe UI"/>
          <w:b/>
          <w:color w:val="1F3D33"/>
          <w:sz w:val="44"/>
        </w:rPr>
        <w:t>6. Analyse Stratégique</w:t>
      </w:r>
    </w:p>
    <w:p>
      <w:pPr>
        <w:spacing w:before="0" w:after="160"/>
        <w:pBdr>
          <w:bottom w:val="single" w:sz="4" w:space="1" w:color="2E5A4B"/>
        </w:pBdr>
      </w:pPr>
    </w:p>
    <w:p>
      <w:pPr>
        <w:spacing w:after="120"/>
      </w:pPr>
      <w:r>
        <w:rPr>
          <w:b/>
          <w:color w:val="2E5A4B"/>
          <w:sz w:val="25"/>
        </w:rPr>
        <w:t>5 forces établies, 4 leviers de progression</w:t>
      </w:r>
    </w:p>
    <w:p>
      <w:pPr>
        <w:spacing w:before="280" w:after="120"/>
        <w:jc w:val="left"/>
      </w:pPr>
      <w:r>
        <w:rPr>
          <w:rFonts w:ascii="Segoe UI" w:hAnsi="Segoe UI"/>
          <w:b/>
          <w:color w:val="2F6B4F"/>
          <w:sz w:val="34"/>
        </w:rPr>
        <w:t>Points Forts</w:t>
      </w:r>
    </w:p>
    <w:p>
      <w:pPr>
        <w:spacing w:after="60"/>
        <w:ind w:left="283"/>
      </w:pPr>
      <w:r>
        <w:rPr>
          <w:color w:val="2F6B4F"/>
          <w:sz w:val="20"/>
        </w:rPr>
        <w:t xml:space="preserve">✅  </w:t>
      </w:r>
      <w:r>
        <w:rPr>
          <w:sz w:val="20"/>
        </w:rPr>
        <w:t>Excellente performance environnementale globale</w:t>
      </w:r>
    </w:p>
    <w:p>
      <w:pPr>
        <w:spacing w:after="60"/>
        <w:ind w:left="283"/>
      </w:pPr>
      <w:r>
        <w:rPr>
          <w:color w:val="2F6B4F"/>
          <w:sz w:val="20"/>
        </w:rPr>
        <w:t xml:space="preserve">✅  </w:t>
      </w:r>
      <w:r>
        <w:rPr>
          <w:sz w:val="20"/>
        </w:rPr>
        <w:t>Comité de durabilité en place au niveau du CA</w:t>
      </w:r>
    </w:p>
    <w:p>
      <w:pPr>
        <w:spacing w:after="60"/>
        <w:ind w:left="283"/>
      </w:pPr>
      <w:r>
        <w:rPr>
          <w:color w:val="2F6B4F"/>
          <w:sz w:val="20"/>
        </w:rPr>
        <w:t xml:space="preserve">✅  </w:t>
      </w:r>
      <w:r>
        <w:rPr>
          <w:sz w:val="20"/>
        </w:rPr>
        <w:t>Parité exemplaire au Conseil d'Administration (44 %)</w:t>
      </w:r>
    </w:p>
    <w:p>
      <w:pPr>
        <w:spacing w:after="60"/>
        <w:ind w:left="283"/>
      </w:pPr>
      <w:r>
        <w:rPr>
          <w:color w:val="2F6B4F"/>
          <w:sz w:val="20"/>
        </w:rPr>
        <w:t xml:space="preserve">✅  </w:t>
      </w:r>
      <w:r>
        <w:rPr>
          <w:sz w:val="20"/>
        </w:rPr>
        <w:t>Gouvernance de haute qualité et transparente</w:t>
      </w:r>
    </w:p>
    <w:p>
      <w:pPr>
        <w:spacing w:after="60"/>
        <w:ind w:left="283"/>
      </w:pPr>
      <w:r>
        <w:rPr>
          <w:color w:val="2F6B4F"/>
          <w:sz w:val="20"/>
        </w:rPr>
        <w:t xml:space="preserve">✅  </w:t>
      </w:r>
      <w:r>
        <w:rPr>
          <w:sz w:val="20"/>
        </w:rPr>
        <w:t>Reporting complet des émissions Scope 1, 2 et 3</w:t>
      </w:r>
    </w:p>
    <w:p>
      <w:pPr>
        <w:spacing w:before="280" w:after="120"/>
        <w:jc w:val="left"/>
      </w:pPr>
      <w:r>
        <w:rPr>
          <w:rFonts w:ascii="Segoe UI" w:hAnsi="Segoe UI"/>
          <w:b/>
          <w:color w:val="E74C3C"/>
          <w:sz w:val="34"/>
        </w:rPr>
        <w:t>Axes d'Amélioration</w:t>
      </w:r>
    </w:p>
    <w:p>
      <w:pPr>
        <w:spacing w:after="60"/>
        <w:ind w:left="283"/>
      </w:pPr>
      <w:r>
        <w:rPr>
          <w:color w:val="E74C3C"/>
          <w:sz w:val="20"/>
        </w:rPr>
        <w:t xml:space="preserve">⚠️  </w:t>
      </w:r>
      <w:r>
        <w:rPr>
          <w:sz w:val="20"/>
        </w:rPr>
        <w:t>Énergie renouvelable à renforcer (actuellement 42 %, cible de l'entreprise : 60 % en 2030)</w:t>
      </w:r>
    </w:p>
    <w:p>
      <w:pPr>
        <w:spacing w:after="60"/>
        <w:ind w:left="283"/>
      </w:pPr>
      <w:r>
        <w:rPr>
          <w:color w:val="E74C3C"/>
          <w:sz w:val="20"/>
        </w:rPr>
        <w:t xml:space="preserve">⚠️  </w:t>
      </w:r>
      <w:r>
        <w:rPr>
          <w:sz w:val="20"/>
        </w:rPr>
        <w:t>Déséquilibre de genre dans les effectifs (34 % de femmes)</w:t>
      </w:r>
    </w:p>
    <w:p>
      <w:pPr>
        <w:spacing w:after="60"/>
        <w:ind w:left="283"/>
      </w:pPr>
      <w:r>
        <w:rPr>
          <w:color w:val="E74C3C"/>
          <w:sz w:val="20"/>
        </w:rPr>
        <w:t xml:space="preserve">⚠️  </w:t>
      </w:r>
      <w:r>
        <w:rPr>
          <w:sz w:val="20"/>
        </w:rPr>
        <w:t>Une violation de données — cybersécurité à renforcer</w:t>
      </w:r>
    </w:p>
    <w:p>
      <w:pPr>
        <w:spacing w:after="60"/>
        <w:ind w:left="283"/>
      </w:pPr>
      <w:r>
        <w:rPr>
          <w:color w:val="E74C3C"/>
          <w:sz w:val="20"/>
        </w:rPr>
        <w:t xml:space="preserve">⚠️  </w:t>
      </w:r>
      <w:r>
        <w:rPr>
          <w:sz w:val="20"/>
        </w:rPr>
        <w:t>Absence d'audit ESG indépendant</w:t>
      </w:r>
    </w:p>
    <w:p>
      <w:pPr>
        <w:spacing w:before="280" w:after="120"/>
        <w:jc w:val="left"/>
      </w:pPr>
      <w:r>
        <w:rPr>
          <w:rFonts w:ascii="Segoe UI" w:hAnsi="Segoe UI"/>
          <w:b/>
          <w:color w:val="2E5A4B"/>
          <w:sz w:val="44"/>
        </w:rPr>
        <w:t>02 — Plan d'action</w:t>
      </w:r>
    </w:p>
    <w:p>
      <w:pPr>
        <w:spacing w:after="80"/>
      </w:pPr>
      <w:r>
        <w:rPr>
          <w:i/>
          <w:sz w:val="24"/>
        </w:rPr>
        <w:t>Quoi faire, dans quel ordre, sous quel horizon.</w:t>
      </w:r>
    </w:p>
    <w:p>
      <w:pPr>
        <w:shd w:val="clear" w:fill="E6E6DC"/>
        <w:spacing w:after="280"/>
      </w:pPr>
      <w:r>
        <w:rPr>
          <w:i w:val="0"/>
          <w:sz w:val="21"/>
        </w:rPr>
        <w:t>Ce chapitre traduit le diagnostic en actions. Il propose 4 recommandations, dont 2 gains rapides, et les ordonne dans une feuille de route en trois phases sur douze mois, en cohérence avec l'horizon 2030 fixé par l'entreprise.</w:t>
      </w:r>
    </w:p>
    <w:p>
      <w:pPr>
        <w:spacing w:before="280" w:after="120"/>
        <w:jc w:val="left"/>
      </w:pPr>
      <w:r>
        <w:rPr>
          <w:rFonts w:ascii="Segoe UI" w:hAnsi="Segoe UI"/>
          <w:b/>
          <w:color w:val="1F3D33"/>
          <w:sz w:val="44"/>
        </w:rPr>
        <w:t>7. Recommandations Prioritaires</w:t>
      </w:r>
    </w:p>
    <w:p>
      <w:pPr>
        <w:spacing w:before="0" w:after="160"/>
        <w:pBdr>
          <w:bottom w:val="single" w:sz="4" w:space="1" w:color="2E5A4B"/>
        </w:pBdr>
      </w:pPr>
    </w:p>
    <w:p>
      <w:pPr>
        <w:spacing w:after="160"/>
      </w:pPr>
      <w:r>
        <w:rPr>
          <w:i w:val="0"/>
          <w:sz w:val="21"/>
        </w:rPr>
        <w:t>Les recommandations sont ordonnées par priorité. Elles se répartissent entre l'environnement (1), le social (1) et la gouvernance (2) ; chacune précise un objectif, un responsable et une échéance.</w:t>
      </w:r>
    </w:p>
    <w:p>
      <w:pPr>
        <w:spacing w:after="20"/>
      </w:pPr>
      <w:r>
        <w:rPr>
          <w:b/>
          <w:color w:val="2E5A4B"/>
        </w:rPr>
        <w:t xml:space="preserve">1.  </w:t>
      </w:r>
      <w:r>
        <w:rPr>
          <w:b/>
          <w:sz w:val="21"/>
        </w:rPr>
        <w:t>Atteindre la cible de 60 % d'énergie renouvelable fixée pour 2030</w:t>
      </w:r>
    </w:p>
    <w:p>
      <w:pPr>
        <w:spacing w:after="120"/>
        <w:ind w:left="397"/>
      </w:pPr>
      <w:r>
        <w:rPr>
          <w:sz w:val="19"/>
        </w:rPr>
        <w:t>Réduit les émissions Scope 2 et l'exposition aux prix de l'énergie ; premier levier d'une trajectoire de réduction.</w:t>
      </w:r>
      <w:r>
        <w:rPr>
          <w:color w:val="7F8C8D"/>
          <w:sz w:val="17"/>
        </w:rPr>
        <w:br/>
        <w:t>Objectif : Cible de l'entreprise : 60 % en 2030  ·  Responsable : Direction des opérations  ·  2027</w:t>
      </w:r>
    </w:p>
    <w:p>
      <w:pPr>
        <w:spacing w:after="20"/>
      </w:pPr>
      <w:r>
        <w:rPr>
          <w:b/>
          <w:color w:val="2E5A4B"/>
        </w:rPr>
        <w:t xml:space="preserve">2.  </w:t>
      </w:r>
      <w:r>
        <w:rPr>
          <w:b/>
          <w:sz w:val="21"/>
        </w:rPr>
        <w:t>Définir des objectifs chiffrés de parité femme-homme</w:t>
      </w:r>
    </w:p>
    <w:p>
      <w:pPr>
        <w:spacing w:after="120"/>
        <w:ind w:left="397"/>
      </w:pPr>
      <w:r>
        <w:rPr>
          <w:sz w:val="19"/>
        </w:rPr>
        <w:t>Renforce la diversité des équipes et l'attractivité employeur ; améliore la fidélisation des talents.</w:t>
      </w:r>
      <w:r>
        <w:rPr>
          <w:color w:val="7F8C8D"/>
          <w:sz w:val="17"/>
        </w:rPr>
        <w:br/>
        <w:t>Objectif : Cible de mixité définie et suivie annuellement  ·  Responsable : Direction des ressources humaines  ·  2026</w:t>
      </w:r>
    </w:p>
    <w:p>
      <w:pPr>
        <w:spacing w:after="20"/>
      </w:pPr>
      <w:r>
        <w:rPr>
          <w:b/>
          <w:color w:val="2E5A4B"/>
        </w:rPr>
        <w:t xml:space="preserve">3.  </w:t>
      </w:r>
      <w:r>
        <w:rPr>
          <w:b/>
          <w:sz w:val="21"/>
        </w:rPr>
        <w:t>Commander un audit ESG indépendant annuel</w:t>
      </w:r>
    </w:p>
    <w:p>
      <w:pPr>
        <w:spacing w:after="120"/>
        <w:ind w:left="397"/>
      </w:pPr>
      <w:r>
        <w:rPr>
          <w:sz w:val="19"/>
        </w:rPr>
        <w:t>Apporte l'assurance d'un tiers indépendant, exigée des entreprises soumises à la CSRD ; renforce la confiance des investisseurs.</w:t>
      </w:r>
      <w:r>
        <w:rPr>
          <w:color w:val="7F8C8D"/>
          <w:sz w:val="17"/>
        </w:rPr>
        <w:br/>
        <w:t>Objectif : Assurance limitée obtenue sur le reporting  ·  Responsable : Direction générale  ·  Annuel</w:t>
      </w:r>
    </w:p>
    <w:p>
      <w:pPr>
        <w:spacing w:after="20"/>
      </w:pPr>
      <w:r>
        <w:rPr>
          <w:b/>
          <w:color w:val="2E5A4B"/>
        </w:rPr>
        <w:t xml:space="preserve">4.  </w:t>
      </w:r>
      <w:r>
        <w:rPr>
          <w:b/>
          <w:sz w:val="21"/>
        </w:rPr>
        <w:t>Aligner la stratégie ESG sur les ODD &amp; la TCFD</w:t>
      </w:r>
    </w:p>
    <w:p>
      <w:pPr>
        <w:spacing w:after="120"/>
        <w:ind w:left="397"/>
      </w:pPr>
      <w:r>
        <w:rPr>
          <w:sz w:val="19"/>
        </w:rPr>
        <w:t>Renforce l'alignement sur les cadres de référence (ODD, TCFD) et la comparabilité du reporting.</w:t>
      </w:r>
      <w:r>
        <w:rPr>
          <w:color w:val="7F8C8D"/>
          <w:sz w:val="17"/>
        </w:rPr>
        <w:br/>
        <w:t>Objectif : Alignement ODD / TCFD documenté  ·  Responsable : Direction RSE  ·  Continu</w:t>
      </w:r>
    </w:p>
    <w:p>
      <w:pPr>
        <w:spacing w:before="280" w:after="120"/>
        <w:jc w:val="left"/>
      </w:pPr>
      <w:r>
        <w:rPr>
          <w:rFonts w:ascii="Segoe UI" w:hAnsi="Segoe UI"/>
          <w:b/>
          <w:color w:val="1F3D33"/>
          <w:sz w:val="44"/>
        </w:rPr>
        <w:t>Diagnostic stratégique &amp; positionnement</w:t>
      </w:r>
    </w:p>
    <w:p>
      <w:pPr>
        <w:spacing w:before="0" w:after="160"/>
        <w:pBdr>
          <w:bottom w:val="single" w:sz="4" w:space="1" w:color="2E5A4B"/>
        </w:pBdr>
      </w:pPr>
    </w:p>
    <w:p>
      <w:r>
        <w:rPr>
          <w:b/>
          <w:color w:val="5F6B64"/>
          <w:sz w:val="24"/>
        </w:rPr>
        <w:t>Évolution depuis l'exercice 2024</w:t>
      </w:r>
    </w:p>
    <w:p>
      <w:pPr>
        <w:spacing w:after="80"/>
      </w:pPr>
      <w:r>
        <w:rPr>
          <w:i w:val="0"/>
          <w:sz w:val="21"/>
        </w:rPr>
        <w:t>Par rapport à l'exercice 2024, 17 indicateurs sont comparables : 7 en progrès, 1 en recul, 5 stables, 4 sans sens de lecture défini. Principales évolutions : les incidents de cybersécurité de 0 à 1 (+1) ; le taux de fréquence des accidents de 8,1 à 6,2 (-1,9) ; les heures de formation de 18 h à 22 h (+4 h) ; la part d'énergie renouvelable de 35 % à 42 % (+7 pts).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fill="E6E6DC"/>
          </w:tcPr>
          <w:p>
            <w:r>
              <w:rPr>
                <w:b/>
                <w:sz w:val="18"/>
              </w:rPr>
              <w:t>Indicateur</w:t>
            </w:r>
          </w:p>
        </w:tc>
        <w:tc>
          <w:tcPr>
            <w:tcW w:type="dxa" w:w="1881"/>
            <w:shd w:val="clear" w:fill="E6E6DC"/>
          </w:tcPr>
          <w:p>
            <w:r>
              <w:rPr>
                <w:b/>
                <w:sz w:val="18"/>
              </w:rPr>
              <w:t>2024</w:t>
            </w:r>
          </w:p>
        </w:tc>
        <w:tc>
          <w:tcPr>
            <w:tcW w:type="dxa" w:w="1881"/>
            <w:shd w:val="clear" w:fill="E6E6DC"/>
          </w:tcPr>
          <w:p>
            <w:r>
              <w:rPr>
                <w:b/>
                <w:sz w:val="18"/>
              </w:rPr>
              <w:t>2025</w:t>
            </w:r>
          </w:p>
        </w:tc>
        <w:tc>
          <w:tcPr>
            <w:tcW w:type="dxa" w:w="1881"/>
            <w:shd w:val="clear" w:fill="E6E6DC"/>
          </w:tcPr>
          <w:p>
            <w:r>
              <w:rPr>
                <w:b/>
                <w:sz w:val="18"/>
              </w:rPr>
              <w:t>Variation</w:t>
            </w:r>
          </w:p>
        </w:tc>
        <w:tc>
          <w:tcPr>
            <w:tcW w:type="dxa" w:w="1881"/>
            <w:shd w:val="clear" w:fill="E6E6DC"/>
          </w:tcPr>
          <w:p>
            <w:r>
              <w:rPr>
                <w:b/>
                <w:sz w:val="18"/>
              </w:rPr>
              <w:t>Lecture</w:t>
            </w:r>
          </w:p>
        </w:tc>
      </w:tr>
      <w:tr>
        <w:tc>
          <w:tcPr>
            <w:tcW w:type="dxa" w:w="1881"/>
          </w:tcPr>
          <w:p>
            <w:r>
              <w:rPr>
                <w:b/>
                <w:sz w:val="19"/>
              </w:rPr>
              <w:t>Intensité carbone (t CO₂e / M€)</w:t>
            </w:r>
          </w:p>
        </w:tc>
        <w:tc>
          <w:tcPr>
            <w:tcW w:type="dxa" w:w="1881"/>
          </w:tcPr>
          <w:p>
            <w:r>
              <w:rPr>
                <w:b w:val="0"/>
                <w:sz w:val="19"/>
              </w:rPr>
              <w:t>197,8</w:t>
            </w:r>
          </w:p>
        </w:tc>
        <w:tc>
          <w:tcPr>
            <w:tcW w:type="dxa" w:w="1881"/>
          </w:tcPr>
          <w:p>
            <w:r>
              <w:rPr>
                <w:b w:val="0"/>
                <w:sz w:val="19"/>
              </w:rPr>
              <w:t>170,8</w:t>
            </w:r>
          </w:p>
        </w:tc>
        <w:tc>
          <w:tcPr>
            <w:tcW w:type="dxa" w:w="1881"/>
          </w:tcPr>
          <w:p>
            <w:r>
              <w:rPr>
                <w:b w:val="0"/>
                <w:sz w:val="19"/>
              </w:rPr>
              <w:t>-26,9</w:t>
            </w:r>
          </w:p>
        </w:tc>
        <w:tc>
          <w:tcPr>
            <w:tcW w:type="dxa" w:w="1881"/>
          </w:tcPr>
          <w:p>
            <w:r>
              <w:rPr>
                <w:b w:val="0"/>
                <w:sz w:val="19"/>
              </w:rPr>
              <w:t>en progrès</w:t>
            </w:r>
          </w:p>
        </w:tc>
      </w:tr>
      <w:tr>
        <w:tc>
          <w:tcPr>
            <w:tcW w:type="dxa" w:w="1881"/>
          </w:tcPr>
          <w:p>
            <w:r>
              <w:rPr>
                <w:b/>
                <w:sz w:val="19"/>
              </w:rPr>
              <w:t>Émissions totales de gaz à effet de serre</w:t>
            </w:r>
          </w:p>
        </w:tc>
        <w:tc>
          <w:tcPr>
            <w:tcW w:type="dxa" w:w="1881"/>
          </w:tcPr>
          <w:p>
            <w:r>
              <w:rPr>
                <w:b w:val="0"/>
                <w:sz w:val="19"/>
              </w:rPr>
              <w:t>8 900 t</w:t>
            </w:r>
          </w:p>
        </w:tc>
        <w:tc>
          <w:tcPr>
            <w:tcW w:type="dxa" w:w="1881"/>
          </w:tcPr>
          <w:p>
            <w:r>
              <w:rPr>
                <w:b w:val="0"/>
                <w:sz w:val="19"/>
              </w:rPr>
              <w:t>8 200 t</w:t>
            </w:r>
          </w:p>
        </w:tc>
        <w:tc>
          <w:tcPr>
            <w:tcW w:type="dxa" w:w="1881"/>
          </w:tcPr>
          <w:p>
            <w:r>
              <w:rPr>
                <w:b w:val="0"/>
                <w:sz w:val="19"/>
              </w:rPr>
              <w:t>-700 t</w:t>
            </w:r>
          </w:p>
        </w:tc>
        <w:tc>
          <w:tcPr>
            <w:tcW w:type="dxa" w:w="1881"/>
          </w:tcPr>
          <w:p>
            <w:r>
              <w:rPr>
                <w:b w:val="0"/>
                <w:sz w:val="19"/>
              </w:rPr>
              <w:t>—</w:t>
            </w:r>
          </w:p>
        </w:tc>
      </w:tr>
      <w:tr>
        <w:tc>
          <w:tcPr>
            <w:tcW w:type="dxa" w:w="1881"/>
          </w:tcPr>
          <w:p>
            <w:r>
              <w:rPr>
                <w:b/>
                <w:sz w:val="19"/>
              </w:rPr>
              <w:t>Consommation d'énergie</w:t>
            </w:r>
          </w:p>
        </w:tc>
        <w:tc>
          <w:tcPr>
            <w:tcW w:type="dxa" w:w="1881"/>
          </w:tcPr>
          <w:p>
            <w:r>
              <w:rPr>
                <w:b w:val="0"/>
                <w:sz w:val="19"/>
              </w:rPr>
              <w:t>22 800 MWh</w:t>
            </w:r>
          </w:p>
        </w:tc>
        <w:tc>
          <w:tcPr>
            <w:tcW w:type="dxa" w:w="1881"/>
          </w:tcPr>
          <w:p>
            <w:r>
              <w:rPr>
                <w:b w:val="0"/>
                <w:sz w:val="19"/>
              </w:rPr>
              <w:t>21 500 MWh</w:t>
            </w:r>
          </w:p>
        </w:tc>
        <w:tc>
          <w:tcPr>
            <w:tcW w:type="dxa" w:w="1881"/>
          </w:tcPr>
          <w:p>
            <w:r>
              <w:rPr>
                <w:b w:val="0"/>
                <w:sz w:val="19"/>
              </w:rPr>
              <w:t>-1 300 MWh</w:t>
            </w:r>
          </w:p>
        </w:tc>
        <w:tc>
          <w:tcPr>
            <w:tcW w:type="dxa" w:w="1881"/>
          </w:tcPr>
          <w:p>
            <w:r>
              <w:rPr>
                <w:b w:val="0"/>
                <w:sz w:val="19"/>
              </w:rPr>
              <w:t>—</w:t>
            </w:r>
          </w:p>
        </w:tc>
      </w:tr>
      <w:tr>
        <w:tc>
          <w:tcPr>
            <w:tcW w:type="dxa" w:w="1881"/>
          </w:tcPr>
          <w:p>
            <w:r>
              <w:rPr>
                <w:b/>
                <w:sz w:val="19"/>
              </w:rPr>
              <w:t>Part d'énergie renouvelable</w:t>
            </w:r>
          </w:p>
        </w:tc>
        <w:tc>
          <w:tcPr>
            <w:tcW w:type="dxa" w:w="1881"/>
          </w:tcPr>
          <w:p>
            <w:r>
              <w:rPr>
                <w:b w:val="0"/>
                <w:sz w:val="19"/>
              </w:rPr>
              <w:t>35 %</w:t>
            </w:r>
          </w:p>
        </w:tc>
        <w:tc>
          <w:tcPr>
            <w:tcW w:type="dxa" w:w="1881"/>
          </w:tcPr>
          <w:p>
            <w:r>
              <w:rPr>
                <w:b w:val="0"/>
                <w:sz w:val="19"/>
              </w:rPr>
              <w:t>42 %</w:t>
            </w:r>
          </w:p>
        </w:tc>
        <w:tc>
          <w:tcPr>
            <w:tcW w:type="dxa" w:w="1881"/>
          </w:tcPr>
          <w:p>
            <w:r>
              <w:rPr>
                <w:b w:val="0"/>
                <w:sz w:val="19"/>
              </w:rPr>
              <w:t>+7 pts</w:t>
            </w:r>
          </w:p>
        </w:tc>
        <w:tc>
          <w:tcPr>
            <w:tcW w:type="dxa" w:w="1881"/>
          </w:tcPr>
          <w:p>
            <w:r>
              <w:rPr>
                <w:b w:val="0"/>
                <w:sz w:val="19"/>
              </w:rPr>
              <w:t>en progrès</w:t>
            </w:r>
          </w:p>
        </w:tc>
      </w:tr>
      <w:tr>
        <w:tc>
          <w:tcPr>
            <w:tcW w:type="dxa" w:w="1881"/>
          </w:tcPr>
          <w:p>
            <w:r>
              <w:rPr>
                <w:b/>
                <w:sz w:val="19"/>
              </w:rPr>
              <w:t>Consommation d'eau</w:t>
            </w:r>
          </w:p>
        </w:tc>
        <w:tc>
          <w:tcPr>
            <w:tcW w:type="dxa" w:w="1881"/>
          </w:tcPr>
          <w:p>
            <w:r>
              <w:rPr>
                <w:b w:val="0"/>
                <w:sz w:val="19"/>
              </w:rPr>
              <w:t>115 000 m³</w:t>
            </w:r>
          </w:p>
        </w:tc>
        <w:tc>
          <w:tcPr>
            <w:tcW w:type="dxa" w:w="1881"/>
          </w:tcPr>
          <w:p>
            <w:r>
              <w:rPr>
                <w:b w:val="0"/>
                <w:sz w:val="19"/>
              </w:rPr>
              <w:t>120 000 m³</w:t>
            </w:r>
          </w:p>
        </w:tc>
        <w:tc>
          <w:tcPr>
            <w:tcW w:type="dxa" w:w="1881"/>
          </w:tcPr>
          <w:p>
            <w:r>
              <w:rPr>
                <w:b w:val="0"/>
                <w:sz w:val="19"/>
              </w:rPr>
              <w:t>+5 000 m³</w:t>
            </w:r>
          </w:p>
        </w:tc>
        <w:tc>
          <w:tcPr>
            <w:tcW w:type="dxa" w:w="1881"/>
          </w:tcPr>
          <w:p>
            <w:r>
              <w:rPr>
                <w:b w:val="0"/>
                <w:sz w:val="19"/>
              </w:rPr>
              <w:t>—</w:t>
            </w:r>
          </w:p>
        </w:tc>
      </w:tr>
      <w:tr>
        <w:tc>
          <w:tcPr>
            <w:tcW w:type="dxa" w:w="1881"/>
          </w:tcPr>
          <w:p>
            <w:r>
              <w:rPr>
                <w:b/>
                <w:sz w:val="19"/>
              </w:rPr>
              <w:t>Taux de valorisation des déchets</w:t>
            </w:r>
          </w:p>
        </w:tc>
        <w:tc>
          <w:tcPr>
            <w:tcW w:type="dxa" w:w="1881"/>
          </w:tcPr>
          <w:p>
            <w:r>
              <w:rPr>
                <w:b w:val="0"/>
                <w:sz w:val="19"/>
              </w:rPr>
              <w:t>58 %</w:t>
            </w:r>
          </w:p>
        </w:tc>
        <w:tc>
          <w:tcPr>
            <w:tcW w:type="dxa" w:w="1881"/>
          </w:tcPr>
          <w:p>
            <w:r>
              <w:rPr>
                <w:b w:val="0"/>
                <w:sz w:val="19"/>
              </w:rPr>
              <w:t>63 %</w:t>
            </w:r>
          </w:p>
        </w:tc>
        <w:tc>
          <w:tcPr>
            <w:tcW w:type="dxa" w:w="1881"/>
          </w:tcPr>
          <w:p>
            <w:r>
              <w:rPr>
                <w:b w:val="0"/>
                <w:sz w:val="19"/>
              </w:rPr>
              <w:t>+5 pts</w:t>
            </w:r>
          </w:p>
        </w:tc>
        <w:tc>
          <w:tcPr>
            <w:tcW w:type="dxa" w:w="1881"/>
          </w:tcPr>
          <w:p>
            <w:r>
              <w:rPr>
                <w:b w:val="0"/>
                <w:sz w:val="19"/>
              </w:rPr>
              <w:t>en progrès</w:t>
            </w:r>
          </w:p>
        </w:tc>
      </w:tr>
      <w:tr>
        <w:tc>
          <w:tcPr>
            <w:tcW w:type="dxa" w:w="1881"/>
          </w:tcPr>
          <w:p>
            <w:r>
              <w:rPr>
                <w:b/>
                <w:sz w:val="19"/>
              </w:rPr>
              <w:t>Effectif</w:t>
            </w:r>
          </w:p>
        </w:tc>
        <w:tc>
          <w:tcPr>
            <w:tcW w:type="dxa" w:w="1881"/>
          </w:tcPr>
          <w:p>
            <w:r>
              <w:rPr>
                <w:b w:val="0"/>
                <w:sz w:val="19"/>
              </w:rPr>
              <w:t>310</w:t>
            </w:r>
          </w:p>
        </w:tc>
        <w:tc>
          <w:tcPr>
            <w:tcW w:type="dxa" w:w="1881"/>
          </w:tcPr>
          <w:p>
            <w:r>
              <w:rPr>
                <w:b w:val="0"/>
                <w:sz w:val="19"/>
              </w:rPr>
              <w:t>320</w:t>
            </w:r>
          </w:p>
        </w:tc>
        <w:tc>
          <w:tcPr>
            <w:tcW w:type="dxa" w:w="1881"/>
          </w:tcPr>
          <w:p>
            <w:r>
              <w:rPr>
                <w:b w:val="0"/>
                <w:sz w:val="19"/>
              </w:rPr>
              <w:t>+10</w:t>
            </w:r>
          </w:p>
        </w:tc>
        <w:tc>
          <w:tcPr>
            <w:tcW w:type="dxa" w:w="1881"/>
          </w:tcPr>
          <w:p>
            <w:r>
              <w:rPr>
                <w:b w:val="0"/>
                <w:sz w:val="19"/>
              </w:rPr>
              <w:t>—</w:t>
            </w:r>
          </w:p>
        </w:tc>
      </w:tr>
      <w:tr>
        <w:tc>
          <w:tcPr>
            <w:tcW w:type="dxa" w:w="1881"/>
          </w:tcPr>
          <w:p>
            <w:r>
              <w:rPr>
                <w:b/>
                <w:sz w:val="19"/>
              </w:rPr>
              <w:t>Part de femmes</w:t>
            </w:r>
          </w:p>
        </w:tc>
        <w:tc>
          <w:tcPr>
            <w:tcW w:type="dxa" w:w="1881"/>
          </w:tcPr>
          <w:p>
            <w:r>
              <w:rPr>
                <w:b w:val="0"/>
                <w:sz w:val="19"/>
              </w:rPr>
              <w:t>33 %</w:t>
            </w:r>
          </w:p>
        </w:tc>
        <w:tc>
          <w:tcPr>
            <w:tcW w:type="dxa" w:w="1881"/>
          </w:tcPr>
          <w:p>
            <w:r>
              <w:rPr>
                <w:b w:val="0"/>
                <w:sz w:val="19"/>
              </w:rPr>
              <w:t>34 %</w:t>
            </w:r>
          </w:p>
        </w:tc>
        <w:tc>
          <w:tcPr>
            <w:tcW w:type="dxa" w:w="1881"/>
          </w:tcPr>
          <w:p>
            <w:r>
              <w:rPr>
                <w:b w:val="0"/>
                <w:sz w:val="19"/>
              </w:rPr>
              <w:t>+1 pt</w:t>
            </w:r>
          </w:p>
        </w:tc>
        <w:tc>
          <w:tcPr>
            <w:tcW w:type="dxa" w:w="1881"/>
          </w:tcPr>
          <w:p>
            <w:r>
              <w:rPr>
                <w:b w:val="0"/>
                <w:sz w:val="19"/>
              </w:rPr>
              <w:t>en progrès</w:t>
            </w:r>
          </w:p>
        </w:tc>
      </w:tr>
      <w:tr>
        <w:tc>
          <w:tcPr>
            <w:tcW w:type="dxa" w:w="1881"/>
          </w:tcPr>
          <w:p>
            <w:r>
              <w:rPr>
                <w:b/>
                <w:sz w:val="19"/>
              </w:rPr>
              <w:t>Taux de rotation</w:t>
            </w:r>
          </w:p>
        </w:tc>
        <w:tc>
          <w:tcPr>
            <w:tcW w:type="dxa" w:w="1881"/>
          </w:tcPr>
          <w:p>
            <w:r>
              <w:rPr>
                <w:b w:val="0"/>
                <w:sz w:val="19"/>
              </w:rPr>
              <w:t>13 %</w:t>
            </w:r>
          </w:p>
        </w:tc>
        <w:tc>
          <w:tcPr>
            <w:tcW w:type="dxa" w:w="1881"/>
          </w:tcPr>
          <w:p>
            <w:r>
              <w:rPr>
                <w:b w:val="0"/>
                <w:sz w:val="19"/>
              </w:rPr>
              <w:t>11 %</w:t>
            </w:r>
          </w:p>
        </w:tc>
        <w:tc>
          <w:tcPr>
            <w:tcW w:type="dxa" w:w="1881"/>
          </w:tcPr>
          <w:p>
            <w:r>
              <w:rPr>
                <w:b w:val="0"/>
                <w:sz w:val="19"/>
              </w:rPr>
              <w:t>-2 pts</w:t>
            </w:r>
          </w:p>
        </w:tc>
        <w:tc>
          <w:tcPr>
            <w:tcW w:type="dxa" w:w="1881"/>
          </w:tcPr>
          <w:p>
            <w:r>
              <w:rPr>
                <w:b w:val="0"/>
                <w:sz w:val="19"/>
              </w:rPr>
              <w:t>en progrès</w:t>
            </w:r>
          </w:p>
        </w:tc>
      </w:tr>
      <w:tr>
        <w:tc>
          <w:tcPr>
            <w:tcW w:type="dxa" w:w="1881"/>
          </w:tcPr>
          <w:p>
            <w:r>
              <w:rPr>
                <w:b/>
                <w:sz w:val="19"/>
              </w:rPr>
              <w:t>Heures de formation</w:t>
            </w:r>
          </w:p>
        </w:tc>
        <w:tc>
          <w:tcPr>
            <w:tcW w:type="dxa" w:w="1881"/>
          </w:tcPr>
          <w:p>
            <w:r>
              <w:rPr>
                <w:b w:val="0"/>
                <w:sz w:val="19"/>
              </w:rPr>
              <w:t>18 h</w:t>
            </w:r>
          </w:p>
        </w:tc>
        <w:tc>
          <w:tcPr>
            <w:tcW w:type="dxa" w:w="1881"/>
          </w:tcPr>
          <w:p>
            <w:r>
              <w:rPr>
                <w:b w:val="0"/>
                <w:sz w:val="19"/>
              </w:rPr>
              <w:t>22 h</w:t>
            </w:r>
          </w:p>
        </w:tc>
        <w:tc>
          <w:tcPr>
            <w:tcW w:type="dxa" w:w="1881"/>
          </w:tcPr>
          <w:p>
            <w:r>
              <w:rPr>
                <w:b w:val="0"/>
                <w:sz w:val="19"/>
              </w:rPr>
              <w:t>+4 h</w:t>
            </w:r>
          </w:p>
        </w:tc>
        <w:tc>
          <w:tcPr>
            <w:tcW w:type="dxa" w:w="1881"/>
          </w:tcPr>
          <w:p>
            <w:r>
              <w:rPr>
                <w:b w:val="0"/>
                <w:sz w:val="19"/>
              </w:rPr>
              <w:t>en progrès</w:t>
            </w:r>
          </w:p>
        </w:tc>
      </w:tr>
      <w:tr>
        <w:tc>
          <w:tcPr>
            <w:tcW w:type="dxa" w:w="1881"/>
          </w:tcPr>
          <w:p>
            <w:r>
              <w:rPr>
                <w:b/>
                <w:sz w:val="19"/>
              </w:rPr>
              <w:t>Taux de fréquence des accidents</w:t>
            </w:r>
          </w:p>
        </w:tc>
        <w:tc>
          <w:tcPr>
            <w:tcW w:type="dxa" w:w="1881"/>
          </w:tcPr>
          <w:p>
            <w:r>
              <w:rPr>
                <w:b w:val="0"/>
                <w:sz w:val="19"/>
              </w:rPr>
              <w:t>8,1</w:t>
            </w:r>
          </w:p>
        </w:tc>
        <w:tc>
          <w:tcPr>
            <w:tcW w:type="dxa" w:w="1881"/>
          </w:tcPr>
          <w:p>
            <w:r>
              <w:rPr>
                <w:b w:val="0"/>
                <w:sz w:val="19"/>
              </w:rPr>
              <w:t>6,2</w:t>
            </w:r>
          </w:p>
        </w:tc>
        <w:tc>
          <w:tcPr>
            <w:tcW w:type="dxa" w:w="1881"/>
          </w:tcPr>
          <w:p>
            <w:r>
              <w:rPr>
                <w:b w:val="0"/>
                <w:sz w:val="19"/>
              </w:rPr>
              <w:t>-1,9</w:t>
            </w:r>
          </w:p>
        </w:tc>
        <w:tc>
          <w:tcPr>
            <w:tcW w:type="dxa" w:w="1881"/>
          </w:tcPr>
          <w:p>
            <w:r>
              <w:rPr>
                <w:b w:val="0"/>
                <w:sz w:val="19"/>
              </w:rPr>
              <w:t>en progrès</w:t>
            </w:r>
          </w:p>
        </w:tc>
      </w:tr>
      <w:tr>
        <w:tc>
          <w:tcPr>
            <w:tcW w:type="dxa" w:w="1881"/>
          </w:tcPr>
          <w:p>
            <w:r>
              <w:rPr>
                <w:b/>
                <w:sz w:val="19"/>
              </w:rPr>
              <w:t>Part de femmes au conseil</w:t>
            </w:r>
          </w:p>
        </w:tc>
        <w:tc>
          <w:tcPr>
            <w:tcW w:type="dxa" w:w="1881"/>
          </w:tcPr>
          <w:p>
            <w:r>
              <w:rPr>
                <w:b w:val="0"/>
                <w:sz w:val="19"/>
              </w:rPr>
              <w:t>44 %</w:t>
            </w:r>
          </w:p>
        </w:tc>
        <w:tc>
          <w:tcPr>
            <w:tcW w:type="dxa" w:w="1881"/>
          </w:tcPr>
          <w:p>
            <w:r>
              <w:rPr>
                <w:b w:val="0"/>
                <w:sz w:val="19"/>
              </w:rPr>
              <w:t>44 %</w:t>
            </w:r>
          </w:p>
        </w:tc>
        <w:tc>
          <w:tcPr>
            <w:tcW w:type="dxa" w:w="1881"/>
          </w:tcPr>
          <w:p>
            <w:r>
              <w:rPr>
                <w:b w:val="0"/>
                <w:sz w:val="19"/>
              </w:rPr>
              <w:t>0 pt</w:t>
            </w:r>
          </w:p>
        </w:tc>
        <w:tc>
          <w:tcPr>
            <w:tcW w:type="dxa" w:w="1881"/>
          </w:tcPr>
          <w:p>
            <w:r>
              <w:rPr>
                <w:b w:val="0"/>
                <w:sz w:val="19"/>
              </w:rPr>
              <w:t>stable</w:t>
            </w:r>
          </w:p>
        </w:tc>
      </w:tr>
      <w:tr>
        <w:tc>
          <w:tcPr>
            <w:tcW w:type="dxa" w:w="1881"/>
          </w:tcPr>
          <w:p>
            <w:r>
              <w:rPr>
                <w:b/>
                <w:sz w:val="19"/>
              </w:rPr>
              <w:t>Part d'administrateurs indépendants</w:t>
            </w:r>
          </w:p>
        </w:tc>
        <w:tc>
          <w:tcPr>
            <w:tcW w:type="dxa" w:w="1881"/>
          </w:tcPr>
          <w:p>
            <w:r>
              <w:rPr>
                <w:b w:val="0"/>
                <w:sz w:val="19"/>
              </w:rPr>
              <w:t>45 %</w:t>
            </w:r>
          </w:p>
        </w:tc>
        <w:tc>
          <w:tcPr>
            <w:tcW w:type="dxa" w:w="1881"/>
          </w:tcPr>
          <w:p>
            <w:r>
              <w:rPr>
                <w:b w:val="0"/>
                <w:sz w:val="19"/>
              </w:rPr>
              <w:t>45 %</w:t>
            </w:r>
          </w:p>
        </w:tc>
        <w:tc>
          <w:tcPr>
            <w:tcW w:type="dxa" w:w="1881"/>
          </w:tcPr>
          <w:p>
            <w:r>
              <w:rPr>
                <w:b w:val="0"/>
                <w:sz w:val="19"/>
              </w:rPr>
              <w:t>0 pt</w:t>
            </w:r>
          </w:p>
        </w:tc>
        <w:tc>
          <w:tcPr>
            <w:tcW w:type="dxa" w:w="1881"/>
          </w:tcPr>
          <w:p>
            <w:r>
              <w:rPr>
                <w:b w:val="0"/>
                <w:sz w:val="19"/>
              </w:rPr>
              <w:t>stable</w:t>
            </w:r>
          </w:p>
        </w:tc>
      </w:tr>
      <w:tr>
        <w:tc>
          <w:tcPr>
            <w:tcW w:type="dxa" w:w="1881"/>
          </w:tcPr>
          <w:p>
            <w:r>
              <w:rPr>
                <w:b/>
                <w:sz w:val="19"/>
              </w:rPr>
              <w:t>Manquements éthiques</w:t>
            </w:r>
          </w:p>
        </w:tc>
        <w:tc>
          <w:tcPr>
            <w:tcW w:type="dxa" w:w="1881"/>
          </w:tcPr>
          <w:p>
            <w:r>
              <w:rPr>
                <w:b w:val="0"/>
                <w:sz w:val="19"/>
              </w:rPr>
              <w:t>0</w:t>
            </w:r>
          </w:p>
        </w:tc>
        <w:tc>
          <w:tcPr>
            <w:tcW w:type="dxa" w:w="1881"/>
          </w:tcPr>
          <w:p>
            <w:r>
              <w:rPr>
                <w:b w:val="0"/>
                <w:sz w:val="19"/>
              </w:rPr>
              <w:t>0</w:t>
            </w:r>
          </w:p>
        </w:tc>
        <w:tc>
          <w:tcPr>
            <w:tcW w:type="dxa" w:w="1881"/>
          </w:tcPr>
          <w:p>
            <w:r>
              <w:rPr>
                <w:b w:val="0"/>
                <w:sz w:val="19"/>
              </w:rPr>
              <w:t>0</w:t>
            </w:r>
          </w:p>
        </w:tc>
        <w:tc>
          <w:tcPr>
            <w:tcW w:type="dxa" w:w="1881"/>
          </w:tcPr>
          <w:p>
            <w:r>
              <w:rPr>
                <w:b w:val="0"/>
                <w:sz w:val="19"/>
              </w:rPr>
              <w:t>stable</w:t>
            </w:r>
          </w:p>
        </w:tc>
      </w:tr>
      <w:tr>
        <w:tc>
          <w:tcPr>
            <w:tcW w:type="dxa" w:w="1881"/>
          </w:tcPr>
          <w:p>
            <w:r>
              <w:rPr>
                <w:b/>
                <w:sz w:val="19"/>
              </w:rPr>
              <w:t>Incidents de cybersécurité</w:t>
            </w:r>
          </w:p>
        </w:tc>
        <w:tc>
          <w:tcPr>
            <w:tcW w:type="dxa" w:w="1881"/>
          </w:tcPr>
          <w:p>
            <w:r>
              <w:rPr>
                <w:b w:val="0"/>
                <w:sz w:val="19"/>
              </w:rPr>
              <w:t>0</w:t>
            </w:r>
          </w:p>
        </w:tc>
        <w:tc>
          <w:tcPr>
            <w:tcW w:type="dxa" w:w="1881"/>
          </w:tcPr>
          <w:p>
            <w:r>
              <w:rPr>
                <w:b w:val="0"/>
                <w:sz w:val="19"/>
              </w:rPr>
              <w:t>1</w:t>
            </w:r>
          </w:p>
        </w:tc>
        <w:tc>
          <w:tcPr>
            <w:tcW w:type="dxa" w:w="1881"/>
          </w:tcPr>
          <w:p>
            <w:r>
              <w:rPr>
                <w:b w:val="0"/>
                <w:sz w:val="19"/>
              </w:rPr>
              <w:t>+1</w:t>
            </w:r>
          </w:p>
        </w:tc>
        <w:tc>
          <w:tcPr>
            <w:tcW w:type="dxa" w:w="1881"/>
          </w:tcPr>
          <w:p>
            <w:r>
              <w:rPr>
                <w:b w:val="0"/>
                <w:sz w:val="19"/>
              </w:rPr>
              <w:t>en recul</w:t>
            </w:r>
          </w:p>
        </w:tc>
      </w:tr>
      <w:tr>
        <w:tc>
          <w:tcPr>
            <w:tcW w:type="dxa" w:w="1881"/>
          </w:tcPr>
          <w:p>
            <w:r>
              <w:rPr>
                <w:b/>
                <w:sz w:val="19"/>
              </w:rPr>
              <w:t>Audit ESG</w:t>
            </w:r>
          </w:p>
        </w:tc>
        <w:tc>
          <w:tcPr>
            <w:tcW w:type="dxa" w:w="1881"/>
          </w:tcPr>
          <w:p>
            <w:r>
              <w:rPr>
                <w:b w:val="0"/>
                <w:sz w:val="19"/>
              </w:rPr>
              <w:t>non</w:t>
            </w:r>
          </w:p>
        </w:tc>
        <w:tc>
          <w:tcPr>
            <w:tcW w:type="dxa" w:w="1881"/>
          </w:tcPr>
          <w:p>
            <w:r>
              <w:rPr>
                <w:b w:val="0"/>
                <w:sz w:val="19"/>
              </w:rPr>
              <w:t>non</w:t>
            </w:r>
          </w:p>
        </w:tc>
        <w:tc>
          <w:tcPr>
            <w:tcW w:type="dxa" w:w="1881"/>
          </w:tcPr>
          <w:p>
            <w:r>
              <w:rPr>
                <w:b w:val="0"/>
                <w:sz w:val="19"/>
              </w:rPr>
              <w:t>—</w:t>
            </w:r>
          </w:p>
        </w:tc>
        <w:tc>
          <w:tcPr>
            <w:tcW w:type="dxa" w:w="1881"/>
          </w:tcPr>
          <w:p>
            <w:r>
              <w:rPr>
                <w:b w:val="0"/>
                <w:sz w:val="19"/>
              </w:rPr>
              <w:t>stable</w:t>
            </w:r>
          </w:p>
        </w:tc>
      </w:tr>
      <w:tr>
        <w:tc>
          <w:tcPr>
            <w:tcW w:type="dxa" w:w="1881"/>
          </w:tcPr>
          <w:p>
            <w:r>
              <w:rPr>
                <w:b/>
                <w:sz w:val="19"/>
              </w:rPr>
              <w:t>Comité de durabilité</w:t>
            </w:r>
          </w:p>
        </w:tc>
        <w:tc>
          <w:tcPr>
            <w:tcW w:type="dxa" w:w="1881"/>
          </w:tcPr>
          <w:p>
            <w:r>
              <w:rPr>
                <w:b w:val="0"/>
                <w:sz w:val="19"/>
              </w:rPr>
              <w:t>oui</w:t>
            </w:r>
          </w:p>
        </w:tc>
        <w:tc>
          <w:tcPr>
            <w:tcW w:type="dxa" w:w="1881"/>
          </w:tcPr>
          <w:p>
            <w:r>
              <w:rPr>
                <w:b w:val="0"/>
                <w:sz w:val="19"/>
              </w:rPr>
              <w:t>oui</w:t>
            </w:r>
          </w:p>
        </w:tc>
        <w:tc>
          <w:tcPr>
            <w:tcW w:type="dxa" w:w="1881"/>
          </w:tcPr>
          <w:p>
            <w:r>
              <w:rPr>
                <w:b w:val="0"/>
                <w:sz w:val="19"/>
              </w:rPr>
              <w:t>—</w:t>
            </w:r>
          </w:p>
        </w:tc>
        <w:tc>
          <w:tcPr>
            <w:tcW w:type="dxa" w:w="1881"/>
          </w:tcPr>
          <w:p>
            <w:r>
              <w:rPr>
                <w:b w:val="0"/>
                <w:sz w:val="19"/>
              </w:rPr>
              <w:t>stable</w:t>
            </w:r>
          </w:p>
        </w:tc>
      </w:tr>
    </w:tbl>
    <w:p/>
    <w:p>
      <w:r>
        <w:rPr>
          <w:b/>
          <w:color w:val="5F6B64"/>
          <w:sz w:val="24"/>
        </w:rPr>
        <w:t>La gouvernance est le point fort d'Acme Industries, le social sa priorité</w:t>
      </w:r>
    </w:p>
    <w:p>
      <w:pPr>
        <w:spacing w:after="80"/>
      </w:pPr>
      <w:r>
        <w:rPr>
          <w:i w:val="0"/>
          <w:sz w:val="21"/>
        </w:rPr>
        <w:t>Le positionnement ci-dessous compare les trois piliers entre eux, sans référence externe : il indique où se concentre la marge de progression de l'entreprise.</w:t>
      </w:r>
    </w:p>
    <w:p>
      <w:r>
        <w:rPr>
          <w:color w:val="7F8C8D"/>
          <w:sz w:val="16"/>
        </w:rPr>
        <w:t>Positionnement relatif des trois piliers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fill="1F3D33"/>
          </w:tcPr>
          <w:p>
            <w:r>
              <w:rPr>
                <w:b/>
                <w:color w:val="FFFFFF"/>
                <w:sz w:val="18"/>
              </w:rPr>
              <w:t>Pilier</w:t>
            </w:r>
          </w:p>
        </w:tc>
        <w:tc>
          <w:tcPr>
            <w:tcW w:type="dxa" w:w="2351"/>
            <w:shd w:val="clear" w:fill="1F3D33"/>
          </w:tcPr>
          <w:p>
            <w:r>
              <w:rPr>
                <w:b/>
                <w:color w:val="FFFFFF"/>
                <w:sz w:val="18"/>
              </w:rPr>
              <w:t>Score</w:t>
            </w:r>
          </w:p>
        </w:tc>
        <w:tc>
          <w:tcPr>
            <w:tcW w:type="dxa" w:w="2351"/>
            <w:shd w:val="clear" w:fill="1F3D33"/>
          </w:tcPr>
          <w:p>
            <w:r>
              <w:rPr>
                <w:b/>
                <w:color w:val="FFFFFF"/>
                <w:sz w:val="18"/>
              </w:rPr>
              <w:t>Écart au meilleur</w:t>
            </w:r>
          </w:p>
        </w:tc>
        <w:tc>
          <w:tcPr>
            <w:tcW w:type="dxa" w:w="2351"/>
            <w:shd w:val="clear" w:fill="1F3D33"/>
          </w:tcPr>
          <w:p>
            <w:r>
              <w:rPr>
                <w:b/>
                <w:color w:val="FFFFFF"/>
                <w:sz w:val="18"/>
              </w:rPr>
              <w:t>Lecture</w:t>
            </w:r>
          </w:p>
        </w:tc>
      </w:tr>
      <w:tr>
        <w:tc>
          <w:tcPr>
            <w:tcW w:type="dxa" w:w="2351"/>
          </w:tcPr>
          <w:p>
            <w:r>
              <w:rPr>
                <w:b/>
                <w:sz w:val="19"/>
              </w:rPr>
              <w:t>Pilier Gouvernance</w:t>
            </w:r>
          </w:p>
        </w:tc>
        <w:tc>
          <w:tcPr>
            <w:tcW w:type="dxa" w:w="2351"/>
          </w:tcPr>
          <w:p>
            <w:r>
              <w:rPr>
                <w:sz w:val="19"/>
              </w:rPr>
              <w:t>75</w:t>
            </w:r>
          </w:p>
        </w:tc>
        <w:tc>
          <w:tcPr>
            <w:tcW w:type="dxa" w:w="2351"/>
          </w:tcPr>
          <w:p>
            <w:r>
              <w:rPr>
                <w:sz w:val="19"/>
              </w:rPr>
              <w:t>—</w:t>
            </w:r>
          </w:p>
        </w:tc>
        <w:tc>
          <w:tcPr>
            <w:tcW w:type="dxa" w:w="2351"/>
          </w:tcPr>
          <w:p>
            <w:r>
              <w:rPr>
                <w:b/>
                <w:color w:val="2E7D32"/>
                <w:sz w:val="19"/>
              </w:rPr>
              <w:t>Point fort</w:t>
            </w:r>
          </w:p>
        </w:tc>
      </w:tr>
      <w:tr>
        <w:tc>
          <w:tcPr>
            <w:tcW w:type="dxa" w:w="2351"/>
          </w:tcPr>
          <w:p>
            <w:r>
              <w:rPr>
                <w:b/>
                <w:sz w:val="19"/>
              </w:rPr>
              <w:t>Pilier Environnemental</w:t>
            </w:r>
          </w:p>
        </w:tc>
        <w:tc>
          <w:tcPr>
            <w:tcW w:type="dxa" w:w="2351"/>
          </w:tcPr>
          <w:p>
            <w:r>
              <w:rPr>
                <w:sz w:val="19"/>
              </w:rPr>
              <w:t>70</w:t>
            </w:r>
          </w:p>
        </w:tc>
        <w:tc>
          <w:tcPr>
            <w:tcW w:type="dxa" w:w="2351"/>
          </w:tcPr>
          <w:p>
            <w:r>
              <w:rPr>
                <w:sz w:val="19"/>
              </w:rPr>
              <w:t>-5 pts</w:t>
            </w:r>
          </w:p>
        </w:tc>
        <w:tc>
          <w:tcPr>
            <w:tcW w:type="dxa" w:w="2351"/>
          </w:tcPr>
          <w:p>
            <w:r>
              <w:rPr>
                <w:b/>
                <w:color w:val="2E7D32"/>
                <w:sz w:val="19"/>
              </w:rPr>
              <w:t>Consolidé</w:t>
            </w:r>
          </w:p>
        </w:tc>
      </w:tr>
      <w:tr>
        <w:tc>
          <w:tcPr>
            <w:tcW w:type="dxa" w:w="2351"/>
          </w:tcPr>
          <w:p>
            <w:r>
              <w:rPr>
                <w:b/>
                <w:sz w:val="19"/>
              </w:rPr>
              <w:t>Pilier Social</w:t>
            </w:r>
          </w:p>
        </w:tc>
        <w:tc>
          <w:tcPr>
            <w:tcW w:type="dxa" w:w="2351"/>
          </w:tcPr>
          <w:p>
            <w:r>
              <w:rPr>
                <w:sz w:val="19"/>
              </w:rPr>
              <w:t>65</w:t>
            </w:r>
          </w:p>
        </w:tc>
        <w:tc>
          <w:tcPr>
            <w:tcW w:type="dxa" w:w="2351"/>
          </w:tcPr>
          <w:p>
            <w:r>
              <w:rPr>
                <w:sz w:val="19"/>
              </w:rPr>
              <w:t>-10 pts</w:t>
            </w:r>
          </w:p>
        </w:tc>
        <w:tc>
          <w:tcPr>
            <w:tcW w:type="dxa" w:w="2351"/>
          </w:tcPr>
          <w:p>
            <w:r>
              <w:rPr>
                <w:b/>
                <w:color w:val="2E7D32"/>
                <w:sz w:val="19"/>
              </w:rPr>
              <w:t>Priorité</w:t>
            </w:r>
          </w:p>
        </w:tc>
      </w:tr>
      <w:tr>
        <w:tc>
          <w:tcPr>
            <w:tcW w:type="dxa" w:w="2351"/>
          </w:tcPr>
          <w:p>
            <w:r>
              <w:rPr>
                <w:b/>
                <w:sz w:val="19"/>
              </w:rPr>
              <w:t>Score Global</w:t>
            </w:r>
          </w:p>
        </w:tc>
        <w:tc>
          <w:tcPr>
            <w:tcW w:type="dxa" w:w="2351"/>
          </w:tcPr>
          <w:p>
            <w:r>
              <w:rPr>
                <w:sz w:val="19"/>
              </w:rPr>
              <w:t>70</w:t>
            </w:r>
          </w:p>
        </w:tc>
        <w:tc>
          <w:tcPr>
            <w:tcW w:type="dxa" w:w="2351"/>
          </w:tcPr>
          <w:p>
            <w:r>
              <w:rPr>
                <w:sz w:val="19"/>
              </w:rPr>
            </w:r>
          </w:p>
        </w:tc>
        <w:tc>
          <w:tcPr>
            <w:tcW w:type="dxa" w:w="2351"/>
          </w:tcPr>
          <w:p>
            <w:r>
              <w:rPr>
                <w:b/>
                <w:color w:val="2E7D32"/>
                <w:sz w:val="19"/>
              </w:rPr>
              <w:t>A</w:t>
            </w:r>
          </w:p>
        </w:tc>
      </w:tr>
    </w:tbl>
    <w:p>
      <w:pPr>
        <w:spacing w:before="120"/>
        <w:shd w:val="clear" w:fill="E6E6DC"/>
      </w:pPr>
      <w:r>
        <w:rPr>
          <w:sz w:val="20"/>
        </w:rPr>
        <w:t>10 points séparent votre pilier le plus solide du plus fragile — l'écart interne à réduire en priorité.</w:t>
      </w:r>
    </w:p>
    <w:p>
      <w:pPr>
        <w:spacing w:before="160"/>
      </w:pPr>
      <w:r>
        <w:rPr>
          <w:b/>
          <w:color w:val="5F6B64"/>
          <w:sz w:val="22"/>
        </w:rPr>
        <w:t>Niveau de maturité ESG : Structurée (3/5)</w:t>
      </w:r>
    </w:p>
    <w:p>
      <w:r>
        <w:t>Pour franchir le cap suivant : faire auditer le reporting.</w:t>
      </w:r>
    </w:p>
    <w:p>
      <w:pPr>
        <w:spacing w:before="280" w:after="120"/>
        <w:jc w:val="left"/>
      </w:pPr>
      <w:r>
        <w:rPr>
          <w:rFonts w:ascii="Segoe UI" w:hAnsi="Segoe UI"/>
          <w:b/>
          <w:color w:val="5F6B64"/>
          <w:sz w:val="34"/>
        </w:rPr>
        <w:t>Couverture des exigences de reporting</w:t>
      </w:r>
    </w:p>
    <w:p>
      <w:pPr>
        <w:spacing w:after="160"/>
      </w:pPr>
      <w:r>
        <w:rPr>
          <w:i w:val="0"/>
          <w:sz w:val="21"/>
        </w:rPr>
        <w:t>Le tableau ci-dessous examine 6 exigences de reporting du référentiel CSRD / ESRS : 5 sont couvertes par les données de l'exercice, 1 reste ouverte ou partiellement couverte. Chaque ligne indique la référence concernée et ce qui manque pour la couvrir.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fill="1F3D33"/>
          </w:tcPr>
          <w:p>
            <w:r>
              <w:rPr>
                <w:b/>
                <w:color w:val="FFFFFF"/>
                <w:sz w:val="18"/>
              </w:rPr>
              <w:t>Exigence</w:t>
            </w:r>
          </w:p>
        </w:tc>
        <w:tc>
          <w:tcPr>
            <w:tcW w:type="dxa" w:w="2351"/>
            <w:shd w:val="clear" w:fill="1F3D33"/>
          </w:tcPr>
          <w:p>
            <w:r>
              <w:rPr>
                <w:b/>
                <w:color w:val="FFFFFF"/>
                <w:sz w:val="18"/>
              </w:rPr>
              <w:t>Référence</w:t>
            </w:r>
          </w:p>
        </w:tc>
        <w:tc>
          <w:tcPr>
            <w:tcW w:type="dxa" w:w="2351"/>
            <w:shd w:val="clear" w:fill="1F3D33"/>
          </w:tcPr>
          <w:p>
            <w:r>
              <w:rPr>
                <w:b/>
                <w:color w:val="FFFFFF"/>
                <w:sz w:val="18"/>
              </w:rPr>
              <w:t>Statut</w:t>
            </w:r>
          </w:p>
        </w:tc>
        <w:tc>
          <w:tcPr>
            <w:tcW w:type="dxa" w:w="2351"/>
            <w:shd w:val="clear" w:fill="1F3D33"/>
          </w:tcPr>
          <w:p>
            <w:r>
              <w:rPr>
                <w:b/>
                <w:color w:val="FFFFFF"/>
                <w:sz w:val="18"/>
              </w:rPr>
              <w:t>Constat</w:t>
            </w:r>
          </w:p>
        </w:tc>
      </w:tr>
      <w:tr>
        <w:tc>
          <w:tcPr>
            <w:tcW w:type="dxa" w:w="2351"/>
          </w:tcPr>
          <w:p>
            <w:r>
              <w:rPr>
                <w:b/>
                <w:sz w:val="18"/>
              </w:rPr>
              <w:t>Bilan GES Scopes 1 &amp; 2</w:t>
            </w:r>
          </w:p>
        </w:tc>
        <w:tc>
          <w:tcPr>
            <w:tcW w:type="dxa" w:w="2351"/>
          </w:tcPr>
          <w:p>
            <w:r>
              <w:rPr>
                <w:sz w:val="18"/>
              </w:rPr>
              <w:t>ESRS E1-6</w:t>
            </w:r>
          </w:p>
        </w:tc>
        <w:tc>
          <w:tcPr>
            <w:tcW w:type="dxa" w:w="2351"/>
          </w:tcPr>
          <w:p>
            <w:r>
              <w:rPr>
                <w:b/>
                <w:color w:val="37474F"/>
                <w:sz w:val="18"/>
              </w:rPr>
              <w:t>Publié</w:t>
            </w:r>
          </w:p>
        </w:tc>
        <w:tc>
          <w:tcPr>
            <w:tcW w:type="dxa" w:w="2351"/>
          </w:tcPr>
          <w:p>
            <w:r>
              <w:rPr>
                <w:sz w:val="18"/>
              </w:rPr>
              <w:t>Émissions mesurées et publiées</w:t>
            </w:r>
          </w:p>
        </w:tc>
      </w:tr>
      <w:tr>
        <w:tc>
          <w:tcPr>
            <w:tcW w:type="dxa" w:w="2351"/>
          </w:tcPr>
          <w:p>
            <w:r>
              <w:rPr>
                <w:b/>
                <w:sz w:val="18"/>
              </w:rPr>
              <w:t>Émissions de la chaîne de valeur (Scope 3)</w:t>
            </w:r>
          </w:p>
        </w:tc>
        <w:tc>
          <w:tcPr>
            <w:tcW w:type="dxa" w:w="2351"/>
          </w:tcPr>
          <w:p>
            <w:r>
              <w:rPr>
                <w:sz w:val="18"/>
              </w:rPr>
              <w:t>ESRS E1-6</w:t>
            </w:r>
          </w:p>
        </w:tc>
        <w:tc>
          <w:tcPr>
            <w:tcW w:type="dxa" w:w="2351"/>
          </w:tcPr>
          <w:p>
            <w:r>
              <w:rPr>
                <w:b/>
                <w:color w:val="37474F"/>
                <w:sz w:val="18"/>
              </w:rPr>
              <w:t>Publié</w:t>
            </w:r>
          </w:p>
        </w:tc>
        <w:tc>
          <w:tcPr>
            <w:tcW w:type="dxa" w:w="2351"/>
          </w:tcPr>
          <w:p>
            <w:r>
              <w:rPr>
                <w:sz w:val="18"/>
              </w:rPr>
              <w:t>Scope 3 mesuré et publié</w:t>
            </w:r>
          </w:p>
        </w:tc>
      </w:tr>
      <w:tr>
        <w:tc>
          <w:tcPr>
            <w:tcW w:type="dxa" w:w="2351"/>
          </w:tcPr>
          <w:p>
            <w:r>
              <w:rPr>
                <w:b/>
                <w:sz w:val="18"/>
              </w:rPr>
              <w:t>Vérification du reporting par un tiers</w:t>
            </w:r>
          </w:p>
        </w:tc>
        <w:tc>
          <w:tcPr>
            <w:tcW w:type="dxa" w:w="2351"/>
          </w:tcPr>
          <w:p>
            <w:r>
              <w:rPr>
                <w:sz w:val="18"/>
              </w:rPr>
              <w:t>CSRD (assurance limitée)</w:t>
            </w:r>
          </w:p>
        </w:tc>
        <w:tc>
          <w:tcPr>
            <w:tcW w:type="dxa" w:w="2351"/>
          </w:tcPr>
          <w:p>
            <w:r>
              <w:rPr>
                <w:b/>
                <w:color w:val="E74C3C"/>
                <w:sz w:val="18"/>
              </w:rPr>
              <w:t>Non publié</w:t>
            </w:r>
          </w:p>
        </w:tc>
        <w:tc>
          <w:tcPr>
            <w:tcW w:type="dxa" w:w="2351"/>
          </w:tcPr>
          <w:p>
            <w:r>
              <w:rPr>
                <w:sz w:val="18"/>
              </w:rPr>
              <w:t>Aucune assurance externe à date</w:t>
            </w:r>
          </w:p>
        </w:tc>
      </w:tr>
      <w:tr>
        <w:tc>
          <w:tcPr>
            <w:tcW w:type="dxa" w:w="2351"/>
          </w:tcPr>
          <w:p>
            <w:r>
              <w:rPr>
                <w:b/>
                <w:sz w:val="18"/>
              </w:rPr>
              <w:t>Supervision de la durabilité par la gouvernance</w:t>
            </w:r>
          </w:p>
        </w:tc>
        <w:tc>
          <w:tcPr>
            <w:tcW w:type="dxa" w:w="2351"/>
          </w:tcPr>
          <w:p>
            <w:r>
              <w:rPr>
                <w:sz w:val="18"/>
              </w:rPr>
              <w:t>ESRS 2 GOV-1</w:t>
            </w:r>
          </w:p>
        </w:tc>
        <w:tc>
          <w:tcPr>
            <w:tcW w:type="dxa" w:w="2351"/>
          </w:tcPr>
          <w:p>
            <w:r>
              <w:rPr>
                <w:b/>
                <w:color w:val="37474F"/>
                <w:sz w:val="18"/>
              </w:rPr>
              <w:t>Publié</w:t>
            </w:r>
          </w:p>
        </w:tc>
        <w:tc>
          <w:tcPr>
            <w:tcW w:type="dxa" w:w="2351"/>
          </w:tcPr>
          <w:p>
            <w:r>
              <w:rPr>
                <w:sz w:val="18"/>
              </w:rPr>
              <w:t>Comité de durabilité en place</w:t>
            </w:r>
          </w:p>
        </w:tc>
      </w:tr>
      <w:tr>
        <w:tc>
          <w:tcPr>
            <w:tcW w:type="dxa" w:w="2351"/>
          </w:tcPr>
          <w:p>
            <w:r>
              <w:rPr>
                <w:b/>
                <w:sz w:val="18"/>
              </w:rPr>
              <w:t>Publication des indicateurs Taxonomie UE</w:t>
            </w:r>
          </w:p>
        </w:tc>
        <w:tc>
          <w:tcPr>
            <w:tcW w:type="dxa" w:w="2351"/>
          </w:tcPr>
          <w:p>
            <w:r>
              <w:rPr>
                <w:sz w:val="18"/>
              </w:rPr>
              <w:t>Règlement (UE) 2020/852</w:t>
            </w:r>
          </w:p>
        </w:tc>
        <w:tc>
          <w:tcPr>
            <w:tcW w:type="dxa" w:w="2351"/>
          </w:tcPr>
          <w:p>
            <w:r>
              <w:rPr>
                <w:b/>
                <w:color w:val="37474F"/>
                <w:sz w:val="18"/>
              </w:rPr>
              <w:t>Publié</w:t>
            </w:r>
          </w:p>
        </w:tc>
        <w:tc>
          <w:tcPr>
            <w:tcW w:type="dxa" w:w="2351"/>
          </w:tcPr>
          <w:p>
            <w:r>
              <w:rPr>
                <w:sz w:val="18"/>
              </w:rPr>
              <w:t>Parts alignées publiées (CA/CapEx/OpEx)</w:t>
            </w:r>
          </w:p>
        </w:tc>
      </w:tr>
      <w:tr>
        <w:tc>
          <w:tcPr>
            <w:tcW w:type="dxa" w:w="2351"/>
          </w:tcPr>
          <w:p>
            <w:r>
              <w:rPr>
                <w:b/>
                <w:sz w:val="18"/>
              </w:rPr>
              <w:t>Objectifs climatiques chiffrés</w:t>
            </w:r>
          </w:p>
        </w:tc>
        <w:tc>
          <w:tcPr>
            <w:tcW w:type="dxa" w:w="2351"/>
          </w:tcPr>
          <w:p>
            <w:r>
              <w:rPr>
                <w:sz w:val="18"/>
              </w:rPr>
              <w:t>ESRS E1-4</w:t>
            </w:r>
          </w:p>
        </w:tc>
        <w:tc>
          <w:tcPr>
            <w:tcW w:type="dxa" w:w="2351"/>
          </w:tcPr>
          <w:p>
            <w:r>
              <w:rPr>
                <w:b/>
                <w:color w:val="37474F"/>
                <w:sz w:val="18"/>
              </w:rPr>
              <w:t>Publié</w:t>
            </w:r>
          </w:p>
        </w:tc>
        <w:tc>
          <w:tcPr>
            <w:tcW w:type="dxa" w:w="2351"/>
          </w:tcPr>
          <w:p>
            <w:r>
              <w:rPr>
                <w:sz w:val="18"/>
              </w:rPr>
              <w:t>Cible déclarée : -42 % entre 2025 et 2030 (scopes 1 et 2)</w:t>
            </w:r>
          </w:p>
        </w:tc>
      </w:tr>
    </w:tbl>
    <w:p/>
    <w:p>
      <w:pPr>
        <w:spacing w:before="280" w:after="120"/>
        <w:jc w:val="left"/>
      </w:pPr>
      <w:r>
        <w:rPr>
          <w:rFonts w:ascii="Segoe UI" w:hAnsi="Segoe UI"/>
          <w:b/>
          <w:color w:val="E74C3C"/>
          <w:sz w:val="34"/>
        </w:rPr>
        <w:t>Risques majeurs</w:t>
      </w:r>
    </w:p>
    <w:p>
      <w:pPr>
        <w:spacing w:after="160"/>
      </w:pPr>
      <w:r>
        <w:rPr>
          <w:i w:val="0"/>
          <w:sz w:val="21"/>
        </w:rPr>
        <w:t>L'analyse retient 4 risques majeurs. Leur priorité combine l'impact estimé et la probabilité d'occurrence : 1 est classé en priorité 1 et appelle une action dans les douze prochains mois.</w:t>
      </w:r>
    </w:p>
    <w:p>
      <w:pPr>
        <w:spacing w:after="60"/>
        <w:ind w:left="283"/>
      </w:pPr>
      <w:r>
        <w:rPr>
          <w:color w:val="E74C3C"/>
          <w:sz w:val="20"/>
        </w:rPr>
        <w:t xml:space="preserve">▪  </w:t>
      </w:r>
      <w:r>
        <w:rPr>
          <w:sz w:val="20"/>
        </w:rPr>
        <w:t>[P1] Fiabilité — Reporting non audité : crédibilité limitée auprès des investisseurs (impact : élevé · probabilité : probable)</w:t>
      </w:r>
    </w:p>
    <w:p>
      <w:pPr>
        <w:spacing w:after="60"/>
        <w:ind w:left="283"/>
      </w:pPr>
      <w:r>
        <w:rPr>
          <w:color w:val="E74C3C"/>
          <w:sz w:val="20"/>
        </w:rPr>
        <w:t xml:space="preserve">▪  </w:t>
      </w:r>
      <w:r>
        <w:rPr>
          <w:sz w:val="20"/>
        </w:rPr>
        <w:t>[P2] Transition — Dépendance énergie fossile : exposition à la hausse des prix (impact : modéré · probabilité : probable)</w:t>
      </w:r>
    </w:p>
    <w:p>
      <w:pPr>
        <w:spacing w:after="60"/>
        <w:ind w:left="283"/>
      </w:pPr>
      <w:r>
        <w:rPr>
          <w:color w:val="E74C3C"/>
          <w:sz w:val="20"/>
        </w:rPr>
        <w:t xml:space="preserve">▪  </w:t>
      </w:r>
      <w:r>
        <w:rPr>
          <w:sz w:val="20"/>
        </w:rPr>
        <w:t>[P2] Social — Mixité de l'effectif déséquilibrée : risque d'attractivité employeur (impact : modéré · probabilité : probable)</w:t>
      </w:r>
    </w:p>
    <w:p>
      <w:pPr>
        <w:spacing w:after="60"/>
        <w:ind w:left="283"/>
      </w:pPr>
      <w:r>
        <w:rPr>
          <w:color w:val="E74C3C"/>
          <w:sz w:val="20"/>
        </w:rPr>
        <w:t xml:space="preserve">▪  </w:t>
      </w:r>
      <w:r>
        <w:rPr>
          <w:sz w:val="20"/>
        </w:rPr>
        <w:t>[P2] Réputation — Incident cyber déclaré : risque réputationnel et RGPD (impact : élevé · probabilité : possible)</w:t>
      </w:r>
    </w:p>
    <w:p>
      <w:pPr>
        <w:spacing w:before="280" w:after="120"/>
        <w:jc w:val="left"/>
      </w:pPr>
      <w:r>
        <w:rPr>
          <w:rFonts w:ascii="Segoe UI" w:hAnsi="Segoe UI"/>
          <w:b/>
          <w:color w:val="2F6B4F"/>
          <w:sz w:val="34"/>
        </w:rPr>
        <w:t>Opportunités majeures</w:t>
      </w:r>
    </w:p>
    <w:p>
      <w:pPr>
        <w:spacing w:after="60"/>
        <w:ind w:left="283"/>
      </w:pPr>
      <w:r>
        <w:rPr>
          <w:color w:val="2F6B4F"/>
          <w:sz w:val="20"/>
        </w:rPr>
        <w:t xml:space="preserve">▪  </w:t>
      </w:r>
      <w:r>
        <w:rPr>
          <w:sz w:val="20"/>
        </w:rPr>
        <w:t>Financement — Gouvernance solide : accès facilité aux financements ESG (green bonds, prêts indexés)</w:t>
      </w:r>
    </w:p>
    <w:p>
      <w:pPr>
        <w:spacing w:after="60"/>
        <w:ind w:left="283"/>
      </w:pPr>
      <w:r>
        <w:rPr>
          <w:color w:val="2F6B4F"/>
          <w:sz w:val="20"/>
        </w:rPr>
        <w:t xml:space="preserve">▪  </w:t>
      </w:r>
      <w:r>
        <w:rPr>
          <w:sz w:val="20"/>
        </w:rPr>
        <w:t>Financement — Activités alignées Taxonomie : éligibilité aux financements verts</w:t>
      </w:r>
    </w:p>
    <w:p>
      <w:pPr>
        <w:spacing w:after="60"/>
        <w:ind w:left="283"/>
      </w:pPr>
      <w:r>
        <w:rPr>
          <w:color w:val="2F6B4F"/>
          <w:sz w:val="20"/>
        </w:rPr>
        <w:t xml:space="preserve">▪  </w:t>
      </w:r>
      <w:r>
        <w:rPr>
          <w:sz w:val="20"/>
        </w:rPr>
        <w:t>Coûts — Mix renouvelable engagé : réduction des coûts énergétiques à terme</w:t>
      </w:r>
    </w:p>
    <w:p>
      <w:pPr>
        <w:spacing w:after="60"/>
        <w:ind w:left="283"/>
      </w:pPr>
      <w:r>
        <w:rPr>
          <w:color w:val="2F6B4F"/>
          <w:sz w:val="20"/>
        </w:rPr>
        <w:t xml:space="preserve">▪  </w:t>
      </w:r>
      <w:r>
        <w:rPr>
          <w:sz w:val="20"/>
        </w:rPr>
        <w:t>Talents — Politique sociale : marque employeur et rétention des talents renforcées</w:t>
      </w:r>
    </w:p>
    <w:p>
      <w:pPr>
        <w:spacing w:before="280" w:after="120"/>
        <w:jc w:val="left"/>
      </w:pPr>
      <w:r>
        <w:rPr>
          <w:rFonts w:ascii="Segoe UI" w:hAnsi="Segoe UI"/>
          <w:b/>
          <w:color w:val="2E5A4B"/>
          <w:sz w:val="34"/>
        </w:rPr>
        <w:t>Un plan d'action ESG sur 12 mois</w:t>
      </w:r>
    </w:p>
    <w:p>
      <w:pPr>
        <w:spacing w:after="160"/>
      </w:pPr>
      <w:r>
        <w:rPr>
          <w:i w:val="0"/>
          <w:sz w:val="21"/>
        </w:rPr>
        <w:t>La feuille de route répartit les actions en trois phases. 0-3 mois : 1 action, 3-6 mois : 2 actions et 6-12 mois : 1 action. Les gains rapides, signalés dans le tableau, peuvent être engagés sans attendre les chantiers structurants.</w:t>
      </w:r>
    </w:p>
    <w:p>
      <w:r>
        <w:rPr>
          <w:b/>
          <w:color w:val="1F3D33"/>
          <w:sz w:val="21"/>
        </w:rPr>
        <w:t>0-3 mois — Quick wins &amp; fondations</w:t>
      </w:r>
    </w:p>
    <w:p>
      <w:pPr>
        <w:pStyle w:val="ListBullet"/>
      </w:pPr>
      <w:r>
        <w:rPr>
          <w:sz w:val="20"/>
        </w:rPr>
        <w:t>Commander un audit ESG indépendant annuel</w:t>
      </w:r>
      <w:r>
        <w:rPr>
          <w:b/>
          <w:color w:val="2E5A4B"/>
          <w:sz w:val="16"/>
        </w:rPr>
        <w:t xml:space="preserve">  [QUICK WIN]</w:t>
      </w:r>
    </w:p>
    <w:p>
      <w:r>
        <w:rPr>
          <w:b/>
          <w:color w:val="1F3D33"/>
          <w:sz w:val="21"/>
        </w:rPr>
        <w:t>3-6 mois — Structuration</w:t>
      </w:r>
    </w:p>
    <w:p>
      <w:pPr>
        <w:pStyle w:val="ListBullet"/>
      </w:pPr>
      <w:r>
        <w:rPr>
          <w:sz w:val="20"/>
        </w:rPr>
        <w:t>Définir des objectifs chiffrés de parité femme-homme</w:t>
      </w:r>
      <w:r>
        <w:rPr>
          <w:b/>
          <w:color w:val="2E5A4B"/>
          <w:sz w:val="16"/>
        </w:rPr>
        <w:t xml:space="preserve">  [QUICK WIN]</w:t>
      </w:r>
    </w:p>
    <w:p>
      <w:pPr>
        <w:pStyle w:val="ListBullet"/>
      </w:pPr>
      <w:r>
        <w:rPr>
          <w:sz w:val="20"/>
        </w:rPr>
        <w:t>Aligner la stratégie ESG sur les ODD &amp; la TCFD</w:t>
      </w:r>
    </w:p>
    <w:p>
      <w:r>
        <w:rPr>
          <w:b/>
          <w:color w:val="1F3D33"/>
          <w:sz w:val="21"/>
        </w:rPr>
        <w:t>6-12 mois — Deploiement</w:t>
      </w:r>
    </w:p>
    <w:p>
      <w:pPr>
        <w:pStyle w:val="ListBullet"/>
      </w:pPr>
      <w:r>
        <w:rPr>
          <w:sz w:val="20"/>
        </w:rPr>
        <w:t>Atteindre la cible de 60 % d'énergie renouvelable fixée pour 2030</w:t>
      </w:r>
    </w:p>
    <w:p>
      <w:r>
        <w:br w:type="page"/>
      </w:r>
    </w:p>
    <w:p>
      <w:pPr>
        <w:spacing w:before="280" w:after="120"/>
        <w:jc w:val="left"/>
      </w:pPr>
      <w:r>
        <w:rPr>
          <w:rFonts w:ascii="Segoe UI" w:hAnsi="Segoe UI"/>
          <w:b/>
          <w:color w:val="1F3D33"/>
          <w:sz w:val="44"/>
        </w:rPr>
        <w:t>8. Conclusion</w:t>
      </w:r>
    </w:p>
    <w:p>
      <w:pPr>
        <w:spacing w:before="0" w:after="160"/>
        <w:pBdr>
          <w:bottom w:val="single" w:sz="4" w:space="1" w:color="1F3D33"/>
        </w:pBdr>
      </w:pPr>
    </w:p>
    <w:p>
      <w:r>
        <w:t>Avec un score ESG de 69,5/100 (A), Acme Industries se situe au milieu de la grille de notation interne. L'analyse met en lumière cinq points forts consolidés et quatre axes d'amélioration prioritaires. Dans cette perspective, les 4 recommandations formulées constituent la feuille de route proposée ; leur mise en œuvre relève des arbitrages d'Acme Industries. Ce diagnostic est établi selon le référentiel de reporting visé pour cet exercice.</w:t>
      </w:r>
    </w:p>
    <w:p>
      <w:pPr>
        <w:spacing w:before="280" w:after="120"/>
        <w:jc w:val="left"/>
      </w:pPr>
      <w:r>
        <w:rPr>
          <w:rFonts w:ascii="Segoe UI" w:hAnsi="Segoe UI"/>
          <w:b/>
          <w:color w:val="5F6B64"/>
          <w:sz w:val="34"/>
        </w:rPr>
        <w:t>Ce que nous retenons</w:t>
      </w:r>
    </w:p>
    <w:p>
      <w:pPr>
        <w:pStyle w:val="ListBullet"/>
      </w:pPr>
      <w:r>
        <w:rPr>
          <w:sz w:val="21"/>
        </w:rPr>
        <w:t>À capitaliser : un taux de fréquence de 6,2, bien en dessous de la moyenne nationale. Un acquis à protéger et à faire valoir auprès des clients et des candidats.</w:t>
      </w:r>
    </w:p>
    <w:p>
      <w:pPr>
        <w:pStyle w:val="ListBullet"/>
      </w:pPr>
      <w:r>
        <w:rPr>
          <w:sz w:val="21"/>
        </w:rPr>
        <w:t>À traiter en priorité : des incidents d'intégrité déclarés. Chaque violation de données entame la confiance des clients.</w:t>
      </w:r>
    </w:p>
    <w:p>
      <w:pPr>
        <w:spacing w:before="280" w:after="120"/>
        <w:jc w:val="left"/>
      </w:pPr>
      <w:r>
        <w:rPr>
          <w:rFonts w:ascii="Segoe UI" w:hAnsi="Segoe UI"/>
          <w:b/>
          <w:color w:val="5F6B64"/>
          <w:sz w:val="34"/>
        </w:rPr>
        <w:t>Si rien ne change d'ici 2030</w:t>
      </w:r>
    </w:p>
    <w:p>
      <w:pPr>
        <w:spacing w:after="160"/>
      </w:pPr>
      <w:r>
        <w:rPr>
          <w:i w:val="0"/>
          <w:sz w:val="21"/>
        </w:rPr>
        <w:t>Sans action, les tendances observées cette année se prolongeront.</w:t>
      </w:r>
    </w:p>
    <w:p>
      <w:pPr>
        <w:spacing w:after="160"/>
      </w:pPr>
      <w:r>
        <w:rPr>
          <w:i w:val="0"/>
          <w:sz w:val="21"/>
        </w:rPr>
        <w:t>Pour l'intégrité et la sécurité de l'information, chaque nouvel incident sera lu comme le signe d'un défaut de contrôle, avec des conséquences croissantes sur la réputation et les relations d'affaires.</w:t>
      </w:r>
    </w:p>
    <w:p>
      <w:pPr>
        <w:spacing w:after="160"/>
      </w:pPr>
      <w:r>
        <w:rPr>
          <w:i w:val="0"/>
          <w:sz w:val="21"/>
        </w:rPr>
        <w:t>Pour le pilotage de la démarche, la démarche restera dépendante de quelques personnes et difficile à rendre crédible à l'extérieur.</w:t>
      </w:r>
    </w:p>
    <w:p>
      <w:pPr>
        <w:spacing w:before="280" w:after="120"/>
        <w:jc w:val="left"/>
      </w:pPr>
      <w:r>
        <w:rPr>
          <w:rFonts w:ascii="Segoe UI" w:hAnsi="Segoe UI"/>
          <w:b/>
          <w:color w:val="5F6B64"/>
          <w:sz w:val="34"/>
        </w:rPr>
        <w:t>Les 90 premiers jours</w:t>
      </w:r>
    </w:p>
    <w:p>
      <w:pPr>
        <w:spacing w:after="160"/>
      </w:pPr>
      <w:r>
        <w:rPr>
          <w:i w:val="0"/>
          <w:sz w:val="21"/>
        </w:rPr>
        <w:t>Ces décisions permettent d'engager le plan sans attendre les chantiers structurants :</w:t>
      </w:r>
    </w:p>
    <w:p>
      <w:pPr>
        <w:pStyle w:val="ListNumber"/>
      </w:pPr>
      <w:r>
        <w:rPr>
          <w:sz w:val="21"/>
        </w:rPr>
        <w:t>Analyser les causes de chaque incident et vérifier que le dispositif d'alerte, les contrôles internes et la sensibilisation couvrent les situations rencontrées.</w:t>
      </w:r>
    </w:p>
    <w:p>
      <w:pPr>
        <w:pStyle w:val="ListNumber"/>
      </w:pPr>
      <w:r>
        <w:rPr>
          <w:sz w:val="21"/>
        </w:rPr>
        <w:t>Faire revoir par un tiers deux ou trois indicateurs clés avant la prochaine publication.</w:t>
      </w:r>
    </w:p>
    <w:p>
      <w:pPr>
        <w:spacing w:before="280" w:after="120"/>
        <w:jc w:val="left"/>
      </w:pPr>
      <w:r>
        <w:rPr>
          <w:rFonts w:ascii="Segoe UI" w:hAnsi="Segoe UI"/>
          <w:b/>
          <w:color w:val="5F6B64"/>
          <w:sz w:val="34"/>
        </w:rPr>
        <w:t>Note méthodologique</w:t>
      </w:r>
    </w:p>
    <w:p>
      <w:pPr>
        <w:shd w:val="clear" w:fill="E6E6DC"/>
      </w:pPr>
      <w:r>
        <w:rPr>
          <w:color w:val="5A6572"/>
          <w:sz w:val="17"/>
        </w:rPr>
        <w:t>Périmètre et méthodologie du reporting. Référentiel visé : CSRD / ESRS. Le référentiel CSRD / ESRS sert ici de cadre de lecture ; le rapport ne se prononce pas sur l'assujettissement de l'entreprise à la CSRD. Pour mémoire, la loi n° 2025-391 du 30 avril 2025 a reporté aux exercices ouverts à compter de 2027 l'obligation des grandes entreprises qui n'y étaient pas soumises dès 2024, et la directive (UE) 2026/470, à transposer au plus tard le 19 mars 2027, la réserve aux entreprises de plus de 1 000 salariés réalisant plus de 450 M€ de chiffre d'affaires net. Les indicateurs couvrent l'exercice 2025 selon l'approche du contrôle opérationnel. Les émissions de gaz à effet de serre sont calculées selon le GHG Protocol (Scopes 1, 2 et 3) ; les indicateurs sociaux suivent les définitions de la norme ESRS S1 ; les indicateurs de gouvernance sont documentés à partir des registres de l'entreprise. Les scores par pilier (0-100) agrègent chaque indicateur sur une GRILLE DE NOTATION INTERNE, propre à l'outil : ses seuils ont été définis en interne et ne sont adossés à aucun référentiel externe publié. L'intensité carbone est notée sur une grille différenciée par famille sectorielle (services, industrie, transport, énergie…), elle aussi interne. La mixité de l'effectif est lue au regard de repères internes au diagnostic (40 % de femmes sépare un point fort d'un axe d'amélioration ; paliers de notation à 15/25/35/45 %) : aucun quota légal ne porte sur la mixité de l'effectif total. La grille du taux de fréquence des accidents est ancrée sur le taux national publié par l'Assurance Maladie (16,0 en 2024, tous secteurs ; Assurance Maladie – Risques professionnels, rapport annuel 2024, tableau 8). Le score global est la moyenne pondérée des piliers notés (pondérations 40/35/25, renormalisées quand un pilier n'est pas noté) ; un pilier n'est noté qu'à partir de 3 indicateurs de sa grille (seuil interne à l'outil) — en deçà, il n'est pas noté plutôt que de recevoir un score, et le nombre d'indicateurs notés figure à côté de chaque score ; sous deux piliers notés il n'y a ni score global ni notation lettrée. Une évolution d'un exercice à l'autre compare des scores globaux qui peuvent reposer sur des piliers différents ; quand les indicateurs d'un exercice passé sont conservés dans le dossier, son score est recalculé selon la grille actuelle, sinon il est repris tel qu'il a été calculé à l'époque, selon la grille alors en vigueur. La notation lettrée (échelle interne AAA-CCC) est indicative — elle ne constitue pas une notation d'agence. Le rapport ne comporte aucune comparaison à un référentiel sectoriel externe : le positionnement présenté est interne, il compare les trois piliers entre eux. Aucun transfert de données externe n'a lieu — l'ensemble du rapport est produit localement. Périmètre : ce rapport documente les indicateurs collectés pour l'exercice — bilan d'émissions par scope, indicateurs sociaux et de gouvernance, et parts déclarées comme alignées à la Taxonomie UE lorsqu'elles sont renseignées. Il ne constitue ni une vérification par un tiers, ni une déclaration de conformité à un cadre de reporting, ni un engagement de l'organisation. Limites : certains indicateurs reposent sur des données déclaratives et des estimations ; ils sont affinés à mesure que les dispositifs de mesure gagnent en maturité. Les points de données suivants restent à consolider : la vérification par un tiers indépendant (assurance limitée, exigée des entreprises soumises à la CSRD).</w:t>
      </w:r>
    </w:p>
    <w:p>
      <w:pPr>
        <w:spacing w:before="280" w:after="120"/>
        <w:jc w:val="left"/>
      </w:pPr>
      <w:r>
        <w:rPr>
          <w:rFonts w:ascii="Segoe UI" w:hAnsi="Segoe UI"/>
          <w:b/>
          <w:color w:val="5F6B64"/>
          <w:sz w:val="34"/>
        </w:rPr>
        <w:t>Glossaire</w:t>
      </w:r>
    </w:p>
    <w:tbl>
      <w:tblPr>
        <w:tblStyle w:val="TableGrid"/>
        <w:tblW w:type="auto" w:w="0"/>
        <w:tblLook w:firstColumn="1" w:firstRow="1" w:lastColumn="0" w:lastRow="0" w:noHBand="0" w:noVBand="1" w:val="04A0"/>
      </w:tblPr>
      <w:tblGrid>
        <w:gridCol w:w="4703"/>
        <w:gridCol w:w="4703"/>
      </w:tblGrid>
      <w:tr>
        <w:tc>
          <w:tcPr>
            <w:tcW w:type="dxa" w:w="4703"/>
          </w:tcPr>
          <w:p>
            <w:r>
              <w:rPr>
                <w:b/>
                <w:color w:val="1F3D33"/>
                <w:sz w:val="17"/>
              </w:rPr>
              <w:t>CSRD</w:t>
            </w:r>
          </w:p>
        </w:tc>
        <w:tc>
          <w:tcPr>
            <w:tcW w:type="dxa" w:w="4703"/>
          </w:tcPr>
          <w:p>
            <w:r>
              <w:rPr>
                <w:sz w:val="17"/>
              </w:rPr>
              <w:t>Directive européenne sur la publication d'informations en matière de durabilité. Impose un reporting extra-financier normalisé et vérifié aux entreprises entrant dans son périmètre.</w:t>
            </w:r>
          </w:p>
        </w:tc>
      </w:tr>
      <w:tr>
        <w:tc>
          <w:tcPr>
            <w:tcW w:type="dxa" w:w="4703"/>
          </w:tcPr>
          <w:p>
            <w:r>
              <w:rPr>
                <w:b/>
                <w:color w:val="1F3D33"/>
                <w:sz w:val="17"/>
              </w:rPr>
              <w:t>ESRS</w:t>
            </w:r>
          </w:p>
        </w:tc>
        <w:tc>
          <w:tcPr>
            <w:tcW w:type="dxa" w:w="4703"/>
          </w:tcPr>
          <w:p>
            <w:r>
              <w:rPr>
                <w:sz w:val="17"/>
              </w:rPr>
              <w:t>Normes techniques d'application de la CSRD. Elles précisent, thème par thème (climat, effectifs, conduite des affaires), les informations à publier.</w:t>
            </w:r>
          </w:p>
        </w:tc>
      </w:tr>
      <w:tr>
        <w:tc>
          <w:tcPr>
            <w:tcW w:type="dxa" w:w="4703"/>
          </w:tcPr>
          <w:p>
            <w:r>
              <w:rPr>
                <w:b/>
                <w:color w:val="1F3D33"/>
                <w:sz w:val="17"/>
              </w:rPr>
              <w:t>Double matérialité</w:t>
            </w:r>
          </w:p>
        </w:tc>
        <w:tc>
          <w:tcPr>
            <w:tcW w:type="dxa" w:w="4703"/>
          </w:tcPr>
          <w:p>
            <w:r>
              <w:rPr>
                <w:sz w:val="17"/>
              </w:rPr>
              <w:t>Principe d'analyse retenant un enjeu s'il est significatif dans au moins un des deux sens : l'impact de l'entreprise sur son environnement, ou l'effet financier de cet enjeu sur l'entreprise.</w:t>
            </w:r>
          </w:p>
        </w:tc>
      </w:tr>
      <w:tr>
        <w:tc>
          <w:tcPr>
            <w:tcW w:type="dxa" w:w="4703"/>
          </w:tcPr>
          <w:p>
            <w:r>
              <w:rPr>
                <w:b/>
                <w:color w:val="1F3D33"/>
                <w:sz w:val="17"/>
              </w:rPr>
              <w:t>Scopes 1, 2 et 3</w:t>
            </w:r>
          </w:p>
        </w:tc>
        <w:tc>
          <w:tcPr>
            <w:tcW w:type="dxa" w:w="4703"/>
          </w:tcPr>
          <w:p>
            <w:r>
              <w:rPr>
                <w:sz w:val="17"/>
              </w:rPr>
              <w:t>Découpage des émissions de gaz à effet de serre : émissions directes (1), émissions liées à l'énergie achetée (2), et toutes les autres émissions de la chaîne de valeur, amont et aval (3).</w:t>
            </w:r>
          </w:p>
        </w:tc>
      </w:tr>
      <w:tr>
        <w:tc>
          <w:tcPr>
            <w:tcW w:type="dxa" w:w="4703"/>
          </w:tcPr>
          <w:p>
            <w:r>
              <w:rPr>
                <w:b/>
                <w:color w:val="1F3D33"/>
                <w:sz w:val="17"/>
              </w:rPr>
              <w:t>GHG Protocol</w:t>
            </w:r>
          </w:p>
        </w:tc>
        <w:tc>
          <w:tcPr>
            <w:tcW w:type="dxa" w:w="4703"/>
          </w:tcPr>
          <w:p>
            <w:r>
              <w:rPr>
                <w:sz w:val="17"/>
              </w:rPr>
              <w:t>Référentiel international de comptabilisation des émissions de gaz à effet de serre, sur lequel repose le découpage en scopes.</w:t>
            </w:r>
          </w:p>
        </w:tc>
      </w:tr>
      <w:tr>
        <w:tc>
          <w:tcPr>
            <w:tcW w:type="dxa" w:w="4703"/>
          </w:tcPr>
          <w:p>
            <w:r>
              <w:rPr>
                <w:b/>
                <w:color w:val="1F3D33"/>
                <w:sz w:val="17"/>
              </w:rPr>
              <w:t>Intensité carbone</w:t>
            </w:r>
          </w:p>
        </w:tc>
        <w:tc>
          <w:tcPr>
            <w:tcW w:type="dxa" w:w="4703"/>
          </w:tcPr>
          <w:p>
            <w:r>
              <w:rPr>
                <w:sz w:val="17"/>
              </w:rPr>
              <w:t>Émissions rapportées à l'activité, ici en tonnes de CO₂ équivalent par million d'euros de chiffre d'affaires. Permet de comparer des entreprises de tailles différentes.</w:t>
            </w:r>
          </w:p>
        </w:tc>
      </w:tr>
      <w:tr>
        <w:tc>
          <w:tcPr>
            <w:tcW w:type="dxa" w:w="4703"/>
          </w:tcPr>
          <w:p>
            <w:r>
              <w:rPr>
                <w:b/>
                <w:color w:val="1F3D33"/>
                <w:sz w:val="17"/>
              </w:rPr>
              <w:t>Taxonomie européenne</w:t>
            </w:r>
          </w:p>
        </w:tc>
        <w:tc>
          <w:tcPr>
            <w:tcW w:type="dxa" w:w="4703"/>
          </w:tcPr>
          <w:p>
            <w:r>
              <w:rPr>
                <w:sz w:val="17"/>
              </w:rPr>
              <w:t>Classification des activités économiques durables. Une activité est « alignée » si elle contribue à un objectif environnemental sans nuire aux autres et respecte des garanties sociales minimales.</w:t>
            </w:r>
          </w:p>
        </w:tc>
      </w:tr>
      <w:tr>
        <w:tc>
          <w:tcPr>
            <w:tcW w:type="dxa" w:w="4703"/>
          </w:tcPr>
          <w:p>
            <w:r>
              <w:rPr>
                <w:b/>
                <w:color w:val="1F3D33"/>
                <w:sz w:val="17"/>
              </w:rPr>
              <w:t>DNSH</w:t>
            </w:r>
          </w:p>
        </w:tc>
        <w:tc>
          <w:tcPr>
            <w:tcW w:type="dxa" w:w="4703"/>
          </w:tcPr>
          <w:p>
            <w:r>
              <w:rPr>
                <w:sz w:val="17"/>
              </w:rPr>
              <w:t>« Do No Significant Harm ». Condition de la Taxonomie : contribuer à un objectif environnemental sans causer de préjudice important aux autres.</w:t>
            </w:r>
          </w:p>
        </w:tc>
      </w:tr>
      <w:tr>
        <w:tc>
          <w:tcPr>
            <w:tcW w:type="dxa" w:w="4703"/>
          </w:tcPr>
          <w:p>
            <w:r>
              <w:rPr>
                <w:b/>
                <w:color w:val="1F3D33"/>
                <w:sz w:val="17"/>
              </w:rPr>
              <w:t>TCFD</w:t>
            </w:r>
          </w:p>
        </w:tc>
        <w:tc>
          <w:tcPr>
            <w:tcW w:type="dxa" w:w="4703"/>
          </w:tcPr>
          <w:p>
            <w:r>
              <w:rPr>
                <w:sz w:val="17"/>
              </w:rPr>
              <w:t>Cadre de publication des risques financiers liés au climat, structuré autour de la gouvernance, de la stratégie, de la gestion des risques et des indicateurs.</w:t>
            </w:r>
          </w:p>
        </w:tc>
      </w:tr>
      <w:tr>
        <w:tc>
          <w:tcPr>
            <w:tcW w:type="dxa" w:w="4703"/>
          </w:tcPr>
          <w:p>
            <w:r>
              <w:rPr>
                <w:b/>
                <w:color w:val="1F3D33"/>
                <w:sz w:val="17"/>
              </w:rPr>
              <w:t>Assurance limitée</w:t>
            </w:r>
          </w:p>
        </w:tc>
        <w:tc>
          <w:tcPr>
            <w:tcW w:type="dxa" w:w="4703"/>
          </w:tcPr>
          <w:p>
            <w:r>
              <w:rPr>
                <w:sz w:val="17"/>
              </w:rPr>
              <w:t>Niveau de vérification par un tiers indépendant exigé des entreprises soumises à la CSRD : le vérificateur conclut qu'il n'a pas relevé d'anomalie significative, sans l'audit approfondi que suppose une assurance raisonnable.</w:t>
            </w:r>
          </w:p>
        </w:tc>
      </w:tr>
      <w:tr>
        <w:tc>
          <w:tcPr>
            <w:tcW w:type="dxa" w:w="4703"/>
          </w:tcPr>
          <w:p>
            <w:r>
              <w:rPr>
                <w:b/>
                <w:color w:val="1F3D33"/>
                <w:sz w:val="17"/>
              </w:rPr>
              <w:t>GRI</w:t>
            </w:r>
          </w:p>
        </w:tc>
        <w:tc>
          <w:tcPr>
            <w:tcW w:type="dxa" w:w="4703"/>
          </w:tcPr>
          <w:p>
            <w:r>
              <w:rPr>
                <w:sz w:val="17"/>
              </w:rPr>
              <w:t>Global Reporting Initiative : référentiel international de reporting de durabilité, largement utilisé et compatible avec les ESRS.</w:t>
            </w:r>
          </w:p>
        </w:tc>
      </w:tr>
    </w:tbl>
    <w:p/>
    <w:p>
      <w:pPr>
        <w:jc w:val="center"/>
      </w:pPr>
      <w:r>
        <w:rPr>
          <w:color w:val="7F8C8D"/>
          <w:sz w:val="16"/>
        </w:rPr>
        <w:t>© 2025 Acme Industries — Reporting extra-financier établi selon la méthodologie interne — diffusion restreinte</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