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39C12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B3A6B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F39C12"/>
        </w:pBdr>
      </w:pPr>
    </w:p>
    <w:p>
      <w:pPr>
        <w:spacing w:before="280" w:after="80"/>
      </w:pPr>
      <w:r>
        <w:rPr>
          <w:b/>
          <w:color w:val="1B3A6B"/>
          <w:sz w:val="28"/>
        </w:rPr>
        <w:t>1. Contexte et pré-diagnostic</w:t>
      </w:r>
    </w:p>
    <w:p>
      <w:r>
        <w:t>Une revue préliminaire des données ESG de Acme Industries aboutit à un score global de 66/100 (échelle interne indicative), pour une maturité ESG évaluée comme structurée (2/5). Au regard des exigences CSRD/VSME applicables au marché PME/ETI, cette revue identifie 3 écart(s) réglementaire(s)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conforme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Mixité des effectifs (cible 40 %)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conforme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34 % de femmes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Indépendance du conseil (seuil 50 %)</w:t>
            </w:r>
          </w:p>
        </w:tc>
        <w:tc>
          <w:tcPr>
            <w:tcW w:type="dxa" w:w="3135"/>
          </w:tcPr>
          <w:p>
            <w:r>
              <w:rPr>
                <w:b/>
                <w:color w:val="D97706"/>
                <w:sz w:val="18"/>
              </w:rPr>
              <w:t>Partiel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45 % d'administrateurs indépendants</w:t>
            </w:r>
          </w:p>
        </w:tc>
      </w:tr>
    </w:tbl>
    <w:p/>
    <w:p>
      <w:pPr>
        <w:spacing w:before="280" w:after="80"/>
      </w:pPr>
      <w:r>
        <w:rPr>
          <w:b/>
          <w:color w:val="1B3A6B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réglementaires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B3A6B"/>
          <w:sz w:val="28"/>
        </w:rPr>
        <w:t>3. Déroulé proposé</w:t>
      </w:r>
    </w:p>
    <w:p>
      <w:r>
        <w:rPr>
          <w:b/>
          <w:color w:val="2E86C1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2E86C1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2E86C1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Augmenter la part d'énergie renouvelable à 50%</w:t>
      </w:r>
    </w:p>
    <w:p>
      <w:pPr>
        <w:spacing w:before="280" w:after="80"/>
      </w:pPr>
      <w:r>
        <w:rPr>
          <w:b/>
          <w:color w:val="1B3A6B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diagnostic, benchmark sectoriel, analyse des écarts,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B3A6B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B3A6B"/>
          <w:sz w:val="28"/>
        </w:rPr>
        <w:t>6. Conditions</w:t>
      </w:r>
    </w:p>
    <w:p>
      <w:pPr>
        <w:shd w:val="clear" w:fill="EBF2FB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