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tc>
        <w:tc>
          <w:tcPr>
            <w:tcW w:type="dxa" w:w="2351"/>
          </w:tcPr>
          <w:p>
            <w:pPr>
              <w:jc w:val="center"/>
            </w:pPr>
            <w:r>
              <w:rPr>
                <w:b/>
                <w:color w:val="3D6A8A"/>
                <w:sz w:val="48"/>
              </w:rPr>
              <w:t>55,0</w:t>
            </w:r>
          </w:p>
        </w:tc>
        <w:tc>
          <w:tcPr>
            <w:tcW w:type="dxa" w:w="2351"/>
          </w:tcPr>
          <w:p>
            <w:pPr>
              <w:jc w:val="center"/>
            </w:pPr>
            <w:r>
              <w:rPr>
                <w:b/>
                <w:color w:val="6B5B86"/>
                <w:sz w:val="48"/>
              </w:rPr>
              <w:t>75,0</w:t>
            </w:r>
          </w:p>
        </w:tc>
        <w:tc>
          <w:tcPr>
            <w:tcW w:type="dxa" w:w="2351"/>
          </w:tcPr>
          <w:p>
            <w:pPr>
              <w:jc w:val="center"/>
            </w:pPr>
            <w:r>
              <w:rPr>
                <w:b/>
                <w:color w:val="2E5A4B"/>
                <w:sz w:val="48"/>
              </w:rPr>
              <w:t>66,0</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se situe 4 points au-dessus du score global (66/100). Rapportées au chiffre d'affaires, les émissions représentent 171 t CO2e par million d'euros, une intensité satisfaisante pour le secteur selon la grille du diagnostic.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sécurité au travail (TF 6,2), priorité à traiter</w:t>
      </w:r>
    </w:p>
    <w:p>
      <w:r>
        <w:rPr>
          <w:b/>
          <w:sz w:val="22"/>
        </w:rPr>
        <w:t xml:space="preserve">Score social : </w:t>
      </w:r>
      <w:r>
        <w:rPr>
          <w:b/>
          <w:color w:val="3D6A8A"/>
          <w:sz w:val="28"/>
        </w:rPr>
        <w:t>55,0/100</w:t>
      </w:r>
    </w:p>
    <w:p>
      <w:pPr>
        <w:spacing w:after="160"/>
      </w:pPr>
      <w:r>
        <w:t>Acme Industries enregistre 55/100 sur l'axe social de son reporting extra-financier. Le bilan social présente : 320 collaborateurs (France) ; 34 % de femmes dans l'effectif ; 22 h/an de formation par collaborateur (satisfaisant) ; taux de fréquence accidents 6,2 (à améliorer en priorité) ; turnover 11 %.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55/100, le pilier social se situe 11 points en dessous du score global (66/100).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un résultat fragile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p>
    <w:p>
      <w:pPr>
        <w:spacing w:after="160"/>
      </w:pPr>
      <w:r>
        <w:t>Acme Industries positionne son axe Gouvernance à 75/100. L'architecture de gouvernance comprend : CA de 9 membres ; 44 % de femmes au CA (objectif de 40 % atteint (loi Copé-Zimmermann, pour les sociétés concernées)) ; 45 % d'administrateurs indépendants (sous le seuil AFEP-MEDEF 50 %)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9 points au-dessus du score global (66/100).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5 axes de progrès, examine la couverture de 7 exigences de reporting (dont 2 encore ouvertes) et hiérarchise 4 risques majeurs (dont 2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5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opérationnel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20 points séparent votre pilier le plus solide du plus fragile — l'écart interne à réduire en priorité.</w:t>
      </w:r>
    </w:p>
    <w:p>
      <w:pPr>
        <w:spacing w:before="160"/>
      </w:pPr>
      <w:r>
        <w:rPr>
          <w:b/>
          <w:color w:val="5F6B64"/>
          <w:sz w:val="22"/>
        </w:rPr>
        <w:t>Niveau de maturité ESG : Structurée (2/5)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7 exigences de reporting du référentiel CSRD / ESRS : 4 sont couvertes par les données de l'exercice, 2 restent ouvertes ou partiellement couvertes.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Indépendance du conseil (AFEP-MEDEF, appliquer ou expliquer)</w:t>
            </w:r>
          </w:p>
        </w:tc>
        <w:tc>
          <w:tcPr>
            <w:tcW w:type="dxa" w:w="2351"/>
          </w:tcPr>
          <w:p>
            <w:r>
              <w:rPr>
                <w:sz w:val="18"/>
              </w:rPr>
              <w:t>AFEP-MEDEF</w:t>
            </w:r>
          </w:p>
        </w:tc>
        <w:tc>
          <w:tcPr>
            <w:tcW w:type="dxa" w:w="2351"/>
          </w:tcPr>
          <w:p>
            <w:r>
              <w:rPr>
                <w:b/>
                <w:color w:val="D97706"/>
                <w:sz w:val="18"/>
              </w:rPr>
              <w:t>Sous le seuil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2 sont classés en priorité 1 et appellent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