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طرح اجرایی Multi-Tenancy سامانهٔ حسابداری</w:t>
      </w:r>
    </w:p>
    <w:p>
      <w:pPr/>
      <w:r>
        <w:t xml:space="preserve">Oct 21, 2026</w:t>
      </w:r>
      <w:r>
        <w:t xml:space="preserve"> · </w:t>
      </w:r>
      <w:r>
        <w:t xml:space="preserve">@Alireza Abouhossein</w:t>
      </w:r>
    </w:p>
    <w:p>
      <w:pPr>
        <w:pStyle w:val="Heading2"/>
        <w:bidi/>
      </w:pPr>
      <w:r>
        <w:rPr>
          <w:rtl/>
        </w:rPr>
        <w:t xml:space="preserve">خلاصه و تصمیم</w:t>
      </w:r>
    </w:p>
    <w:p>
      <w:pPr>
        <w:bidi/>
      </w:pPr>
      <w:r>
        <w:rPr>
          <w:rtl/>
        </w:rPr>
        <w:t xml:space="preserve">تصمیم: هر سازمان یک </w:t>
      </w:r>
      <w:r>
        <w:rPr>
          <w:b/>
          <w:rtl/>
        </w:rPr>
        <w:t xml:space="preserve">Schema جدا</w:t>
      </w:r>
      <w:r>
        <w:rPr>
          <w:rtl/>
        </w:rPr>
        <w:t xml:space="preserve"> می‌گیرد. سازمان‌های رایگان روی یک دیتابیس Oracle مشترک می‌نشینند و سازمان‌های دارای اشتراک اختصاصی روی PDB یا دیتابیس مستقل. کد برنامه یکی است؛ پلن‌ها فقط در «مقصد اتصال» و «سهمیه» فرق دارند.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تأمین اجتماعی = Tenant شمارهٔ ۱.</w:t>
      </w:r>
      <w:r>
        <w:rPr>
          <w:rtl/>
        </w:rPr>
        <w:t xml:space="preserve"> Schema فعلی </w:t>
      </w:r>
      <w:r>
        <w:rPr>
          <w:rStyle w:val="CodeChar"/>
          <w:rtl/>
        </w:rPr>
        <w:t xml:space="preserve">CENTRALACCOUNT</w:t>
      </w:r>
      <w:r>
        <w:rPr>
          <w:rtl/>
        </w:rPr>
        <w:t xml:space="preserve"> بدون هیچ تغییری در جدول‌ها، اولین Tenant می‌شود.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ارتقای رایگان به اختصاصی = جابه‌جایی یک Schema</w:t>
      </w:r>
      <w:r>
        <w:rPr>
          <w:rtl/>
        </w:rPr>
        <w:t xml:space="preserve"> با Data Pump؛ نه استخراج ردیف‌به‌ردیف.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SQL خام گزارش‌ها دست نمی‌خورد</w:t>
      </w:r>
      <w:r>
        <w:t xml:space="preserve">؛ </w:t>
      </w:r>
      <w:r>
        <w:rPr>
          <w:rStyle w:val="CodeChar"/>
        </w:rPr>
        <w:t xml:space="preserve">CURRENT_SCHEMA</w:t>
      </w:r>
      <w:r>
        <w:t xml:space="preserve"> و Grant حساب Runtime جداسازی را تضمین می‌کنند.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برآورد کل کار:</w:t>
      </w:r>
      <w:r>
        <w:rPr>
          <w:rtl/>
        </w:rPr>
        <w:t xml:space="preserve"> ۸ فاز. فاز ۱ و ۲ بدون تغییر رفتار سیستم فعلی انجام می‌شوند و نقطهٔ برگشت امن دارند.</w:t>
      </w:r>
    </w:p>
    <w:p>
      <w:pPr>
        <w:bidi/>
      </w:pPr>
      <w:r>
        <w:rPr>
          <w:rtl/>
        </w:rPr>
        <w:t xml:space="preserve">مبنا: سند «Multi_Tenancy_Oracle_DotNet نسخهٔ ۳» به‌علاوهٔ بررسی مستقیم کد در </w:t>
      </w:r>
      <w:r>
        <w:rPr>
          <w:rStyle w:val="CodeChar"/>
          <w:rtl/>
        </w:rPr>
        <w:t xml:space="preserve">D:\AiProj\AccountCoreAiProj\AccountingCoreClaude</w:t>
      </w:r>
      <w:r>
        <w:rPr>
          <w:rtl/>
        </w:rPr>
        <w:t xml:space="preserve"> (آخرین فاز: ۶۵).</w:t>
      </w:r>
    </w:p>
    <w:p>
      <w:pPr>
        <w:pStyle w:val="Heading2"/>
        <w:bidi/>
      </w:pPr>
      <w:r>
        <w:rPr>
          <w:rtl/>
        </w:rPr>
        <w:t xml:space="preserve">مقایسهٔ دو روش برای این پروژه</w:t>
      </w:r>
    </w:p>
    <w:p>
      <w:pPr/>
      <w:r>
        <w:t xml:space="preserve">Schema جدا در هفت معیار از نه معیار برنده است؛ جدول مشترک فقط در مقیاس «هزاران سازمان خیلی کوچک» و سادگی Migration جلو است.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81"/>
        <w:gridCol w:w="3046"/>
        <w:gridCol w:w="1737"/>
        <w:gridCol w:w="2296"/>
      </w:tblGrid>
      <w:tr>
        <w:trPr>
          <w:tblHeader/>
        </w:trPr>
        <w:tc>
          <w:tcPr>
            <w:tcW w:w="2281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معیار</w:t>
            </w:r>
          </w:p>
        </w:tc>
        <w:tc>
          <w:tcPr>
            <w:tcW w:w="304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جدول مشترک + </w:t>
            </w:r>
            <w:r>
              <w:rPr>
                <w:rStyle w:val="CodeChar"/>
                <w:rtl/>
              </w:rPr>
              <w:t xml:space="preserve">TENANT_ID</w:t>
            </w:r>
            <w:r>
              <w:rPr>
                <w:rtl/>
              </w:rPr>
              <w:t xml:space="preserve"> (SaaS کلاسیک)</w:t>
            </w:r>
          </w:p>
        </w:tc>
        <w:tc>
          <w:tcPr>
            <w:tcW w:w="1737" w:type="dxa"/>
            <w:shd w:val="clear" w:color="auto" w:fill="F2F2F2"/>
          </w:tcPr>
          <w:p>
            <w:pPr/>
            <w:r>
              <w:t xml:space="preserve">Schema جدا برای هر سازمان</w:t>
            </w:r>
          </w:p>
        </w:tc>
        <w:tc>
          <w:tcPr>
            <w:tcW w:w="229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برنده</w:t>
            </w:r>
          </w:p>
        </w:tc>
      </w:tr>
      <w:tr>
        <w:tc>
          <w:tcPr>
            <w:tcW w:w="2281" w:type="dxa"/>
          </w:tcPr>
          <w:p>
            <w:pPr>
              <w:bidi/>
            </w:pPr>
            <w:r>
              <w:rPr>
                <w:rtl/>
              </w:rPr>
              <w:t xml:space="preserve">تغییر در Schema فعلی</w:t>
            </w:r>
          </w:p>
        </w:tc>
        <w:tc>
          <w:tcPr>
            <w:tcW w:w="3046" w:type="dxa"/>
          </w:tcPr>
          <w:p>
            <w:pPr>
              <w:bidi/>
            </w:pPr>
            <w:r>
              <w:rPr>
                <w:rtl/>
              </w:rPr>
              <w:t xml:space="preserve">ستون جدید در ۱۲۰ نگاشت جدول/View، بازطراحی کلیدها و Unique Indexها</w:t>
            </w:r>
          </w:p>
        </w:tc>
        <w:tc>
          <w:tcPr>
            <w:tcW w:w="1737" w:type="dxa"/>
          </w:tcPr>
          <w:p>
            <w:pPr>
              <w:bidi/>
            </w:pPr>
            <w:r>
              <w:rPr>
                <w:rtl/>
              </w:rPr>
              <w:t xml:space="preserve">هیچ</w:t>
            </w:r>
          </w:p>
        </w:tc>
        <w:tc>
          <w:tcPr>
            <w:tcW w:w="2296" w:type="dxa"/>
          </w:tcPr>
          <w:p>
            <w:pPr/>
            <w:r>
              <w:t xml:space="preserve">Schema جدا</w:t>
            </w:r>
          </w:p>
        </w:tc>
      </w:tr>
      <w:tr>
        <w:tc>
          <w:tcPr>
            <w:tcW w:w="2281" w:type="dxa"/>
          </w:tcPr>
          <w:p>
            <w:pPr>
              <w:bidi/>
            </w:pPr>
            <w:r>
              <w:rPr>
                <w:rtl/>
              </w:rPr>
              <w:t xml:space="preserve">اصل Legacy-as-Domain</w:t>
            </w:r>
          </w:p>
        </w:tc>
        <w:tc>
          <w:tcPr>
            <w:tcW w:w="3046" w:type="dxa"/>
          </w:tcPr>
          <w:p>
            <w:pPr>
              <w:bidi/>
            </w:pPr>
            <w:r>
              <w:rPr>
                <w:rtl/>
              </w:rPr>
              <w:t xml:space="preserve">نقض می‌شود؛ دست بردن در جدول‌های تأمین</w:t>
            </w:r>
          </w:p>
        </w:tc>
        <w:tc>
          <w:tcPr>
            <w:tcW w:w="1737" w:type="dxa"/>
          </w:tcPr>
          <w:p>
            <w:pPr>
              <w:bidi/>
            </w:pPr>
            <w:r>
              <w:rPr>
                <w:rtl/>
              </w:rPr>
              <w:t xml:space="preserve">حفظ می‌شود</w:t>
            </w:r>
          </w:p>
        </w:tc>
        <w:tc>
          <w:tcPr>
            <w:tcW w:w="2296" w:type="dxa"/>
          </w:tcPr>
          <w:p>
            <w:pPr/>
            <w:r>
              <w:t xml:space="preserve">Schema جدا</w:t>
            </w:r>
          </w:p>
        </w:tc>
      </w:tr>
      <w:tr>
        <w:tc>
          <w:tcPr>
            <w:tcW w:w="2281" w:type="dxa"/>
          </w:tcPr>
          <w:p>
            <w:pPr>
              <w:bidi/>
            </w:pPr>
            <w:r>
              <w:rPr>
                <w:rtl/>
              </w:rPr>
              <w:t xml:space="preserve">کد واحد ۴ رقمی تکراری بین دو سازمان</w:t>
            </w:r>
          </w:p>
        </w:tc>
        <w:tc>
          <w:tcPr>
            <w:tcW w:w="3046" w:type="dxa"/>
          </w:tcPr>
          <w:p>
            <w:pPr>
              <w:bidi/>
            </w:pPr>
            <w:r>
              <w:rPr>
                <w:rtl/>
              </w:rPr>
              <w:t xml:space="preserve">همهٔ کلیدها و شمارهٔ عطف باید </w:t>
            </w:r>
            <w:r>
              <w:rPr>
                <w:rStyle w:val="CodeChar"/>
                <w:rtl/>
              </w:rPr>
              <w:t xml:space="preserve">TENANT_ID</w:t>
            </w:r>
            <w:r>
              <w:rPr>
                <w:rtl/>
              </w:rPr>
              <w:t xml:space="preserve"> بگیرند</w:t>
            </w:r>
          </w:p>
        </w:tc>
        <w:tc>
          <w:tcPr>
            <w:tcW w:w="1737" w:type="dxa"/>
          </w:tcPr>
          <w:p>
            <w:pPr>
              <w:bidi/>
            </w:pPr>
            <w:r>
              <w:rPr>
                <w:rtl/>
              </w:rPr>
              <w:t xml:space="preserve">مشکلی نیست</w:t>
            </w:r>
          </w:p>
        </w:tc>
        <w:tc>
          <w:tcPr>
            <w:tcW w:w="2296" w:type="dxa"/>
          </w:tcPr>
          <w:p>
            <w:pPr/>
            <w:r>
              <w:t xml:space="preserve">Schema جدا</w:t>
            </w:r>
          </w:p>
        </w:tc>
      </w:tr>
      <w:tr>
        <w:tc>
          <w:tcPr>
            <w:tcW w:w="2281" w:type="dxa"/>
          </w:tcPr>
          <w:p>
            <w:pPr/>
            <w:r>
              <w:t xml:space="preserve">SQL خام (</w:t>
            </w:r>
            <w:r>
              <w:rPr>
                <w:rStyle w:val="CodeChar"/>
              </w:rPr>
              <w:t xml:space="preserve">SqlQueryRaw</w:t>
            </w:r>
            <w:r>
              <w:t xml:space="preserve"> در تراز، دفتر کل، صورت‌های مالی)</w:t>
            </w:r>
          </w:p>
        </w:tc>
        <w:tc>
          <w:tcPr>
            <w:tcW w:w="3046" w:type="dxa"/>
          </w:tcPr>
          <w:p>
            <w:pPr/>
            <w:r>
              <w:t xml:space="preserve">Global Filter اثر ندارد؛ هر Query دستی اصلاح شود</w:t>
            </w:r>
          </w:p>
        </w:tc>
        <w:tc>
          <w:tcPr>
            <w:tcW w:w="1737" w:type="dxa"/>
          </w:tcPr>
          <w:p>
            <w:pPr>
              <w:bidi/>
            </w:pPr>
            <w:r>
              <w:rPr>
                <w:rtl/>
              </w:rPr>
              <w:t xml:space="preserve">بدون تغییر</w:t>
            </w:r>
          </w:p>
        </w:tc>
        <w:tc>
          <w:tcPr>
            <w:tcW w:w="2296" w:type="dxa"/>
          </w:tcPr>
          <w:p>
            <w:pPr/>
            <w:r>
              <w:t xml:space="preserve">Schema جدا</w:t>
            </w:r>
          </w:p>
        </w:tc>
      </w:tr>
      <w:tr>
        <w:tc>
          <w:tcPr>
            <w:tcW w:w="2281" w:type="dxa"/>
          </w:tcPr>
          <w:p>
            <w:pPr>
              <w:bidi/>
            </w:pPr>
            <w:r>
              <w:rPr>
                <w:rtl/>
              </w:rPr>
              <w:t xml:space="preserve">مرز امنیتی</w:t>
            </w:r>
          </w:p>
        </w:tc>
        <w:tc>
          <w:tcPr>
            <w:tcW w:w="3046" w:type="dxa"/>
          </w:tcPr>
          <w:p>
            <w:pPr>
              <w:bidi/>
            </w:pPr>
            <w:r>
              <w:rPr>
                <w:rtl/>
              </w:rPr>
              <w:t xml:space="preserve">منطقی (فیلتر یا VPD/RLS)</w:t>
            </w:r>
          </w:p>
        </w:tc>
        <w:tc>
          <w:tcPr>
            <w:tcW w:w="1737" w:type="dxa"/>
          </w:tcPr>
          <w:p>
            <w:pPr>
              <w:bidi/>
            </w:pPr>
            <w:r>
              <w:rPr>
                <w:rtl/>
              </w:rPr>
              <w:t xml:space="preserve">فیزیکی (Grant حساب Runtime)</w:t>
            </w:r>
          </w:p>
        </w:tc>
        <w:tc>
          <w:tcPr>
            <w:tcW w:w="2296" w:type="dxa"/>
          </w:tcPr>
          <w:p>
            <w:pPr/>
            <w:r>
              <w:t xml:space="preserve">Schema جدا</w:t>
            </w:r>
          </w:p>
        </w:tc>
      </w:tr>
      <w:tr>
        <w:tc>
          <w:tcPr>
            <w:tcW w:w="2281" w:type="dxa"/>
          </w:tcPr>
          <w:p>
            <w:pPr>
              <w:bidi/>
            </w:pPr>
            <w:r>
              <w:rPr>
                <w:rtl/>
              </w:rPr>
              <w:t xml:space="preserve">ارتقا به اشتراک اختصاصی</w:t>
            </w:r>
          </w:p>
        </w:tc>
        <w:tc>
          <w:tcPr>
            <w:tcW w:w="3046" w:type="dxa"/>
          </w:tcPr>
          <w:p>
            <w:pPr>
              <w:bidi/>
            </w:pPr>
            <w:r>
              <w:rPr>
                <w:rtl/>
              </w:rPr>
              <w:t xml:space="preserve">استخراج ردیف‌به‌ردیف با وابستگی‌ها</w:t>
            </w:r>
          </w:p>
        </w:tc>
        <w:tc>
          <w:tcPr>
            <w:tcW w:w="1737" w:type="dxa"/>
          </w:tcPr>
          <w:p>
            <w:pPr>
              <w:bidi/>
            </w:pPr>
            <w:r>
              <w:rPr>
                <w:rtl/>
              </w:rPr>
              <w:t xml:space="preserve">یک Export/Import با Data Pump</w:t>
            </w:r>
          </w:p>
        </w:tc>
        <w:tc>
          <w:tcPr>
            <w:tcW w:w="2296" w:type="dxa"/>
          </w:tcPr>
          <w:p>
            <w:pPr/>
            <w:r>
              <w:t xml:space="preserve">Schema جدا</w:t>
            </w:r>
          </w:p>
        </w:tc>
      </w:tr>
      <w:tr>
        <w:tc>
          <w:tcPr>
            <w:tcW w:w="2281" w:type="dxa"/>
          </w:tcPr>
          <w:p>
            <w:pPr>
              <w:bidi/>
            </w:pPr>
            <w:r>
              <w:rPr>
                <w:rtl/>
              </w:rPr>
              <w:t xml:space="preserve">اثر سازمان بزرگ بر بقیه</w:t>
            </w:r>
          </w:p>
        </w:tc>
        <w:tc>
          <w:tcPr>
            <w:tcW w:w="3046" w:type="dxa"/>
          </w:tcPr>
          <w:p>
            <w:pPr>
              <w:bidi/>
            </w:pPr>
            <w:r>
              <w:rPr>
                <w:rtl/>
              </w:rPr>
              <w:t xml:space="preserve">ایندکس و آمار مشترک</w:t>
            </w:r>
          </w:p>
        </w:tc>
        <w:tc>
          <w:tcPr>
            <w:tcW w:w="1737" w:type="dxa"/>
          </w:tcPr>
          <w:p>
            <w:pPr>
              <w:bidi/>
            </w:pPr>
            <w:r>
              <w:rPr>
                <w:rtl/>
              </w:rPr>
              <w:t xml:space="preserve">ایندکس و آمار جدا</w:t>
            </w:r>
          </w:p>
        </w:tc>
        <w:tc>
          <w:tcPr>
            <w:tcW w:w="2296" w:type="dxa"/>
          </w:tcPr>
          <w:p>
            <w:pPr/>
            <w:r>
              <w:t xml:space="preserve">Schema جدا</w:t>
            </w:r>
          </w:p>
        </w:tc>
      </w:tr>
      <w:tr>
        <w:tc>
          <w:tcPr>
            <w:tcW w:w="2281" w:type="dxa"/>
          </w:tcPr>
          <w:p>
            <w:pPr/>
            <w:r>
              <w:t xml:space="preserve">Migration</w:t>
            </w:r>
          </w:p>
        </w:tc>
        <w:tc>
          <w:tcPr>
            <w:tcW w:w="3046" w:type="dxa"/>
          </w:tcPr>
          <w:p>
            <w:pPr>
              <w:bidi/>
            </w:pPr>
            <w:r>
              <w:rPr>
                <w:rtl/>
              </w:rPr>
              <w:t xml:space="preserve">یک بار</w:t>
            </w:r>
          </w:p>
        </w:tc>
        <w:tc>
          <w:tcPr>
            <w:tcW w:w="1737" w:type="dxa"/>
          </w:tcPr>
          <w:p>
            <w:pPr/>
            <w:r>
              <w:t xml:space="preserve">N بار؛ Runner لازم</w:t>
            </w:r>
          </w:p>
        </w:tc>
        <w:tc>
          <w:tcPr>
            <w:tcW w:w="2296" w:type="dxa"/>
          </w:tcPr>
          <w:p>
            <w:pPr>
              <w:bidi/>
            </w:pPr>
            <w:r>
              <w:rPr>
                <w:rtl/>
              </w:rPr>
              <w:t xml:space="preserve">جدول مشترک</w:t>
            </w:r>
          </w:p>
        </w:tc>
      </w:tr>
      <w:tr>
        <w:tc>
          <w:tcPr>
            <w:tcW w:w="2281" w:type="dxa"/>
          </w:tcPr>
          <w:p>
            <w:pPr>
              <w:bidi/>
            </w:pPr>
            <w:r>
              <w:rPr>
                <w:rtl/>
              </w:rPr>
              <w:t xml:space="preserve">هزاران سازمان رایگان کوچک و Connection Pool</w:t>
            </w:r>
          </w:p>
        </w:tc>
        <w:tc>
          <w:tcPr>
            <w:tcW w:w="3046" w:type="dxa"/>
          </w:tcPr>
          <w:p>
            <w:pPr>
              <w:bidi/>
            </w:pPr>
            <w:r>
              <w:rPr>
                <w:rtl/>
              </w:rPr>
              <w:t xml:space="preserve">یک Pool، ارزان</w:t>
            </w:r>
          </w:p>
        </w:tc>
        <w:tc>
          <w:tcPr>
            <w:tcW w:w="1737" w:type="dxa"/>
          </w:tcPr>
          <w:p>
            <w:pPr>
              <w:bidi/>
            </w:pPr>
            <w:r>
              <w:rPr>
                <w:rtl/>
              </w:rPr>
              <w:t xml:space="preserve">یک Pool و ۱۲۰ جدول برای هر سازمان</w:t>
            </w:r>
          </w:p>
        </w:tc>
        <w:tc>
          <w:tcPr>
            <w:tcW w:w="2296" w:type="dxa"/>
          </w:tcPr>
          <w:p>
            <w:pPr>
              <w:bidi/>
            </w:pPr>
            <w:r>
              <w:rPr>
                <w:rtl/>
              </w:rPr>
              <w:t xml:space="preserve">جدول مشترک</w:t>
            </w:r>
          </w:p>
        </w:tc>
      </w:tr>
    </w:tbl>
    <w:p>
      <w:pPr>
        <w:bidi/>
      </w:pPr>
      <w:r>
        <w:rPr>
          <w:rtl/>
        </w:rPr>
        <w:t xml:space="preserve">اگر پیش‌بینی دو سال آینده هزاران سازمان رایگان باشد، پیش از شروع این تصمیم دوباره سنجیده شود.</w:t>
      </w:r>
    </w:p>
    <w:p>
      <w:pPr>
        <w:pStyle w:val="Heading2"/>
        <w:bidi/>
      </w:pPr>
      <w:r>
        <w:rPr>
          <w:rtl/>
        </w:rPr>
        <w:t xml:space="preserve">وضعیت فعلی کد</w:t>
      </w:r>
    </w:p>
    <w:p>
      <w:pPr>
        <w:bidi/>
      </w:pPr>
      <w:r>
        <w:rPr>
          <w:rtl/>
        </w:rPr>
        <w:t xml:space="preserve">امروز هر پروسه فقط یک Schema می‌شناسد و EF و SQL خام Schema را از دو منبع مختلف می‌گیرند؛ این اولین چیزی است که باید یکی شود.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43"/>
        <w:gridCol w:w="2340"/>
        <w:gridCol w:w="3061"/>
        <w:gridCol w:w="1916"/>
      </w:tblGrid>
      <w:tr>
        <w:trPr>
          <w:tblHeader/>
        </w:trPr>
        <w:tc>
          <w:tcPr>
            <w:tcW w:w="2043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بخش</w:t>
            </w:r>
          </w:p>
        </w:tc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محل در کد</w:t>
            </w:r>
          </w:p>
        </w:tc>
        <w:tc>
          <w:tcPr>
            <w:tcW w:w="3061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وضعیت امروز</w:t>
            </w:r>
          </w:p>
        </w:tc>
        <w:tc>
          <w:tcPr>
            <w:tcW w:w="191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اثر در Multi-Tenancy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Schema در EF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Legacy/LegacyDbContext.cs</w:t>
            </w:r>
          </w:p>
        </w:tc>
        <w:tc>
          <w:tcPr>
            <w:tcW w:w="3061" w:type="dxa"/>
          </w:tcPr>
          <w:p>
            <w:pPr/>
            <w:r>
              <w:rPr>
                <w:rStyle w:val="CodeChar"/>
              </w:rPr>
              <w:t xml:space="preserve">static DefaultSchema = "CENTRALACCOUNT"</w:t>
            </w:r>
            <w:r>
              <w:t xml:space="preserve"> + </w:t>
            </w:r>
            <w:r>
              <w:rPr>
                <w:rStyle w:val="CodeChar"/>
              </w:rPr>
              <w:t xml:space="preserve">HasDefaultSchema</w:t>
            </w:r>
          </w:p>
        </w:tc>
        <w:tc>
          <w:tcPr>
            <w:tcW w:w="1916" w:type="dxa"/>
          </w:tcPr>
          <w:p>
            <w:pPr>
              <w:bidi/>
            </w:pPr>
            <w:r>
              <w:rPr>
                <w:rtl/>
              </w:rPr>
              <w:t xml:space="preserve">باید حذف شود</w:t>
            </w:r>
          </w:p>
        </w:tc>
      </w:tr>
      <w:tr>
        <w:tc>
          <w:tcPr>
            <w:tcW w:w="2043" w:type="dxa"/>
          </w:tcPr>
          <w:p>
            <w:pPr>
              <w:bidi/>
            </w:pPr>
            <w:r>
              <w:rPr>
                <w:rtl/>
              </w:rPr>
              <w:t xml:space="preserve">نگاشت‌ها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همان فایل</w:t>
            </w:r>
          </w:p>
        </w:tc>
        <w:tc>
          <w:tcPr>
            <w:tcW w:w="3061" w:type="dxa"/>
          </w:tcPr>
          <w:p>
            <w:pPr/>
            <w:r>
              <w:t xml:space="preserve">۱۲۰ </w:t>
            </w:r>
            <w:r>
              <w:rPr>
                <w:rStyle w:val="CodeChar"/>
              </w:rPr>
              <w:t xml:space="preserve">ToTable</w:t>
            </w:r>
            <w:r>
              <w:t xml:space="preserve">/</w:t>
            </w:r>
            <w:r>
              <w:rPr>
                <w:rStyle w:val="CodeChar"/>
              </w:rPr>
              <w:t xml:space="preserve">ToView</w:t>
            </w:r>
          </w:p>
        </w:tc>
        <w:tc>
          <w:tcPr>
            <w:tcW w:w="1916" w:type="dxa"/>
          </w:tcPr>
          <w:p>
            <w:pPr>
              <w:bidi/>
            </w:pPr>
            <w:r>
              <w:rPr>
                <w:rtl/>
              </w:rPr>
              <w:t xml:space="preserve">بدون تغییر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SQL خام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TrialBalanceReadRepository</w:t>
            </w:r>
            <w:r>
              <w:t xml:space="preserve">، </w:t>
            </w:r>
            <w:r>
              <w:rPr>
                <w:rStyle w:val="CodeChar"/>
              </w:rPr>
              <w:t xml:space="preserve">FsBalanceReadRepository</w:t>
            </w:r>
            <w:r>
              <w:t xml:space="preserve">، </w:t>
            </w:r>
            <w:r>
              <w:rPr>
                <w:rStyle w:val="CodeChar"/>
              </w:rPr>
              <w:t xml:space="preserve">GeneralLedgerReadRepository</w:t>
            </w:r>
            <w:r>
              <w:t xml:space="preserve"> و...</w:t>
            </w:r>
          </w:p>
        </w:tc>
        <w:tc>
          <w:tcPr>
            <w:tcW w:w="3061" w:type="dxa"/>
          </w:tcPr>
          <w:p>
            <w:pPr/>
            <w:r>
              <w:rPr>
                <w:rStyle w:val="CodeChar"/>
              </w:rPr>
              <w:t xml:space="preserve">FROM TB_VOUCHERSDETAIL</w:t>
            </w:r>
            <w:r>
              <w:t xml:space="preserve"> بدون پیشوند، از Schema کاربر اتصال</w:t>
            </w:r>
          </w:p>
        </w:tc>
        <w:tc>
          <w:tcPr>
            <w:tcW w:w="1916" w:type="dxa"/>
          </w:tcPr>
          <w:p>
            <w:pPr>
              <w:bidi/>
            </w:pPr>
            <w:r>
              <w:rPr>
                <w:rtl/>
              </w:rPr>
              <w:t xml:space="preserve">با </w:t>
            </w:r>
            <w:r>
              <w:rPr>
                <w:rStyle w:val="CodeChar"/>
                <w:rtl/>
              </w:rPr>
              <w:t xml:space="preserve">CURRENT_SCHEMA</w:t>
            </w:r>
            <w:r>
              <w:rPr>
                <w:rtl/>
              </w:rPr>
              <w:t xml:space="preserve"> درست می‌شود</w:t>
            </w:r>
          </w:p>
        </w:tc>
      </w:tr>
      <w:tr>
        <w:tc>
          <w:tcPr>
            <w:tcW w:w="2043" w:type="dxa"/>
          </w:tcPr>
          <w:p>
            <w:pPr>
              <w:bidi/>
            </w:pPr>
            <w:r>
              <w:rPr>
                <w:rtl/>
              </w:rPr>
              <w:t xml:space="preserve">ثبت DbContext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Infrastructure/DependencyInjection.cs</w:t>
            </w:r>
          </w:p>
        </w:tc>
        <w:tc>
          <w:tcPr>
            <w:tcW w:w="3061" w:type="dxa"/>
          </w:tcPr>
          <w:p>
            <w:pPr/>
            <w:r>
              <w:rPr>
                <w:rStyle w:val="CodeChar"/>
              </w:rPr>
              <w:t xml:space="preserve">AddDbContext</w:t>
            </w:r>
            <w:r>
              <w:t xml:space="preserve"> با یک </w:t>
            </w:r>
            <w:r>
              <w:rPr>
                <w:rStyle w:val="CodeChar"/>
              </w:rPr>
              <w:t xml:space="preserve">DefaultConnection</w:t>
            </w:r>
            <w:r>
              <w:t xml:space="preserve">، بدون Pooling، Interceptorهای عطف و Audit</w:t>
            </w:r>
          </w:p>
        </w:tc>
        <w:tc>
          <w:tcPr>
            <w:tcW w:w="1916" w:type="dxa"/>
          </w:tcPr>
          <w:p>
            <w:pPr>
              <w:bidi/>
            </w:pPr>
            <w:r>
              <w:rPr>
                <w:rtl/>
              </w:rPr>
              <w:t xml:space="preserve">اتصال از Tenant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Singletonها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همان فایل</w:t>
            </w:r>
          </w:p>
        </w:tc>
        <w:tc>
          <w:tcPr>
            <w:tcW w:w="3061" w:type="dxa"/>
          </w:tcPr>
          <w:p>
            <w:pPr/>
            <w:r>
              <w:rPr>
                <w:rStyle w:val="CodeChar"/>
              </w:rPr>
              <w:t xml:space="preserve">IdpPortalUserRoleProvider</w:t>
            </w:r>
            <w:r>
              <w:t xml:space="preserve">، </w:t>
            </w:r>
            <w:r>
              <w:rPr>
                <w:rStyle w:val="CodeChar"/>
              </w:rPr>
              <w:t xml:space="preserve">MonthReopenCodeGenerator</w:t>
            </w:r>
            <w:r>
              <w:t xml:space="preserve">، </w:t>
            </w:r>
            <w:r>
              <w:rPr>
                <w:rStyle w:val="CodeChar"/>
              </w:rPr>
              <w:t xml:space="preserve">LegacyImport*</w:t>
            </w:r>
            <w:r>
              <w:t xml:space="preserve">، Exporterها</w:t>
            </w:r>
          </w:p>
        </w:tc>
        <w:tc>
          <w:tcPr>
            <w:tcW w:w="1916" w:type="dxa"/>
          </w:tcPr>
          <w:p>
            <w:pPr>
              <w:bidi/>
            </w:pPr>
            <w:r>
              <w:rPr>
                <w:rtl/>
              </w:rPr>
              <w:t xml:space="preserve">بازبینی کش و وضعیت</w:t>
            </w:r>
          </w:p>
        </w:tc>
      </w:tr>
      <w:tr>
        <w:tc>
          <w:tcPr>
            <w:tcW w:w="2043" w:type="dxa"/>
          </w:tcPr>
          <w:p>
            <w:pPr>
              <w:bidi/>
            </w:pPr>
            <w:r>
              <w:rPr>
                <w:rtl/>
              </w:rPr>
              <w:t xml:space="preserve">واحد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Program.cs</w:t>
            </w:r>
            <w:r>
              <w:t xml:space="preserve"> + </w:t>
            </w:r>
            <w:r>
              <w:rPr>
                <w:rStyle w:val="CodeChar"/>
              </w:rPr>
              <w:t xml:space="preserve">IUnitScopeResolver</w:t>
            </w:r>
          </w:p>
        </w:tc>
        <w:tc>
          <w:tcPr>
            <w:tcW w:w="3061" w:type="dxa"/>
          </w:tcPr>
          <w:p>
            <w:pPr>
              <w:bidi/>
            </w:pPr>
            <w:r>
              <w:rPr>
                <w:rtl/>
              </w:rPr>
              <w:t xml:space="preserve">هدر </w:t>
            </w:r>
            <w:r>
              <w:rPr>
                <w:rStyle w:val="CodeChar"/>
                <w:rtl/>
              </w:rPr>
              <w:t xml:space="preserve">X-Vahed-Code</w:t>
            </w:r>
            <w:r>
              <w:rPr>
                <w:rtl/>
              </w:rPr>
              <w:t xml:space="preserve"> با زیردرخت مجاز</w:t>
            </w:r>
          </w:p>
        </w:tc>
        <w:tc>
          <w:tcPr>
            <w:tcW w:w="1916" w:type="dxa"/>
          </w:tcPr>
          <w:p>
            <w:pPr>
              <w:bidi/>
            </w:pPr>
            <w:r>
              <w:rPr>
                <w:rtl/>
              </w:rPr>
              <w:t xml:space="preserve">بدون تغییر</w:t>
            </w:r>
          </w:p>
        </w:tc>
      </w:tr>
      <w:tr>
        <w:tc>
          <w:tcPr>
            <w:tcW w:w="2043" w:type="dxa"/>
          </w:tcPr>
          <w:p>
            <w:pPr>
              <w:bidi/>
            </w:pPr>
            <w:r>
              <w:rPr>
                <w:rtl/>
              </w:rPr>
              <w:t xml:space="preserve">هویت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appsettings.json</w:t>
            </w:r>
          </w:p>
        </w:tc>
        <w:tc>
          <w:tcPr>
            <w:tcW w:w="3061" w:type="dxa"/>
          </w:tcPr>
          <w:p>
            <w:pPr/>
            <w:r>
              <w:rPr>
                <w:rStyle w:val="CodeChar"/>
              </w:rPr>
              <w:t xml:space="preserve">Auth:Provider = Tamin</w:t>
            </w:r>
            <w:r>
              <w:t xml:space="preserve">، Keycloak با claim </w:t>
            </w:r>
            <w:r>
              <w:rPr>
                <w:rStyle w:val="CodeChar"/>
              </w:rPr>
              <w:t xml:space="preserve">vahed_code</w:t>
            </w:r>
          </w:p>
        </w:tc>
        <w:tc>
          <w:tcPr>
            <w:tcW w:w="1916" w:type="dxa"/>
          </w:tcPr>
          <w:p>
            <w:pPr/>
            <w:r>
              <w:t xml:space="preserve">claim جدید </w:t>
            </w:r>
            <w:r>
              <w:rPr>
                <w:rStyle w:val="CodeChar"/>
              </w:rPr>
              <w:t xml:space="preserve">tenant</w:t>
            </w:r>
          </w:p>
        </w:tc>
      </w:tr>
      <w:tr>
        <w:tc>
          <w:tcPr>
            <w:tcW w:w="2043" w:type="dxa"/>
          </w:tcPr>
          <w:p>
            <w:pPr>
              <w:bidi/>
            </w:pPr>
            <w:r>
              <w:rPr>
                <w:rtl/>
              </w:rPr>
              <w:t xml:space="preserve">لایسنس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Licensing/LicenseMiddleware.cs</w:t>
            </w:r>
          </w:p>
        </w:tc>
        <w:tc>
          <w:tcPr>
            <w:tcW w:w="3061" w:type="dxa"/>
          </w:tcPr>
          <w:p>
            <w:pPr>
              <w:bidi/>
            </w:pPr>
            <w:r>
              <w:rPr>
                <w:rtl/>
              </w:rPr>
              <w:t xml:space="preserve">فایل امضاشدهٔ آفلاین</w:t>
            </w:r>
          </w:p>
        </w:tc>
        <w:tc>
          <w:tcPr>
            <w:tcW w:w="1916" w:type="dxa"/>
          </w:tcPr>
          <w:p>
            <w:pPr>
              <w:bidi/>
            </w:pPr>
            <w:r>
              <w:rPr>
                <w:rtl/>
              </w:rPr>
              <w:t xml:space="preserve">در SaaS از Registry</w:t>
            </w:r>
          </w:p>
        </w:tc>
      </w:tr>
      <w:tr>
        <w:tc>
          <w:tcPr>
            <w:tcW w:w="2043" w:type="dxa"/>
          </w:tcPr>
          <w:p>
            <w:pPr>
              <w:bidi/>
            </w:pPr>
            <w:r>
              <w:rPr>
                <w:rtl/>
              </w:rPr>
              <w:t xml:space="preserve">پیام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Messaging/Kafka/KafkaSystemVoucherConsumer.cs</w:t>
            </w:r>
          </w:p>
        </w:tc>
        <w:tc>
          <w:tcPr>
            <w:tcW w:w="3061" w:type="dxa"/>
          </w:tcPr>
          <w:p>
            <w:pPr>
              <w:bidi/>
            </w:pPr>
            <w:r>
              <w:rPr>
                <w:rtl/>
              </w:rPr>
              <w:t xml:space="preserve">بدون مفهوم Tenant</w:t>
            </w:r>
          </w:p>
        </w:tc>
        <w:tc>
          <w:tcPr>
            <w:tcW w:w="1916" w:type="dxa"/>
          </w:tcPr>
          <w:p>
            <w:pPr/>
            <w:r>
              <w:t xml:space="preserve">Tenant در Header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DDL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backend/db</w:t>
            </w:r>
          </w:p>
        </w:tc>
        <w:tc>
          <w:tcPr>
            <w:tcW w:w="3061" w:type="dxa"/>
          </w:tcPr>
          <w:p>
            <w:pPr>
              <w:bidi/>
            </w:pPr>
            <w:r>
              <w:rPr>
                <w:rtl/>
              </w:rPr>
              <w:t xml:space="preserve">۴۵ اسکریپت (</w:t>
            </w:r>
            <w:r>
              <w:rPr>
                <w:rStyle w:val="CodeChar"/>
                <w:rtl/>
              </w:rPr>
              <w:t xml:space="preserve">044</w:t>
            </w:r>
            <w:r>
              <w:rPr>
                <w:rtl/>
              </w:rPr>
              <w:t xml:space="preserve"> تا </w:t>
            </w:r>
            <w:r>
              <w:rPr>
                <w:rStyle w:val="CodeChar"/>
                <w:rtl/>
              </w:rPr>
              <w:t xml:space="preserve">088</w:t>
            </w:r>
            <w:r>
              <w:rPr>
                <w:rtl/>
              </w:rPr>
              <w:t xml:space="preserve">)، اجرای دستی، بدون جدول نسخه</w:t>
            </w:r>
          </w:p>
        </w:tc>
        <w:tc>
          <w:tcPr>
            <w:tcW w:w="1916" w:type="dxa"/>
          </w:tcPr>
          <w:p>
            <w:pPr/>
            <w:r>
              <w:t xml:space="preserve">Runner لازم</w:t>
            </w:r>
          </w:p>
        </w:tc>
      </w:tr>
      <w:tr>
        <w:tc>
          <w:tcPr>
            <w:tcW w:w="2043" w:type="dxa"/>
          </w:tcPr>
          <w:p>
            <w:pPr>
              <w:bidi/>
            </w:pPr>
            <w:r>
              <w:rPr>
                <w:rtl/>
              </w:rPr>
              <w:t xml:space="preserve">تست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backend/tests</w:t>
            </w:r>
          </w:p>
        </w:tc>
        <w:tc>
          <w:tcPr>
            <w:tcW w:w="3061" w:type="dxa"/>
          </w:tcPr>
          <w:p>
            <w:pPr>
              <w:bidi/>
            </w:pPr>
            <w:r>
              <w:rPr>
                <w:rtl/>
              </w:rPr>
              <w:t xml:space="preserve">۴۵۲۵ تست روی SQLite</w:t>
            </w:r>
          </w:p>
        </w:tc>
        <w:tc>
          <w:tcPr>
            <w:tcW w:w="1916" w:type="dxa"/>
          </w:tcPr>
          <w:p>
            <w:pPr>
              <w:bidi/>
            </w:pPr>
            <w:r>
              <w:rPr>
                <w:rtl/>
              </w:rPr>
              <w:t xml:space="preserve">رفتار Oracle را نمی‌بیند (ریسک #۲۵)</w:t>
            </w:r>
          </w:p>
        </w:tc>
      </w:tr>
    </w:tbl>
    <w:p>
      <w:pPr>
        <w:pStyle w:val="Heading2"/>
        <w:bidi/>
      </w:pPr>
      <w:r>
        <w:rPr>
          <w:rtl/>
        </w:rPr>
        <w:t xml:space="preserve">معماری هدف</w:t>
      </w:r>
    </w:p>
    <w:p>
      <w:pPr>
        <w:bidi/>
      </w:pPr>
      <w:r>
        <w:rPr>
          <w:rtl/>
        </w:rPr>
        <w:t xml:space="preserve">سه مفهوم جدا می‌مانند: کاربر کیست (Authentication)، درخواست در کدام سازمان است (Tenant) و در آن سازمان چه مجوزی دارد (Authorization). واحد (</w:t>
      </w:r>
      <w:r>
        <w:rPr>
          <w:rStyle w:val="CodeChar"/>
          <w:rtl/>
        </w:rPr>
        <w:t xml:space="preserve">X-Vahed-Code</w:t>
      </w:r>
      <w:r>
        <w:rPr>
          <w:rtl/>
        </w:rPr>
        <w:t xml:space="preserve">) داخل هر سازمان مثل امروز کار می‌کند.</w:t>
      </w:r>
    </w:p>
    <w:p>
      <w:pPr/>
      <w:r>
        <w:drawing>
          <wp:inline distT="0" distB="0" distL="0" distR="0">
            <wp:extent cx="5486400" cy="4180114"/>
            <wp:docPr id="1" name="image1" descr="جریان درخواست · ۶ مرحله، ۳ نوع مقصد داد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جریان درخواست · ۶ مرحله، ۳ نوع مقصد داده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جریان درخواست · ۶ مرحله، ۳ نوع مقصد داده</w:t>
      </w:r>
    </w:p>
    <w:p>
      <w:pPr>
        <w:bidi/>
      </w:pPr>
      <w:r>
        <w:rPr>
          <w:rtl/>
        </w:rPr>
        <w:t xml:space="preserve">دو مرحلهٔ رنگی هستهٔ جداسازی‌اند؛ اگر هر کدام شکست بخورد، درخواست متوقف می‌شود و هرگز بدون Schema اجرا نمی‌شود. همین قرارداد برای Kafka، Jobها و گزارش‌های صف‌شده هم اعمال می‌شود.</w:t>
      </w:r>
    </w:p>
    <w:p>
      <w:pPr>
        <w:pStyle w:val="Heading2"/>
        <w:bidi/>
      </w:pPr>
      <w:r>
        <w:rPr>
          <w:rtl/>
        </w:rPr>
        <w:t xml:space="preserve">تغییرات در پروژه</w:t>
      </w:r>
    </w:p>
    <w:p>
      <w:pPr>
        <w:bidi/>
      </w:pPr>
      <w:r>
        <w:rPr>
          <w:rtl/>
        </w:rPr>
        <w:t xml:space="preserve">تغییرات در لایهٔ Infrastructure و Api متمرکزند؛ Domain و Handlerهای Application تقریباً دست نمی‌خورند.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61"/>
        <w:gridCol w:w="1336"/>
        <w:gridCol w:w="3988"/>
        <w:gridCol w:w="1275"/>
      </w:tblGrid>
      <w:tr>
        <w:trPr>
          <w:tblHeader/>
        </w:trPr>
        <w:tc>
          <w:tcPr>
            <w:tcW w:w="2761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فایل / بخش</w:t>
            </w:r>
          </w:p>
        </w:tc>
        <w:tc>
          <w:tcPr>
            <w:tcW w:w="133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نوع</w:t>
            </w:r>
          </w:p>
        </w:tc>
        <w:tc>
          <w:tcPr>
            <w:tcW w:w="3988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تغییر</w:t>
            </w:r>
          </w:p>
        </w:tc>
        <w:tc>
          <w:tcPr>
            <w:tcW w:w="127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فاز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Application/Common/Interfaces/ITenantContext.cs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جدید</w:t>
            </w:r>
          </w:p>
        </w:tc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TenantInfo(TenantId, TenantCode, SchemaName, DatabaseKey, Plan, Status, ConfigVersion)</w:t>
            </w:r>
            <w:r>
              <w:t xml:space="preserve">، </w:t>
            </w:r>
            <w:r>
              <w:rPr>
                <w:rStyle w:val="CodeChar"/>
              </w:rPr>
              <w:t xml:space="preserve">Current</w:t>
            </w:r>
            <w:r>
              <w:t xml:space="preserve"> و </w:t>
            </w:r>
            <w:r>
              <w:rPr>
                <w:rStyle w:val="CodeChar"/>
              </w:rPr>
              <w:t xml:space="preserve">Set</w:t>
            </w:r>
            <w:r>
              <w:t xml:space="preserve"> یک‌بار در هر Scope</w:t>
            </w:r>
          </w:p>
        </w:tc>
        <w:tc>
          <w:tcPr>
            <w:tcW w:w="1275" w:type="dxa"/>
          </w:tcPr>
          <w:p>
            <w:pPr/>
            <w:r>
              <w:t xml:space="preserve">۱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Infrastructure/MultiTenancy/TenantSchemaInterceptor.cs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جدید</w:t>
            </w:r>
          </w:p>
        </w:tc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ALTER SESSION SET CURRENT_SCHEMA</w:t>
            </w:r>
            <w:r>
              <w:t xml:space="preserve"> با Regex امن، خطا = توقف درخواست</w:t>
            </w:r>
          </w:p>
        </w:tc>
        <w:tc>
          <w:tcPr>
            <w:tcW w:w="1275" w:type="dxa"/>
          </w:tcPr>
          <w:p>
            <w:pPr/>
            <w:r>
              <w:t xml:space="preserve">۱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Infrastructure/MultiTenancy/ConfigTenantResolver.cs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جدید</w:t>
            </w:r>
          </w:p>
        </w:tc>
        <w:tc>
          <w:tcPr>
            <w:tcW w:w="3988" w:type="dxa"/>
          </w:tcPr>
          <w:p>
            <w:pPr/>
            <w:r>
              <w:t xml:space="preserve">Tenant ثابت از کانفیگ (حالت On-Premise و فاز ۱)</w:t>
            </w:r>
          </w:p>
        </w:tc>
        <w:tc>
          <w:tcPr>
            <w:tcW w:w="1275" w:type="dxa"/>
          </w:tcPr>
          <w:p>
            <w:pPr/>
            <w:r>
              <w:t xml:space="preserve">۱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Legacy/LegacyDbContext.cs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اصلاح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حذف </w:t>
            </w:r>
            <w:r>
              <w:rPr>
                <w:rStyle w:val="CodeChar"/>
                <w:rtl/>
              </w:rPr>
              <w:t xml:space="preserve">DefaultSchema</w:t>
            </w:r>
            <w:r>
              <w:rPr>
                <w:rtl/>
              </w:rPr>
              <w:t xml:space="preserve"> و </w:t>
            </w:r>
            <w:r>
              <w:rPr>
                <w:rStyle w:val="CodeChar"/>
                <w:rtl/>
              </w:rPr>
              <w:t xml:space="preserve">HasDefaultSchema</w:t>
            </w:r>
          </w:p>
        </w:tc>
        <w:tc>
          <w:tcPr>
            <w:tcW w:w="1275" w:type="dxa"/>
          </w:tcPr>
          <w:p>
            <w:pPr/>
            <w:r>
              <w:t xml:space="preserve">۱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Infrastructure/DependencyInjection.cs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اصلاح</w:t>
            </w:r>
          </w:p>
        </w:tc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AddDbContext</w:t>
            </w:r>
            <w:r>
              <w:t xml:space="preserve"> اتصال و Timeout را از </w:t>
            </w:r>
            <w:r>
              <w:rPr>
                <w:rStyle w:val="CodeChar"/>
              </w:rPr>
              <w:t xml:space="preserve">ITenantConnectionProvider</w:t>
            </w:r>
            <w:r>
              <w:t xml:space="preserve"> می‌گیرد، Fail-closed، افزودن Interceptor</w:t>
            </w:r>
          </w:p>
        </w:tc>
        <w:tc>
          <w:tcPr>
            <w:tcW w:w="1275" w:type="dxa"/>
          </w:tcPr>
          <w:p>
            <w:pPr>
              <w:bidi/>
            </w:pPr>
            <w:r>
              <w:rPr>
                <w:rtl/>
              </w:rPr>
              <w:t xml:space="preserve">۱ و ۳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Api/Middleware/TenantResolutionMiddleware.cs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جدید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از claim </w:t>
            </w:r>
            <w:r>
              <w:rPr>
                <w:rStyle w:val="CodeChar"/>
                <w:rtl/>
              </w:rPr>
              <w:t xml:space="preserve">tenant</w:t>
            </w:r>
            <w:r>
              <w:rPr>
                <w:rtl/>
              </w:rPr>
              <w:t xml:space="preserve"> یا هدر </w:t>
            </w:r>
            <w:r>
              <w:rPr>
                <w:rStyle w:val="CodeChar"/>
                <w:rtl/>
              </w:rPr>
              <w:t xml:space="preserve">X-Tenant</w:t>
            </w:r>
            <w:r>
              <w:rPr>
                <w:rtl/>
              </w:rPr>
              <w:t xml:space="preserve"> پس از تطبیق با عضویت؛ پیش از </w:t>
            </w:r>
            <w:r>
              <w:rPr>
                <w:rStyle w:val="CodeChar"/>
                <w:rtl/>
              </w:rPr>
              <w:t xml:space="preserve">IUnitScopeResolver</w:t>
            </w:r>
          </w:p>
        </w:tc>
        <w:tc>
          <w:tcPr>
            <w:tcW w:w="1275" w:type="dxa"/>
          </w:tcPr>
          <w:p>
            <w:pPr/>
            <w:r>
              <w:t xml:space="preserve">۳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Infrastructure/MultiTenancy/RegistryTenantResolver.cs</w:t>
            </w:r>
            <w:r>
              <w:t xml:space="preserve"> + </w:t>
            </w:r>
            <w:r>
              <w:rPr>
                <w:rStyle w:val="CodeChar"/>
              </w:rPr>
              <w:t xml:space="preserve">TenantConnectionProvider.cs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جدید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خواندن Registry با کش ۶۰ ثانیه، رمز از Secret Manager</w:t>
            </w:r>
          </w:p>
        </w:tc>
        <w:tc>
          <w:tcPr>
            <w:tcW w:w="1275" w:type="dxa"/>
          </w:tcPr>
          <w:p>
            <w:pPr/>
            <w:r>
              <w:t xml:space="preserve">۳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Api/Program.cs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اصلاح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ترتیب Middleware، </w:t>
            </w:r>
            <w:r>
              <w:rPr>
                <w:rStyle w:val="CodeChar"/>
                <w:rtl/>
              </w:rPr>
              <w:t xml:space="preserve">AddRateLimiter</w:t>
            </w:r>
            <w:r>
              <w:rPr>
                <w:rtl/>
              </w:rPr>
              <w:t xml:space="preserve"> با پارتیشن Tenant</w:t>
            </w:r>
          </w:p>
        </w:tc>
        <w:tc>
          <w:tcPr>
            <w:tcW w:w="1275" w:type="dxa"/>
          </w:tcPr>
          <w:p>
            <w:pPr>
              <w:bidi/>
            </w:pPr>
            <w:r>
              <w:rPr>
                <w:rtl/>
              </w:rPr>
              <w:t xml:space="preserve">۳ و ۵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KeycloakClaimsTransformation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اصلاح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نگاشت claim </w:t>
            </w:r>
            <w:r>
              <w:rPr>
                <w:rStyle w:val="CodeChar"/>
                <w:rtl/>
              </w:rPr>
              <w:t xml:space="preserve">tenant</w:t>
            </w:r>
            <w:r>
              <w:rPr>
                <w:rtl/>
              </w:rPr>
              <w:t xml:space="preserve"> و عضویت چندسازمانی</w:t>
            </w:r>
          </w:p>
        </w:tc>
        <w:tc>
          <w:tcPr>
            <w:tcW w:w="1275" w:type="dxa"/>
          </w:tcPr>
          <w:p>
            <w:pPr/>
            <w:r>
              <w:t xml:space="preserve">۳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KafkaSystemVoucherConsumer.cs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اصلاح</w:t>
            </w:r>
          </w:p>
        </w:tc>
        <w:tc>
          <w:tcPr>
            <w:tcW w:w="3988" w:type="dxa"/>
          </w:tcPr>
          <w:p>
            <w:pPr/>
            <w:r>
              <w:t xml:space="preserve">Tenant از Header، اعتبارسنجی فرستنده، Scope جدا، Idempotency با </w:t>
            </w:r>
            <w:r>
              <w:rPr>
                <w:rStyle w:val="CodeChar"/>
              </w:rPr>
              <w:t xml:space="preserve">SourceId</w:t>
            </w:r>
          </w:p>
        </w:tc>
        <w:tc>
          <w:tcPr>
            <w:tcW w:w="1275" w:type="dxa"/>
          </w:tcPr>
          <w:p>
            <w:pPr/>
            <w:r>
              <w:t xml:space="preserve">۴</w:t>
            </w:r>
          </w:p>
        </w:tc>
      </w:tr>
      <w:tr>
        <w:tc>
          <w:tcPr>
            <w:tcW w:w="2761" w:type="dxa"/>
          </w:tcPr>
          <w:p>
            <w:pPr/>
            <w:r>
              <w:t xml:space="preserve">Singletonها (</w:t>
            </w:r>
            <w:r>
              <w:rPr>
                <w:rStyle w:val="CodeChar"/>
              </w:rPr>
              <w:t xml:space="preserve">IdpPortalUserRoleProvider</w:t>
            </w:r>
            <w:r>
              <w:t xml:space="preserve">، </w:t>
            </w:r>
            <w:r>
              <w:rPr>
                <w:rStyle w:val="CodeChar"/>
              </w:rPr>
              <w:t xml:space="preserve">MonthReopenCodeGenerator</w:t>
            </w:r>
            <w:r>
              <w:t xml:space="preserve">، </w:t>
            </w:r>
            <w:r>
              <w:rPr>
                <w:rStyle w:val="CodeChar"/>
              </w:rPr>
              <w:t xml:space="preserve">RoleMenuAccessStore</w:t>
            </w:r>
            <w:r>
              <w:t xml:space="preserve">، </w:t>
            </w:r>
            <w:r>
              <w:rPr>
                <w:rStyle w:val="CodeChar"/>
              </w:rPr>
              <w:t xml:space="preserve">LegacyImport*</w:t>
            </w:r>
            <w:r>
              <w:t xml:space="preserve">)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اصلاح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کلید کش </w:t>
            </w:r>
            <w:r>
              <w:rPr>
                <w:rStyle w:val="CodeChar"/>
                <w:rtl/>
              </w:rPr>
              <w:t xml:space="preserve">Tenant:{id}:v{ver}:...</w:t>
            </w:r>
            <w:r>
              <w:rPr>
                <w:rtl/>
              </w:rPr>
              <w:t xml:space="preserve">، بدون نگهداری DbContext</w:t>
            </w:r>
          </w:p>
        </w:tc>
        <w:tc>
          <w:tcPr>
            <w:tcW w:w="1275" w:type="dxa"/>
          </w:tcPr>
          <w:p>
            <w:pPr/>
            <w:r>
              <w:t xml:space="preserve">۴</w:t>
            </w:r>
          </w:p>
        </w:tc>
      </w:tr>
      <w:tr>
        <w:tc>
          <w:tcPr>
            <w:tcW w:w="2761" w:type="dxa"/>
          </w:tcPr>
          <w:p>
            <w:pPr>
              <w:bidi/>
            </w:pPr>
            <w:r>
              <w:rPr>
                <w:rtl/>
              </w:rPr>
              <w:t xml:space="preserve">فایل‌ها و پیوست‌ها روی دیسک (پیوست سند، تنخواه، خروجی Excel/Docx)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اصلاح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مسیر با پیشوند </w:t>
            </w:r>
            <w:r>
              <w:rPr>
                <w:rStyle w:val="CodeChar"/>
                <w:rtl/>
              </w:rPr>
              <w:t xml:space="preserve">TenantCode</w:t>
            </w:r>
          </w:p>
        </w:tc>
        <w:tc>
          <w:tcPr>
            <w:tcW w:w="1275" w:type="dxa"/>
          </w:tcPr>
          <w:p>
            <w:pPr/>
            <w:r>
              <w:t xml:space="preserve">۴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Application/Common/Behaviors/QuotaBehavior.cs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جدید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کنار </w:t>
            </w:r>
            <w:r>
              <w:rPr>
                <w:rStyle w:val="CodeChar"/>
                <w:rtl/>
              </w:rPr>
              <w:t xml:space="preserve">RoleAuthorizationBehavior</w:t>
            </w:r>
            <w:r>
              <w:rPr>
                <w:rtl/>
              </w:rPr>
              <w:t xml:space="preserve">؛ خطای </w:t>
            </w:r>
            <w:r>
              <w:rPr>
                <w:rStyle w:val="CodeChar"/>
                <w:rtl/>
              </w:rPr>
              <w:t xml:space="preserve">quota_exceeded</w:t>
            </w:r>
            <w:r>
              <w:rPr>
                <w:rtl/>
              </w:rPr>
              <w:t xml:space="preserve"> به شکل ProblemDetails</w:t>
            </w:r>
          </w:p>
        </w:tc>
        <w:tc>
          <w:tcPr>
            <w:tcW w:w="1275" w:type="dxa"/>
          </w:tcPr>
          <w:p>
            <w:pPr/>
            <w:r>
              <w:t xml:space="preserve">۵</w:t>
            </w:r>
          </w:p>
        </w:tc>
      </w:tr>
      <w:tr>
        <w:tc>
          <w:tcPr>
            <w:tcW w:w="2761" w:type="dxa"/>
          </w:tcPr>
          <w:p>
            <w:pPr>
              <w:bidi/>
            </w:pPr>
            <w:r>
              <w:rPr>
                <w:rtl/>
              </w:rPr>
              <w:t xml:space="preserve">صف گزارش‌های سنگین (صورت‌های مالی، تراز بازهٔ طولانی)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جدید</w:t>
            </w:r>
          </w:p>
        </w:tc>
        <w:tc>
          <w:tcPr>
            <w:tcW w:w="3988" w:type="dxa"/>
          </w:tcPr>
          <w:p>
            <w:pPr/>
            <w:r>
              <w:t xml:space="preserve">BackgroundService با Tenant صریح در ورودی</w:t>
            </w:r>
          </w:p>
        </w:tc>
        <w:tc>
          <w:tcPr>
            <w:tcW w:w="1275" w:type="dxa"/>
          </w:tcPr>
          <w:p>
            <w:pPr/>
            <w:r>
              <w:t xml:space="preserve">۵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Licensing/LicenseMiddleware.cs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اصلاح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در SaaS از </w:t>
            </w:r>
            <w:r>
              <w:rPr>
                <w:rStyle w:val="CodeChar"/>
                <w:rtl/>
              </w:rPr>
              <w:t xml:space="preserve">TENANT_SUBSCRIPTION</w:t>
            </w:r>
            <w:r>
              <w:rPr>
                <w:rtl/>
              </w:rPr>
              <w:t xml:space="preserve">؛ در On-Premise همان فایل</w:t>
            </w:r>
          </w:p>
        </w:tc>
        <w:tc>
          <w:tcPr>
            <w:tcW w:w="1275" w:type="dxa"/>
          </w:tcPr>
          <w:p>
            <w:pPr/>
            <w:r>
              <w:t xml:space="preserve">۳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backend/tools/Accounting.TenantRunner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جدید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اجرای اسکریپت‌های </w:t>
            </w:r>
            <w:r>
              <w:rPr>
                <w:rStyle w:val="CodeChar"/>
                <w:rtl/>
              </w:rPr>
              <w:t xml:space="preserve">db/</w:t>
            </w:r>
            <w:r>
              <w:rPr>
                <w:rtl/>
              </w:rPr>
              <w:t xml:space="preserve"> روی هر Tenant، Provisioning</w:t>
            </w:r>
          </w:p>
        </w:tc>
        <w:tc>
          <w:tcPr>
            <w:tcW w:w="1275" w:type="dxa"/>
          </w:tcPr>
          <w:p>
            <w:pPr/>
            <w:r>
              <w:t xml:space="preserve">۶</w:t>
            </w:r>
          </w:p>
        </w:tc>
      </w:tr>
      <w:tr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backend/tests/Accounting.MultiTenancy.Tests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جدید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تست جداسازی روی Oracle واقعی در Container</w:t>
            </w:r>
          </w:p>
        </w:tc>
        <w:tc>
          <w:tcPr>
            <w:tcW w:w="1275" w:type="dxa"/>
          </w:tcPr>
          <w:p>
            <w:pPr/>
            <w:r>
              <w:t xml:space="preserve">۲</w:t>
            </w:r>
          </w:p>
        </w:tc>
      </w:tr>
      <w:tr>
        <w:tc>
          <w:tcPr>
            <w:tcW w:w="2761" w:type="dxa"/>
          </w:tcPr>
          <w:p>
            <w:pPr>
              <w:bidi/>
            </w:pPr>
            <w:r>
              <w:rPr>
                <w:rtl/>
              </w:rPr>
              <w:t xml:space="preserve">فرانت (</w:t>
            </w:r>
            <w:r>
              <w:rPr>
                <w:rStyle w:val="CodeChar"/>
                <w:rtl/>
              </w:rPr>
              <w:t xml:space="preserve">AccountCoreAiProj_UI</w:t>
            </w:r>
            <w:r>
              <w:rPr>
                <w:rtl/>
              </w:rPr>
              <w:t xml:space="preserve">)</w:t>
            </w:r>
          </w:p>
        </w:tc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اصلاح</w:t>
            </w:r>
          </w:p>
        </w:tc>
        <w:tc>
          <w:tcPr>
            <w:tcW w:w="3988" w:type="dxa"/>
          </w:tcPr>
          <w:p>
            <w:pPr>
              <w:bidi/>
            </w:pPr>
            <w:r>
              <w:rPr>
                <w:rtl/>
              </w:rPr>
              <w:t xml:space="preserve">انتخاب‌گر سازمان، ثبت‌نام رایگان، نمایش سهمیه، صفحهٔ گزارش‌های صف‌شده</w:t>
            </w:r>
          </w:p>
        </w:tc>
        <w:tc>
          <w:tcPr>
            <w:tcW w:w="1275" w:type="dxa"/>
          </w:tcPr>
          <w:p>
            <w:pPr>
              <w:bidi/>
            </w:pPr>
            <w:r>
              <w:rPr>
                <w:rtl/>
              </w:rPr>
              <w:t xml:space="preserve">۵ تا ۷</w:t>
            </w:r>
          </w:p>
        </w:tc>
      </w:tr>
    </w:tbl>
    <w:p>
      <w:pPr>
        <w:bidi/>
      </w:pPr>
      <w:r>
        <w:rPr>
          <w:rtl/>
        </w:rPr>
        <w:t xml:space="preserve">هیچ تغییری در ۶۵ Entity، نگاشت‌های جدول و قرارداد بیرونی API لازم نیست.</w:t>
      </w:r>
    </w:p>
    <w:p>
      <w:pPr>
        <w:pStyle w:val="Heading2"/>
      </w:pPr>
      <w:r>
        <w:t xml:space="preserve">Registry و حساب‌های Oracle</w:t>
      </w:r>
    </w:p>
    <w:p>
      <w:pPr/>
      <w:r>
        <w:t xml:space="preserve">Registry در یک Schema مدیریتی جدا (مثلاً </w:t>
      </w:r>
      <w:r>
        <w:rPr>
          <w:rStyle w:val="CodeChar"/>
        </w:rPr>
        <w:t xml:space="preserve">TENANT_ADMIN</w:t>
      </w:r>
      <w:r>
        <w:t xml:space="preserve">) می‌نشیند و رمز هیچ حسابی در آن ذخیره نمی‌شود.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6"/>
        <w:gridCol w:w="2436"/>
        <w:gridCol w:w="4168"/>
      </w:tblGrid>
      <w:tr>
        <w:trPr>
          <w:tblHeader/>
        </w:trPr>
        <w:tc>
          <w:tcPr>
            <w:tcW w:w="275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جدول</w:t>
            </w:r>
          </w:p>
        </w:tc>
        <w:tc>
          <w:tcPr>
            <w:tcW w:w="243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نقش</w:t>
            </w:r>
          </w:p>
        </w:tc>
        <w:tc>
          <w:tcPr>
            <w:tcW w:w="4168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ستون‌های کلیدی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PLAN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پلن‌ها و سهمیه‌ها</w:t>
            </w:r>
          </w:p>
        </w:tc>
        <w:tc>
          <w:tcPr>
            <w:tcW w:w="4168" w:type="dxa"/>
          </w:tcPr>
          <w:p>
            <w:pPr/>
            <w:r>
              <w:rPr>
                <w:rStyle w:val="CodeChar"/>
              </w:rPr>
              <w:t xml:space="preserve">PLAN_CODE</w:t>
            </w:r>
            <w:r>
              <w:t xml:space="preserve">، </w:t>
            </w:r>
            <w:r>
              <w:rPr>
                <w:rStyle w:val="CodeChar"/>
              </w:rPr>
              <w:t xml:space="preserve">MAX_USERS</w:t>
            </w:r>
            <w:r>
              <w:t xml:space="preserve">، </w:t>
            </w:r>
            <w:r>
              <w:rPr>
                <w:rStyle w:val="CodeChar"/>
              </w:rPr>
              <w:t xml:space="preserve">MAX_UNITS</w:t>
            </w:r>
            <w:r>
              <w:t xml:space="preserve">، </w:t>
            </w:r>
            <w:r>
              <w:rPr>
                <w:rStyle w:val="CodeChar"/>
              </w:rPr>
              <w:t xml:space="preserve">MAX_VOUCHERS_MONTH</w:t>
            </w:r>
            <w:r>
              <w:t xml:space="preserve">، </w:t>
            </w:r>
            <w:r>
              <w:rPr>
                <w:rStyle w:val="CodeChar"/>
              </w:rPr>
              <w:t xml:space="preserve">STORAGE_QUOTA_GB</w:t>
            </w:r>
            <w:r>
              <w:t xml:space="preserve">، </w:t>
            </w:r>
            <w:r>
              <w:rPr>
                <w:rStyle w:val="CodeChar"/>
              </w:rPr>
              <w:t xml:space="preserve">REQ_PER_MINUTE</w:t>
            </w:r>
            <w:r>
              <w:t xml:space="preserve">، </w:t>
            </w:r>
            <w:r>
              <w:rPr>
                <w:rStyle w:val="CodeChar"/>
              </w:rPr>
              <w:t xml:space="preserve">COMMAND_TIMEOUT_SEC</w:t>
            </w:r>
            <w:r>
              <w:t xml:space="preserve">، </w:t>
            </w:r>
            <w:r>
              <w:rPr>
                <w:rStyle w:val="CodeChar"/>
              </w:rPr>
              <w:t xml:space="preserve">MAX_POOL_SIZE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TENANT_DATABASE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مقاصد دیتابیس</w:t>
            </w:r>
          </w:p>
        </w:tc>
        <w:tc>
          <w:tcPr>
            <w:tcW w:w="4168" w:type="dxa"/>
          </w:tcPr>
          <w:p>
            <w:pPr/>
            <w:r>
              <w:rPr>
                <w:rStyle w:val="CodeChar"/>
              </w:rPr>
              <w:t xml:space="preserve">DATABASE_KEY</w:t>
            </w:r>
            <w:r>
              <w:t xml:space="preserve"> (مثل </w:t>
            </w:r>
            <w:r>
              <w:rPr>
                <w:rStyle w:val="CodeChar"/>
              </w:rPr>
              <w:t xml:space="preserve">SHARED_FREE_01</w:t>
            </w:r>
            <w:r>
              <w:t xml:space="preserve">)، </w:t>
            </w:r>
            <w:r>
              <w:rPr>
                <w:rStyle w:val="CodeChar"/>
              </w:rPr>
              <w:t xml:space="preserve">KIND</w:t>
            </w:r>
            <w:r>
              <w:t xml:space="preserve">، </w:t>
            </w:r>
            <w:r>
              <w:rPr>
                <w:rStyle w:val="CodeChar"/>
              </w:rPr>
              <w:t xml:space="preserve">MAX_TENANTS</w:t>
            </w:r>
            <w:r>
              <w:t xml:space="preserve">، </w:t>
            </w:r>
            <w:r>
              <w:rPr>
                <w:rStyle w:val="CodeChar"/>
              </w:rPr>
              <w:t xml:space="preserve">ACCEPTS_NEW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TENANT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سازمان‌ها</w:t>
            </w:r>
          </w:p>
        </w:tc>
        <w:tc>
          <w:tcPr>
            <w:tcW w:w="4168" w:type="dxa"/>
          </w:tcPr>
          <w:p>
            <w:pPr/>
            <w:r>
              <w:rPr>
                <w:rStyle w:val="CodeChar"/>
              </w:rPr>
              <w:t xml:space="preserve">TENANT_CODE</w:t>
            </w:r>
            <w:r>
              <w:t xml:space="preserve">، </w:t>
            </w:r>
            <w:r>
              <w:rPr>
                <w:rStyle w:val="CodeChar"/>
              </w:rPr>
              <w:t xml:space="preserve">PLAN_CODE</w:t>
            </w:r>
            <w:r>
              <w:t xml:space="preserve">، </w:t>
            </w:r>
            <w:r>
              <w:rPr>
                <w:rStyle w:val="CodeChar"/>
              </w:rPr>
              <w:t xml:space="preserve">STATUS</w:t>
            </w:r>
            <w:r>
              <w:t xml:space="preserve">، </w:t>
            </w:r>
            <w:r>
              <w:rPr>
                <w:rStyle w:val="CodeChar"/>
              </w:rPr>
              <w:t xml:space="preserve">DATABASE_ID</w:t>
            </w:r>
            <w:r>
              <w:t xml:space="preserve">، </w:t>
            </w:r>
            <w:r>
              <w:rPr>
                <w:rStyle w:val="CodeChar"/>
              </w:rPr>
              <w:t xml:space="preserve">SCHEMA_NAME</w:t>
            </w:r>
            <w:r>
              <w:t xml:space="preserve">، </w:t>
            </w:r>
            <w:r>
              <w:rPr>
                <w:rStyle w:val="CodeChar"/>
              </w:rPr>
              <w:t xml:space="preserve">RUNTIME_SECRET_REF</w:t>
            </w:r>
            <w:r>
              <w:t xml:space="preserve">، </w:t>
            </w:r>
            <w:r>
              <w:rPr>
                <w:rStyle w:val="CodeChar"/>
              </w:rPr>
              <w:t xml:space="preserve">CONFIG_VERSION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TENANT_SUBSCRIPTION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اشتراک</w:t>
            </w:r>
          </w:p>
        </w:tc>
        <w:tc>
          <w:tcPr>
            <w:tcW w:w="4168" w:type="dxa"/>
          </w:tcPr>
          <w:p>
            <w:pPr/>
            <w:r>
              <w:rPr>
                <w:rStyle w:val="CodeChar"/>
              </w:rPr>
              <w:t xml:space="preserve">STARTS_AT</w:t>
            </w:r>
            <w:r>
              <w:t xml:space="preserve">، </w:t>
            </w:r>
            <w:r>
              <w:rPr>
                <w:rStyle w:val="CodeChar"/>
              </w:rPr>
              <w:t xml:space="preserve">EXPIRES_AT</w:t>
            </w:r>
            <w:r>
              <w:t xml:space="preserve">، </w:t>
            </w:r>
            <w:r>
              <w:rPr>
                <w:rStyle w:val="CodeChar"/>
              </w:rPr>
              <w:t xml:space="preserve">GRACE_DAYS</w:t>
            </w:r>
            <w:r>
              <w:t xml:space="preserve">، </w:t>
            </w:r>
            <w:r>
              <w:rPr>
                <w:rStyle w:val="CodeChar"/>
              </w:rPr>
              <w:t xml:space="preserve">MODULES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TENANT_MEMBERSHIP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عضویت کاربران چندسازمانی</w:t>
            </w:r>
          </w:p>
        </w:tc>
        <w:tc>
          <w:tcPr>
            <w:tcW w:w="4168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، </w:t>
            </w:r>
            <w:r>
              <w:rPr>
                <w:rStyle w:val="CodeChar"/>
              </w:rPr>
              <w:t xml:space="preserve">TENANT_ID</w:t>
            </w:r>
            <w:r>
              <w:t xml:space="preserve">، </w:t>
            </w:r>
            <w:r>
              <w:rPr>
                <w:rStyle w:val="CodeChar"/>
              </w:rPr>
              <w:t xml:space="preserve">IS_DEFAULT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TENANT_EVENT</w:t>
            </w:r>
          </w:p>
        </w:tc>
        <w:tc>
          <w:tcPr>
            <w:tcW w:w="2436" w:type="dxa"/>
          </w:tcPr>
          <w:p>
            <w:pPr/>
            <w:r>
              <w:t xml:space="preserve">Audit هر تغییر Registry</w:t>
            </w:r>
          </w:p>
        </w:tc>
        <w:tc>
          <w:tcPr>
            <w:tcW w:w="4168" w:type="dxa"/>
          </w:tcPr>
          <w:p>
            <w:pPr/>
            <w:r>
              <w:rPr>
                <w:rStyle w:val="CodeChar"/>
              </w:rPr>
              <w:t xml:space="preserve">EVENT_TYPE</w:t>
            </w:r>
            <w:r>
              <w:t xml:space="preserve">، </w:t>
            </w:r>
            <w:r>
              <w:rPr>
                <w:rStyle w:val="CodeChar"/>
              </w:rPr>
              <w:t xml:space="preserve">OLD_VALUE</w:t>
            </w:r>
            <w:r>
              <w:t xml:space="preserve">، </w:t>
            </w:r>
            <w:r>
              <w:rPr>
                <w:rStyle w:val="CodeChar"/>
              </w:rPr>
              <w:t xml:space="preserve">NEW_VALUE</w:t>
            </w:r>
            <w:r>
              <w:t xml:space="preserve">، </w:t>
            </w:r>
            <w:r>
              <w:rPr>
                <w:rStyle w:val="CodeChar"/>
              </w:rPr>
              <w:t xml:space="preserve">ACTOR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TENANT_SCHEMA_VERSION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نسخهٔ Schema هر سازمان</w:t>
            </w:r>
          </w:p>
        </w:tc>
        <w:tc>
          <w:tcPr>
            <w:tcW w:w="4168" w:type="dxa"/>
          </w:tcPr>
          <w:p>
            <w:pPr/>
            <w:r>
              <w:rPr>
                <w:rStyle w:val="CodeChar"/>
              </w:rPr>
              <w:t xml:space="preserve">SCRIPT_NO</w:t>
            </w:r>
            <w:r>
              <w:t xml:space="preserve">، </w:t>
            </w:r>
            <w:r>
              <w:rPr>
                <w:rStyle w:val="CodeChar"/>
              </w:rPr>
              <w:t xml:space="preserve">RUN_ID</w:t>
            </w:r>
            <w:r>
              <w:t xml:space="preserve">، </w:t>
            </w:r>
            <w:r>
              <w:rPr>
                <w:rStyle w:val="CodeChar"/>
              </w:rPr>
              <w:t xml:space="preserve">STATUS</w:t>
            </w:r>
            <w:r>
              <w:t xml:space="preserve">، </w:t>
            </w:r>
            <w:r>
              <w:rPr>
                <w:rStyle w:val="CodeChar"/>
              </w:rPr>
              <w:t xml:space="preserve">ERROR_TEXT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TENANT_USAGE</w:t>
            </w:r>
          </w:p>
        </w:tc>
        <w:tc>
          <w:tcPr>
            <w:tcW w:w="2436" w:type="dxa"/>
          </w:tcPr>
          <w:p>
            <w:pPr>
              <w:bidi/>
            </w:pPr>
            <w:r>
              <w:rPr>
                <w:rtl/>
              </w:rPr>
              <w:t xml:space="preserve">مصرف برای داشبورد و فروش</w:t>
            </w:r>
          </w:p>
        </w:tc>
        <w:tc>
          <w:tcPr>
            <w:tcW w:w="4168" w:type="dxa"/>
          </w:tcPr>
          <w:p>
            <w:pPr/>
            <w:r>
              <w:rPr>
                <w:rStyle w:val="CodeChar"/>
              </w:rPr>
              <w:t xml:space="preserve">PERIOD</w:t>
            </w:r>
            <w:r>
              <w:t xml:space="preserve">، تعداد سند، حجم، زمان Query</w:t>
            </w:r>
          </w:p>
        </w:tc>
      </w:tr>
    </w:tbl>
    <w:p>
      <w:pPr/>
      <w:r>
        <w:rPr>
          <w:rStyle w:val="CodeChar"/>
        </w:rPr>
        <w:t xml:space="preserve">TENANT_MEMBERSHIP</w:t>
      </w:r>
      <w:r>
        <w:t xml:space="preserve"> و </w:t>
      </w:r>
      <w:r>
        <w:rPr>
          <w:rStyle w:val="CodeChar"/>
        </w:rPr>
        <w:t xml:space="preserve">TENANT_USAGE</w:t>
      </w:r>
      <w:r>
        <w:t xml:space="preserve"> در سند مرجع نبودند؛ اولی برای اعتبارسنجی هدر </w:t>
      </w:r>
      <w:r>
        <w:rPr>
          <w:rStyle w:val="CodeChar"/>
        </w:rPr>
        <w:t xml:space="preserve">X-Tenant</w:t>
      </w:r>
      <w:r>
        <w:t xml:space="preserve"> و دومی برای گزارش کلان بین Schemaها لازم است.</w:t>
      </w:r>
    </w:p>
    <w:p>
      <w:pPr>
        <w:bidi/>
      </w:pPr>
      <w:r>
        <w:rPr>
          <w:b/>
          <w:rtl/>
        </w:rPr>
        <w:t xml:space="preserve">حساب‌های Oracle برای هر سازمان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6"/>
        <w:gridCol w:w="2825"/>
        <w:gridCol w:w="4858"/>
      </w:tblGrid>
      <w:tr>
        <w:trPr>
          <w:tblHeader/>
        </w:trPr>
        <w:tc>
          <w:tcPr>
            <w:tcW w:w="167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حساب</w:t>
            </w:r>
          </w:p>
        </w:tc>
        <w:tc>
          <w:tcPr>
            <w:tcW w:w="282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کاربرد</w:t>
            </w:r>
          </w:p>
        </w:tc>
        <w:tc>
          <w:tcPr>
            <w:tcW w:w="4858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مجوز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ORG_xxxx</w:t>
            </w:r>
          </w:p>
        </w:tc>
        <w:tc>
          <w:tcPr>
            <w:tcW w:w="2825" w:type="dxa"/>
          </w:tcPr>
          <w:p>
            <w:pPr>
              <w:bidi/>
            </w:pPr>
            <w:r>
              <w:rPr>
                <w:rtl/>
              </w:rPr>
              <w:t xml:space="preserve">صاحب Schema</w:t>
            </w:r>
          </w:p>
        </w:tc>
        <w:tc>
          <w:tcPr>
            <w:tcW w:w="4858" w:type="dxa"/>
          </w:tcPr>
          <w:p>
            <w:pPr>
              <w:bidi/>
            </w:pPr>
            <w:r>
              <w:rPr>
                <w:rtl/>
              </w:rPr>
              <w:t xml:space="preserve">قفل؛ برای اتصال برنامه استفاده نمی‌شود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APP_ORG_xxxx</w:t>
            </w:r>
          </w:p>
        </w:tc>
        <w:tc>
          <w:tcPr>
            <w:tcW w:w="2825" w:type="dxa"/>
          </w:tcPr>
          <w:p>
            <w:pPr>
              <w:bidi/>
            </w:pPr>
            <w:r>
              <w:rPr>
                <w:rtl/>
              </w:rPr>
              <w:t xml:space="preserve">اتصال Runtime برنامه</w:t>
            </w:r>
          </w:p>
        </w:tc>
        <w:tc>
          <w:tcPr>
            <w:tcW w:w="4858" w:type="dxa"/>
          </w:tcPr>
          <w:p>
            <w:pPr>
              <w:bidi/>
            </w:pPr>
            <w:r>
              <w:rPr>
                <w:rtl/>
              </w:rPr>
              <w:t xml:space="preserve">فقط DML روی اشیای همان Schema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MIGRATOR</w:t>
            </w:r>
          </w:p>
        </w:tc>
        <w:tc>
          <w:tcPr>
            <w:tcW w:w="2825" w:type="dxa"/>
          </w:tcPr>
          <w:p>
            <w:pPr/>
            <w:r>
              <w:t xml:space="preserve">Runner و Provisioning</w:t>
            </w:r>
          </w:p>
        </w:tc>
        <w:tc>
          <w:tcPr>
            <w:tcW w:w="4858" w:type="dxa"/>
          </w:tcPr>
          <w:p>
            <w:pPr/>
            <w:r>
              <w:t xml:space="preserve">DDL؛ هرگز از API</w:t>
            </w:r>
          </w:p>
        </w:tc>
      </w:tr>
    </w:tbl>
    <w:p>
      <w:pPr>
        <w:bidi/>
      </w:pPr>
      <w:r>
        <w:rPr>
          <w:rtl/>
        </w:rPr>
        <w:t xml:space="preserve">برای تأمین اجتماعی باید حساب Runtime جدا از کاربر فعلی اتصال ساخته شود؛ این کار به دست DBA و در فاز ۳ است. DDLهای Registry از شمارهٔ </w:t>
      </w:r>
      <w:r>
        <w:rPr>
          <w:rStyle w:val="CodeChar"/>
          <w:rtl/>
        </w:rPr>
        <w:t xml:space="preserve">089</w:t>
      </w:r>
      <w:r>
        <w:rPr>
          <w:rtl/>
        </w:rPr>
        <w:t xml:space="preserve"> به بعد شماره‌گذاری می‌شوند اما روی Schema مدیریتی اجرا می‌شوند، نه سازمان‌ها.</w:t>
      </w:r>
    </w:p>
    <w:p>
      <w:pPr>
        <w:pStyle w:val="Heading2"/>
        <w:bidi/>
      </w:pPr>
      <w:r>
        <w:rPr>
          <w:rtl/>
        </w:rPr>
        <w:t xml:space="preserve">پلن رایگان و جلوگیری از کندی</w:t>
      </w:r>
    </w:p>
    <w:p>
      <w:pPr>
        <w:bidi/>
      </w:pPr>
      <w:r>
        <w:rPr>
          <w:rtl/>
        </w:rPr>
        <w:t xml:space="preserve">کندی پلن رایگان در دو لایه مهار می‌شود: سهمیه در برنامه و سقف منابع در Oracle. همین محدودیت‌ها انگیزهٔ خرید اشتراک اختصاصی‌اند.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67"/>
        <w:gridCol w:w="2881"/>
        <w:gridCol w:w="2124"/>
        <w:gridCol w:w="2287"/>
      </w:tblGrid>
      <w:tr>
        <w:trPr>
          <w:tblHeader/>
        </w:trPr>
        <w:tc>
          <w:tcPr>
            <w:tcW w:w="206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ویژگی</w:t>
            </w:r>
          </w:p>
        </w:tc>
        <w:tc>
          <w:tcPr>
            <w:tcW w:w="2881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رایگان</w:t>
            </w:r>
          </w:p>
        </w:tc>
        <w:tc>
          <w:tcPr>
            <w:tcW w:w="212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اختصاصی</w:t>
            </w:r>
          </w:p>
        </w:tc>
        <w:tc>
          <w:tcPr>
            <w:tcW w:w="228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سازمانی</w:t>
            </w:r>
          </w:p>
        </w:tc>
      </w:tr>
      <w:tr>
        <w:tc>
          <w:tcPr>
            <w:tcW w:w="2067" w:type="dxa"/>
          </w:tcPr>
          <w:p>
            <w:pPr>
              <w:bidi/>
            </w:pPr>
            <w:r>
              <w:rPr>
                <w:rtl/>
              </w:rPr>
              <w:t xml:space="preserve">محل داده</w:t>
            </w:r>
          </w:p>
        </w:tc>
        <w:tc>
          <w:tcPr>
            <w:tcW w:w="2881" w:type="dxa"/>
          </w:tcPr>
          <w:p>
            <w:pPr/>
            <w:r>
              <w:t xml:space="preserve">Schema در </w:t>
            </w:r>
            <w:r>
              <w:rPr>
                <w:rStyle w:val="CodeChar"/>
              </w:rPr>
              <w:t xml:space="preserve">SHARED_FREE_nn</w:t>
            </w:r>
          </w:p>
        </w:tc>
        <w:tc>
          <w:tcPr>
            <w:tcW w:w="2124" w:type="dxa"/>
          </w:tcPr>
          <w:p>
            <w:pPr/>
            <w:r>
              <w:t xml:space="preserve">PDB یا دیتابیس اختصاصی</w:t>
            </w:r>
          </w:p>
        </w:tc>
        <w:tc>
          <w:tcPr>
            <w:tcW w:w="2287" w:type="dxa"/>
          </w:tcPr>
          <w:p>
            <w:pPr>
              <w:bidi/>
            </w:pPr>
            <w:r>
              <w:rPr>
                <w:rtl/>
              </w:rPr>
              <w:t xml:space="preserve">سرور اختصاصی یا نصب در محل</w:t>
            </w:r>
          </w:p>
        </w:tc>
      </w:tr>
      <w:tr>
        <w:tc>
          <w:tcPr>
            <w:tcW w:w="2067" w:type="dxa"/>
          </w:tcPr>
          <w:p>
            <w:pPr>
              <w:bidi/>
            </w:pPr>
            <w:r>
              <w:rPr>
                <w:rtl/>
              </w:rPr>
              <w:t xml:space="preserve">محدودیت نرخ درخواست</w:t>
            </w:r>
          </w:p>
        </w:tc>
        <w:tc>
          <w:tcPr>
            <w:tcW w:w="2881" w:type="dxa"/>
          </w:tcPr>
          <w:p>
            <w:pPr>
              <w:bidi/>
            </w:pPr>
            <w:r>
              <w:rPr>
                <w:rtl/>
              </w:rPr>
              <w:t xml:space="preserve">۶۰ در دقیقه (پیشنهادی)</w:t>
            </w:r>
          </w:p>
        </w:tc>
        <w:tc>
          <w:tcPr>
            <w:tcW w:w="2124" w:type="dxa"/>
          </w:tcPr>
          <w:p>
            <w:pPr>
              <w:bidi/>
            </w:pPr>
            <w:r>
              <w:rPr>
                <w:rtl/>
              </w:rPr>
              <w:t xml:space="preserve">۶۰۰ در دقیقه</w:t>
            </w:r>
          </w:p>
        </w:tc>
        <w:tc>
          <w:tcPr>
            <w:tcW w:w="2287" w:type="dxa"/>
          </w:tcPr>
          <w:p>
            <w:pPr>
              <w:bidi/>
            </w:pPr>
            <w:r>
              <w:rPr>
                <w:rtl/>
              </w:rPr>
              <w:t xml:space="preserve">بدون سقف نرم‌افزاری</w:t>
            </w:r>
          </w:p>
        </w:tc>
      </w:tr>
      <w:tr>
        <w:tc>
          <w:tcPr>
            <w:tcW w:w="2067" w:type="dxa"/>
          </w:tcPr>
          <w:p>
            <w:pPr>
              <w:bidi/>
            </w:pPr>
            <w:r>
              <w:rPr>
                <w:rtl/>
              </w:rPr>
              <w:t xml:space="preserve">گزارش سنگین</w:t>
            </w:r>
          </w:p>
        </w:tc>
        <w:tc>
          <w:tcPr>
            <w:tcW w:w="2881" w:type="dxa"/>
          </w:tcPr>
          <w:p>
            <w:pPr>
              <w:bidi/>
            </w:pPr>
            <w:r>
              <w:rPr>
                <w:rtl/>
              </w:rPr>
              <w:t xml:space="preserve">در صف</w:t>
            </w:r>
          </w:p>
        </w:tc>
        <w:tc>
          <w:tcPr>
            <w:tcW w:w="2124" w:type="dxa"/>
          </w:tcPr>
          <w:p>
            <w:pPr>
              <w:bidi/>
            </w:pPr>
            <w:r>
              <w:rPr>
                <w:rtl/>
              </w:rPr>
              <w:t xml:space="preserve">هم‌زمان</w:t>
            </w:r>
          </w:p>
        </w:tc>
        <w:tc>
          <w:tcPr>
            <w:tcW w:w="2287" w:type="dxa"/>
          </w:tcPr>
          <w:p>
            <w:pPr>
              <w:bidi/>
            </w:pPr>
            <w:r>
              <w:rPr>
                <w:rtl/>
              </w:rPr>
              <w:t xml:space="preserve">هم‌زمان</w:t>
            </w:r>
          </w:p>
        </w:tc>
      </w:tr>
      <w:tr>
        <w:tc>
          <w:tcPr>
            <w:tcW w:w="2067" w:type="dxa"/>
          </w:tcPr>
          <w:p>
            <w:pPr/>
            <w:r>
              <w:t xml:space="preserve">Command Timeout</w:t>
            </w:r>
          </w:p>
        </w:tc>
        <w:tc>
          <w:tcPr>
            <w:tcW w:w="2881" w:type="dxa"/>
          </w:tcPr>
          <w:p>
            <w:pPr>
              <w:bidi/>
            </w:pPr>
            <w:r>
              <w:rPr>
                <w:rtl/>
              </w:rPr>
              <w:t xml:space="preserve">۳۰ ثانیه</w:t>
            </w:r>
          </w:p>
        </w:tc>
        <w:tc>
          <w:tcPr>
            <w:tcW w:w="2124" w:type="dxa"/>
          </w:tcPr>
          <w:p>
            <w:pPr>
              <w:bidi/>
            </w:pPr>
            <w:r>
              <w:rPr>
                <w:rtl/>
              </w:rPr>
              <w:t xml:space="preserve">۱۲۰ ثانیه</w:t>
            </w:r>
          </w:p>
        </w:tc>
        <w:tc>
          <w:tcPr>
            <w:tcW w:w="2287" w:type="dxa"/>
          </w:tcPr>
          <w:p>
            <w:pPr>
              <w:bidi/>
            </w:pPr>
            <w:r>
              <w:rPr>
                <w:rtl/>
              </w:rPr>
              <w:t xml:space="preserve">طبق قرارداد</w:t>
            </w:r>
          </w:p>
        </w:tc>
      </w:tr>
      <w:tr>
        <w:tc>
          <w:tcPr>
            <w:tcW w:w="2067" w:type="dxa"/>
          </w:tcPr>
          <w:p>
            <w:pPr/>
            <w:r>
              <w:t xml:space="preserve">Max Pool Size</w:t>
            </w:r>
          </w:p>
        </w:tc>
        <w:tc>
          <w:tcPr>
            <w:tcW w:w="2881" w:type="dxa"/>
          </w:tcPr>
          <w:p>
            <w:pPr>
              <w:bidi/>
            </w:pPr>
            <w:r>
              <w:rPr>
                <w:rtl/>
              </w:rPr>
              <w:t xml:space="preserve">۳ تا ۵</w:t>
            </w:r>
          </w:p>
        </w:tc>
        <w:tc>
          <w:tcPr>
            <w:tcW w:w="2124" w:type="dxa"/>
          </w:tcPr>
          <w:p>
            <w:pPr>
              <w:bidi/>
            </w:pPr>
            <w:r>
              <w:rPr>
                <w:rtl/>
              </w:rPr>
              <w:t xml:space="preserve">۲۰ یا بیشتر</w:t>
            </w:r>
          </w:p>
        </w:tc>
        <w:tc>
          <w:tcPr>
            <w:tcW w:w="2287" w:type="dxa"/>
          </w:tcPr>
          <w:p>
            <w:pPr>
              <w:bidi/>
            </w:pPr>
            <w:r>
              <w:rPr>
                <w:rtl/>
              </w:rPr>
              <w:t xml:space="preserve">آزمون بار</w:t>
            </w:r>
          </w:p>
        </w:tc>
      </w:tr>
      <w:tr>
        <w:tc>
          <w:tcPr>
            <w:tcW w:w="2067" w:type="dxa"/>
          </w:tcPr>
          <w:p>
            <w:pPr>
              <w:bidi/>
            </w:pPr>
            <w:r>
              <w:rPr>
                <w:rtl/>
              </w:rPr>
              <w:t xml:space="preserve">فضا</w:t>
            </w:r>
          </w:p>
        </w:tc>
        <w:tc>
          <w:tcPr>
            <w:tcW w:w="2881" w:type="dxa"/>
          </w:tcPr>
          <w:p>
            <w:pPr>
              <w:bidi/>
            </w:pPr>
            <w:r>
              <w:rPr>
                <w:rtl/>
              </w:rPr>
              <w:t xml:space="preserve">مثلاً ۲ گیگ (</w:t>
            </w:r>
            <w:r>
              <w:rPr>
                <w:rStyle w:val="CodeChar"/>
                <w:rtl/>
              </w:rPr>
              <w:t xml:space="preserve">QUOTA 2G ON TS_FREE</w:t>
            </w:r>
            <w:r>
              <w:rPr>
                <w:rtl/>
              </w:rPr>
              <w:t xml:space="preserve">)</w:t>
            </w:r>
          </w:p>
        </w:tc>
        <w:tc>
          <w:tcPr>
            <w:tcW w:w="2124" w:type="dxa"/>
          </w:tcPr>
          <w:p>
            <w:pPr>
              <w:bidi/>
            </w:pPr>
            <w:r>
              <w:rPr>
                <w:rtl/>
              </w:rPr>
              <w:t xml:space="preserve">بالا</w:t>
            </w:r>
          </w:p>
        </w:tc>
        <w:tc>
          <w:tcPr>
            <w:tcW w:w="2287" w:type="dxa"/>
          </w:tcPr>
          <w:p>
            <w:pPr>
              <w:bidi/>
            </w:pPr>
            <w:r>
              <w:rPr>
                <w:rtl/>
              </w:rPr>
              <w:t xml:space="preserve">بدون سقف</w:t>
            </w:r>
          </w:p>
        </w:tc>
      </w:tr>
      <w:tr>
        <w:tc>
          <w:tcPr>
            <w:tcW w:w="2067" w:type="dxa"/>
          </w:tcPr>
          <w:p>
            <w:pPr>
              <w:bidi/>
            </w:pPr>
            <w:r>
              <w:rPr>
                <w:rtl/>
              </w:rPr>
              <w:t xml:space="preserve">بکاپ (RPO / RTO)</w:t>
            </w:r>
          </w:p>
        </w:tc>
        <w:tc>
          <w:tcPr>
            <w:tcW w:w="2881" w:type="dxa"/>
          </w:tcPr>
          <w:p>
            <w:pPr>
              <w:bidi/>
            </w:pPr>
            <w:r>
              <w:rPr>
                <w:rtl/>
              </w:rPr>
              <w:t xml:space="preserve">۲۴ ساعت / روزانه</w:t>
            </w:r>
          </w:p>
        </w:tc>
        <w:tc>
          <w:tcPr>
            <w:tcW w:w="2124" w:type="dxa"/>
          </w:tcPr>
          <w:p>
            <w:pPr>
              <w:bidi/>
            </w:pPr>
            <w:r>
              <w:rPr>
                <w:rtl/>
              </w:rPr>
              <w:t xml:space="preserve">۱ ساعت / ۴ ساعت</w:t>
            </w:r>
          </w:p>
        </w:tc>
        <w:tc>
          <w:tcPr>
            <w:tcW w:w="2287" w:type="dxa"/>
          </w:tcPr>
          <w:p>
            <w:pPr>
              <w:bidi/>
            </w:pPr>
            <w:r>
              <w:rPr>
                <w:rtl/>
              </w:rPr>
              <w:t xml:space="preserve">طبق SLA</w:t>
            </w:r>
          </w:p>
        </w:tc>
      </w:tr>
      <w:tr>
        <w:tc>
          <w:tcPr>
            <w:tcW w:w="2067" w:type="dxa"/>
          </w:tcPr>
          <w:p>
            <w:pPr>
              <w:bidi/>
            </w:pPr>
            <w:r>
              <w:rPr>
                <w:rtl/>
              </w:rPr>
              <w:t xml:space="preserve">عدم فعالیت</w:t>
            </w:r>
          </w:p>
        </w:tc>
        <w:tc>
          <w:tcPr>
            <w:tcW w:w="2881" w:type="dxa"/>
          </w:tcPr>
          <w:p>
            <w:pPr>
              <w:bidi/>
            </w:pPr>
            <w:r>
              <w:rPr>
                <w:rtl/>
              </w:rPr>
              <w:t xml:space="preserve">اطلاع‌رسانی، تعلیق، بایگانی</w:t>
            </w:r>
          </w:p>
        </w:tc>
        <w:tc>
          <w:tcPr>
            <w:tcW w:w="2124" w:type="dxa"/>
          </w:tcPr>
          <w:p>
            <w:pPr>
              <w:bidi/>
            </w:pPr>
            <w:r>
              <w:rPr>
                <w:rtl/>
              </w:rPr>
              <w:t xml:space="preserve">ندارد</w:t>
            </w:r>
          </w:p>
        </w:tc>
        <w:tc>
          <w:tcPr>
            <w:tcW w:w="2287" w:type="dxa"/>
          </w:tcPr>
          <w:p>
            <w:pPr>
              <w:bidi/>
            </w:pPr>
            <w:r>
              <w:rPr>
                <w:rtl/>
              </w:rPr>
              <w:t xml:space="preserve">ندارد</w:t>
            </w:r>
          </w:p>
        </w:tc>
      </w:tr>
    </w:tbl>
    <w:p>
      <w:pPr>
        <w:bidi/>
      </w:pPr>
      <w:r>
        <w:rPr>
          <w:rtl/>
        </w:rPr>
        <w:t xml:space="preserve">اعداد پیشنهادی‌اند و با آزمون بار و قیمت‌گذاری نهایی می‌شوند.</w:t>
      </w:r>
    </w:p>
    <w:p>
      <w:pPr>
        <w:bidi/>
      </w:pPr>
      <w:r>
        <w:rPr>
          <w:b/>
          <w:rtl/>
        </w:rPr>
        <w:t xml:space="preserve">ابزارهای کنترل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در برنامه:</w:t>
      </w:r>
      <w:r>
        <w:rPr>
          <w:rtl/>
        </w:rPr>
        <w:t xml:space="preserve"> </w:t>
      </w:r>
      <w:r>
        <w:rPr>
          <w:rStyle w:val="CodeChar"/>
          <w:rtl/>
        </w:rPr>
        <w:t xml:space="preserve">QuotaBehavior</w:t>
      </w:r>
      <w:r>
        <w:rPr>
          <w:rtl/>
        </w:rPr>
        <w:t xml:space="preserve"> در MediatR برای سند، کاربر و واحد؛ </w:t>
      </w:r>
      <w:r>
        <w:rPr>
          <w:rStyle w:val="CodeChar"/>
          <w:rtl/>
        </w:rPr>
        <w:t xml:space="preserve">AddRateLimiter</w:t>
      </w:r>
      <w:r>
        <w:rPr>
          <w:rtl/>
        </w:rPr>
        <w:t xml:space="preserve"> با پارتیشن Tenant؛ صف پس‌زمینه با حداکثر N گزارش هم‌زمان برای هر دیتابیس مشترک.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در Oracle:</w:t>
      </w:r>
      <w:r>
        <w:rPr>
          <w:rtl/>
        </w:rPr>
        <w:t xml:space="preserve"> Profile با </w:t>
      </w:r>
      <w:r>
        <w:rPr>
          <w:rStyle w:val="CodeChar"/>
          <w:rtl/>
        </w:rPr>
        <w:t xml:space="preserve">SESSIONS_PER_USER</w:t>
      </w:r>
      <w:r>
        <w:rPr>
          <w:rtl/>
        </w:rPr>
        <w:t xml:space="preserve"> و </w:t>
      </w:r>
      <w:r>
        <w:rPr>
          <w:rStyle w:val="CodeChar"/>
          <w:rtl/>
        </w:rPr>
        <w:t xml:space="preserve">IDLE_TIME</w:t>
      </w:r>
      <w:r>
        <w:rPr>
          <w:rtl/>
        </w:rPr>
        <w:t xml:space="preserve">؛ Quota روی Tablespace؛ Resource Manager برای اولویت پایین‌تر CPU (فقط در Enterprise Edition).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در زیرساخت:</w:t>
      </w:r>
      <w:r>
        <w:rPr>
          <w:rtl/>
        </w:rPr>
        <w:t xml:space="preserve"> دیتابیس‌های رایگان روی سرور جدا از مشتریان پولی؛ وقتی یک دیتابیس رایگان پر شد (شروع محافظه‌کارانه: ۵۰ سازمان)، Provisioning سراغ </w:t>
      </w:r>
      <w:r>
        <w:rPr>
          <w:rStyle w:val="CodeChar"/>
          <w:rtl/>
        </w:rPr>
        <w:t xml:space="preserve">SHARED_FREE_02</w:t>
      </w:r>
      <w:r>
        <w:rPr>
          <w:rtl/>
        </w:rPr>
        <w:t xml:space="preserve"> می‌رود.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در محصول:</w:t>
      </w:r>
      <w:r>
        <w:rPr>
          <w:rtl/>
        </w:rPr>
        <w:t xml:space="preserve"> نمایش مصرف سهمیه و دکمهٔ «درخواست اشتراک اختصاصی»؛ سازمان‌های پرمصرف در داشبورد فروش.</w:t>
      </w:r>
    </w:p>
    <w:p>
      <w:pPr>
        <w:pStyle w:val="Heading2"/>
      </w:pPr>
      <w:r>
        <w:t xml:space="preserve">Migration، ساخت سازمان و ارتقا</w:t>
      </w:r>
    </w:p>
    <w:p>
      <w:pPr>
        <w:bidi/>
      </w:pPr>
      <w:r>
        <w:rPr>
          <w:rtl/>
        </w:rPr>
        <w:t xml:space="preserve">با چندین Schema، اجرای دستی اسکریپت‌های </w:t>
      </w:r>
      <w:r>
        <w:rPr>
          <w:rStyle w:val="CodeChar"/>
          <w:rtl/>
        </w:rPr>
        <w:t xml:space="preserve">db/</w:t>
      </w:r>
      <w:r>
        <w:rPr>
          <w:rtl/>
        </w:rPr>
        <w:t xml:space="preserve"> دیگر ممکن نیست؛ Runner، Provisioning و ارتقا باید خودکار و قابل تکرار باشند.</w:t>
      </w:r>
    </w:p>
    <w:p>
      <w:pPr/>
      <w:r>
        <w:rPr>
          <w:b/>
        </w:rPr>
        <w:t xml:space="preserve">Migration Runner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اسکریپت‌ها به ترتیب شماره روی هر Tenant؛ موازی بین Tenantها با سقف هم‌زمانی، ترتیبی داخل هر Tenant.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قفل برای هر Tenant (</w:t>
      </w:r>
      <w:r>
        <w:rPr>
          <w:rStyle w:val="CodeChar"/>
          <w:rtl/>
        </w:rPr>
        <w:t xml:space="preserve">DBMS_LOCK</w:t>
      </w:r>
      <w:r>
        <w:rPr>
          <w:rtl/>
        </w:rPr>
        <w:t xml:space="preserve"> یا Registry) تا دو اجرای هم‌زمان نباشد.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ثبت هر اجرا در </w:t>
      </w:r>
      <w:r>
        <w:rPr>
          <w:rStyle w:val="CodeChar"/>
          <w:rtl/>
        </w:rPr>
        <w:t xml:space="preserve">TENANT_SCHEMA_VERSION</w:t>
      </w:r>
      <w:r>
        <w:rPr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اسکریپت‌های کوچک و قابل اجرای دوباره؛ چون هر DDL در Oracle خودش Commit می‌کند.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الگوی Expand/Contract: افزودن سازگار، انتشار برنامه، انتقال داده، حذف ساختار قدیمی در انتشار بعد.</w:t>
      </w:r>
    </w:p>
    <w:p>
      <w:pPr>
        <w:pStyle w:val="ListParagraph"/>
        <w:numPr>
          <w:ilvl w:val="0"/>
          <w:numId w:val="4"/>
        </w:numPr>
      </w:pPr>
      <w:r>
        <w:t xml:space="preserve">Tenant عقب‌مانده فقط برای خودش خطای ۵۰۳ می‌گیرد.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ترتیب انتشار: محیط آزمایشی، یک دیتابیس رایگان، بقیهٔ رایگان‌ها، سپس مشتریان اختصاصی در پنجرهٔ هماهنگ‌شده.</w:t>
      </w:r>
    </w:p>
    <w:p>
      <w:pPr>
        <w:bidi/>
      </w:pPr>
      <w:r>
        <w:rPr>
          <w:b/>
          <w:rtl/>
        </w:rPr>
        <w:t xml:space="preserve">ساخت سازمان رایگان (سلف‌سرویس)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ثبت‌نام و تأیید ایمیل یا تلفن.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انتخاب دیتابیس رایگانی که </w:t>
      </w:r>
      <w:r>
        <w:rPr>
          <w:rStyle w:val="CodeChar"/>
          <w:rtl/>
        </w:rPr>
        <w:t xml:space="preserve">ACCEPTS_NEW = 1</w:t>
      </w:r>
      <w:r>
        <w:rPr>
          <w:rtl/>
        </w:rPr>
        <w:t xml:space="preserve"> و ظرفیت دارد.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ساخت Schema و حساب Runtime با Profile و Quota رایگان.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اجرای همهٔ اسکریپت‌ها با Runner.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دادهٔ پایه: الگوی کدینگ حساب (گروه، کل، معین)، سال مالی، واحد ستاد، نقش‌ها و دسترسی منوها.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ثبت در Registry با وضعیت </w:t>
      </w:r>
      <w:r>
        <w:rPr>
          <w:rStyle w:val="CodeChar"/>
          <w:rtl/>
        </w:rPr>
        <w:t xml:space="preserve">PROVISIONING</w:t>
      </w:r>
      <w:r>
        <w:rPr>
          <w:rtl/>
        </w:rPr>
        <w:t xml:space="preserve">؛ ساخت سازمان و کاربر مدیر در Keycloak.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تست سلامت و جداسازی، سپس </w:t>
      </w:r>
      <w:r>
        <w:rPr>
          <w:rStyle w:val="CodeChar"/>
          <w:rtl/>
        </w:rPr>
        <w:t xml:space="preserve">ACTIVE</w:t>
      </w:r>
      <w:r>
        <w:rPr>
          <w:rtl/>
        </w:rPr>
        <w:t xml:space="preserve">.</w:t>
      </w:r>
    </w:p>
    <w:p>
      <w:pPr>
        <w:bidi/>
      </w:pPr>
      <w:r>
        <w:rPr>
          <w:b/>
          <w:rtl/>
        </w:rPr>
        <w:t xml:space="preserve">ارتقا از رایگان به اختصاصی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ساخت PDB یا دیتابیس مقصد با همان نسخهٔ Schema.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وضعیت </w:t>
      </w:r>
      <w:r>
        <w:rPr>
          <w:rStyle w:val="CodeChar"/>
          <w:rtl/>
        </w:rPr>
        <w:t xml:space="preserve">MIGRATING</w:t>
      </w:r>
      <w:r>
        <w:rPr>
          <w:rtl/>
        </w:rPr>
        <w:t xml:space="preserve">؛ نوشتن متوقف.</w:t>
      </w:r>
    </w:p>
    <w:p>
      <w:pPr>
        <w:pStyle w:val="ListParagraph"/>
        <w:numPr>
          <w:ilvl w:val="0"/>
          <w:numId w:val="6"/>
        </w:numPr>
      </w:pPr>
      <w:r>
        <w:t xml:space="preserve">Export و Import با Data Pump.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اعتبارسنجی مالی: تعداد رکورد هر جدول، جمع بدهکار و بستانکار هر سال و واحد، آخرین شمارهٔ عطف.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تغییر مقصد و پلن در Registry با </w:t>
      </w:r>
      <w:r>
        <w:rPr>
          <w:rStyle w:val="CodeChar"/>
          <w:rtl/>
        </w:rPr>
        <w:t xml:space="preserve">CONFIG_VERSION</w:t>
      </w:r>
      <w:r>
        <w:rPr>
          <w:rtl/>
        </w:rPr>
        <w:t xml:space="preserve"> جدید؛ کش‌ها باطل می‌شوند.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اطمینان از اینکه هیچ Job یا پیام Kafka به مقصد قدیمی نمی‌نویسد؛ سپس </w:t>
      </w:r>
      <w:r>
        <w:rPr>
          <w:rStyle w:val="CodeChar"/>
          <w:rtl/>
        </w:rPr>
        <w:t xml:space="preserve">ACTIVE</w:t>
      </w:r>
      <w:r>
        <w:rPr>
          <w:rtl/>
        </w:rP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Schema مبدأ مثلاً ۱۴ روز قفل و نگهداری می‌شود، سپس حذف.</w:t>
      </w:r>
    </w:p>
    <w:p>
      <w:pPr>
        <w:bidi/>
      </w:pPr>
      <w:r>
        <w:rPr>
          <w:b/>
          <w:rtl/>
        </w:rPr>
        <w:t xml:space="preserve">پایان اشتراک:</w:t>
      </w:r>
      <w:r>
        <w:rPr>
          <w:rtl/>
        </w:rPr>
        <w:t xml:space="preserve"> Grace، سپس ReadOnly. اگر حجم داده در سقف رایگان جا شود، انتقال معکوس؛ وگرنه بایگانی و خروجی کامل برای سازمان.</w:t>
      </w:r>
    </w:p>
    <w:p>
      <w:pPr>
        <w:pStyle w:val="Heading2"/>
        <w:bidi/>
      </w:pPr>
      <w:r>
        <w:rPr>
          <w:rtl/>
        </w:rPr>
        <w:t xml:space="preserve">فازبندی اجرایی</w:t>
      </w:r>
    </w:p>
    <w:p>
      <w:pPr>
        <w:bidi/>
      </w:pPr>
      <w:r>
        <w:rPr>
          <w:rtl/>
        </w:rPr>
        <w:t xml:space="preserve">هشت فاز؛ هر فاز تا معیار پذیرشش برآورده نشود، فاز بعد شروع نمی‌شود. فازهای ۱ و ۲ رفتار سیستم تأمین را عوض نمی‌کنند.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96"/>
        <w:gridCol w:w="2415"/>
        <w:gridCol w:w="1872"/>
        <w:gridCol w:w="2305"/>
        <w:gridCol w:w="1872"/>
      </w:tblGrid>
      <w:tr>
        <w:trPr>
          <w:tblHeader/>
        </w:trPr>
        <w:tc>
          <w:tcPr>
            <w:tcW w:w="89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فاز</w:t>
            </w:r>
          </w:p>
        </w:tc>
        <w:tc>
          <w:tcPr>
            <w:tcW w:w="241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اقدام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خروجی</w:t>
            </w:r>
          </w:p>
        </w:tc>
        <w:tc>
          <w:tcPr>
            <w:tcW w:w="230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معیار پذیرش (Gate)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اثر بر تأمین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۰</w:t>
            </w:r>
          </w:p>
        </w:tc>
        <w:tc>
          <w:tcPr>
            <w:tcW w:w="2415" w:type="dxa"/>
          </w:tcPr>
          <w:p>
            <w:pPr>
              <w:bidi/>
            </w:pPr>
            <w:r>
              <w:rPr>
                <w:rtl/>
              </w:rPr>
              <w:t xml:space="preserve">تصمیم‌های بخش آخر این سند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سند تصمیم در </w:t>
            </w:r>
            <w:r>
              <w:rPr>
                <w:rStyle w:val="CodeChar"/>
                <w:rtl/>
              </w:rPr>
              <w:t xml:space="preserve">docs/open-decisions.md</w:t>
            </w:r>
          </w:p>
        </w:tc>
        <w:tc>
          <w:tcPr>
            <w:tcW w:w="2305" w:type="dxa"/>
          </w:tcPr>
          <w:p>
            <w:pPr>
              <w:bidi/>
            </w:pPr>
            <w:r>
              <w:rPr>
                <w:rtl/>
              </w:rPr>
              <w:t xml:space="preserve">همهٔ ۷ سؤال پاسخ دارند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هیچ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۱</w:t>
            </w:r>
          </w:p>
        </w:tc>
        <w:tc>
          <w:tcPr>
            <w:tcW w:w="2415" w:type="dxa"/>
          </w:tcPr>
          <w:p>
            <w:pPr/>
            <w:r>
              <w:rPr>
                <w:rStyle w:val="CodeChar"/>
              </w:rPr>
              <w:t xml:space="preserve">ITenantContext</w:t>
            </w:r>
            <w:r>
              <w:t xml:space="preserve">، </w:t>
            </w:r>
            <w:r>
              <w:rPr>
                <w:rStyle w:val="CodeChar"/>
              </w:rPr>
              <w:t xml:space="preserve">TenantSchemaInterceptor</w:t>
            </w:r>
            <w:r>
              <w:t xml:space="preserve">، </w:t>
            </w:r>
            <w:r>
              <w:rPr>
                <w:rStyle w:val="CodeChar"/>
              </w:rPr>
              <w:t xml:space="preserve">ConfigTenantResolver</w:t>
            </w:r>
            <w:r>
              <w:t xml:space="preserve">، حذف </w:t>
            </w:r>
            <w:r>
              <w:rPr>
                <w:rStyle w:val="CodeChar"/>
              </w:rPr>
              <w:t xml:space="preserve">HasDefaultSchema</w:t>
            </w:r>
          </w:p>
        </w:tc>
        <w:tc>
          <w:tcPr>
            <w:tcW w:w="1872" w:type="dxa"/>
          </w:tcPr>
          <w:p>
            <w:pPr/>
            <w:r>
              <w:t xml:space="preserve">EF و SQL خام از یک منبع Schema</w:t>
            </w:r>
          </w:p>
        </w:tc>
        <w:tc>
          <w:tcPr>
            <w:tcW w:w="2305" w:type="dxa"/>
          </w:tcPr>
          <w:p>
            <w:pPr>
              <w:bidi/>
            </w:pPr>
            <w:r>
              <w:rPr>
                <w:rtl/>
              </w:rPr>
              <w:t xml:space="preserve">۴۵۲۵ تست فعلی سبز؛ تراز و صورت‌های مالی دقیقاً همان اعداد قبل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بدون تغییر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۲</w:t>
            </w:r>
          </w:p>
        </w:tc>
        <w:tc>
          <w:tcPr>
            <w:tcW w:w="2415" w:type="dxa"/>
          </w:tcPr>
          <w:p>
            <w:pPr>
              <w:bidi/>
            </w:pPr>
            <w:r>
              <w:rPr>
                <w:rtl/>
              </w:rPr>
              <w:t xml:space="preserve">نمونهٔ آزمایشی با دو Schema هم‌ساختار روی Oracle در Container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پروژهٔ </w:t>
            </w:r>
            <w:r>
              <w:rPr>
                <w:rStyle w:val="CodeChar"/>
                <w:rtl/>
              </w:rPr>
              <w:t xml:space="preserve">Accounting.MultiTenancy.Tests</w:t>
            </w:r>
          </w:p>
        </w:tc>
        <w:tc>
          <w:tcPr>
            <w:tcW w:w="2305" w:type="dxa"/>
          </w:tcPr>
          <w:p>
            <w:pPr/>
            <w:r>
              <w:t xml:space="preserve">EF، SQL خام، Pool و Grant همه جداسازی را نشان دهند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هیچ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۳</w:t>
            </w:r>
          </w:p>
        </w:tc>
        <w:tc>
          <w:tcPr>
            <w:tcW w:w="2415" w:type="dxa"/>
          </w:tcPr>
          <w:p>
            <w:pPr/>
            <w:r>
              <w:t xml:space="preserve">Registry، Resolver، Connection Provider، Middleware، حساب‌های Runtime، لایسنس از Registry</w:t>
            </w:r>
          </w:p>
        </w:tc>
        <w:tc>
          <w:tcPr>
            <w:tcW w:w="1872" w:type="dxa"/>
          </w:tcPr>
          <w:p>
            <w:pPr/>
            <w:r>
              <w:t xml:space="preserve">Multi-Tenancy واقعی</w:t>
            </w:r>
          </w:p>
        </w:tc>
        <w:tc>
          <w:tcPr>
            <w:tcW w:w="2305" w:type="dxa"/>
          </w:tcPr>
          <w:p>
            <w:pPr>
              <w:bidi/>
            </w:pPr>
            <w:r>
              <w:rPr>
                <w:rtl/>
              </w:rPr>
              <w:t xml:space="preserve">ماتریس تست امنیتی سبز + Gate ایجنت </w:t>
            </w:r>
            <w:r>
              <w:rPr>
                <w:rStyle w:val="CodeChar"/>
                <w:rtl/>
              </w:rPr>
              <w:t xml:space="preserve">security-reviewer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تأمین = Tenant ۱، حساب اتصال عوض می‌شود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۴</w:t>
            </w:r>
          </w:p>
        </w:tc>
        <w:tc>
          <w:tcPr>
            <w:tcW w:w="2415" w:type="dxa"/>
          </w:tcPr>
          <w:p>
            <w:pPr/>
            <w:r>
              <w:t xml:space="preserve">Kafka با Idempotency، Jobها، کش، فایل، لاگ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پوشش مسیرهای غیر HTTP</w:t>
            </w:r>
          </w:p>
        </w:tc>
        <w:tc>
          <w:tcPr>
            <w:tcW w:w="2305" w:type="dxa"/>
          </w:tcPr>
          <w:p>
            <w:pPr>
              <w:bidi/>
            </w:pPr>
            <w:r>
              <w:rPr>
                <w:rtl/>
              </w:rPr>
              <w:t xml:space="preserve">تست پیام تکراری و کش بین دو Tenant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هدر Tenant در پیام‌های سیستم‌های مبدأ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۵</w:t>
            </w:r>
          </w:p>
        </w:tc>
        <w:tc>
          <w:tcPr>
            <w:tcW w:w="2415" w:type="dxa"/>
          </w:tcPr>
          <w:p>
            <w:pPr>
              <w:bidi/>
            </w:pPr>
            <w:r>
              <w:rPr>
                <w:rtl/>
              </w:rPr>
              <w:t xml:space="preserve">سهمیه، RateLimiter، صف گزارش، Profile و Quota و Resource Manager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پلن رایگان قابل عرضه</w:t>
            </w:r>
          </w:p>
        </w:tc>
        <w:tc>
          <w:tcPr>
            <w:tcW w:w="2305" w:type="dxa"/>
          </w:tcPr>
          <w:p>
            <w:pPr>
              <w:bidi/>
            </w:pPr>
            <w:r>
              <w:rPr>
                <w:rtl/>
              </w:rPr>
              <w:t xml:space="preserve">آزمون بار «همسایهٔ پرسروصدا»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هیچ (پلن سازمانی)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۶</w:t>
            </w:r>
          </w:p>
        </w:tc>
        <w:tc>
          <w:tcPr>
            <w:tcW w:w="2415" w:type="dxa"/>
          </w:tcPr>
          <w:p>
            <w:pPr/>
            <w:r>
              <w:t xml:space="preserve">Migration Runner و Provisioning خودکار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ساخت سازمان بدون دخالت دستی</w:t>
            </w:r>
          </w:p>
        </w:tc>
        <w:tc>
          <w:tcPr>
            <w:tcW w:w="2305" w:type="dxa"/>
          </w:tcPr>
          <w:p>
            <w:pPr>
              <w:bidi/>
            </w:pPr>
            <w:r>
              <w:rPr>
                <w:rtl/>
              </w:rPr>
              <w:t xml:space="preserve">ساخت ۱۰ سازمان آزمایشی، شکست وسط Migration با اجرای دوبارهٔ امن</w:t>
            </w:r>
          </w:p>
        </w:tc>
        <w:tc>
          <w:tcPr>
            <w:tcW w:w="1872" w:type="dxa"/>
          </w:tcPr>
          <w:p>
            <w:pPr/>
            <w:r>
              <w:t xml:space="preserve">DDLهای تأمین هم از Runner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۷</w:t>
            </w:r>
          </w:p>
        </w:tc>
        <w:tc>
          <w:tcPr>
            <w:tcW w:w="2415" w:type="dxa"/>
          </w:tcPr>
          <w:p>
            <w:pPr>
              <w:bidi/>
            </w:pPr>
            <w:r>
              <w:rPr>
                <w:rtl/>
              </w:rPr>
              <w:t xml:space="preserve">ارتقا و برگشت اشتراک، داشبورد مدیریتی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فروش اشتراک اختصاصی</w:t>
            </w:r>
          </w:p>
        </w:tc>
        <w:tc>
          <w:tcPr>
            <w:tcW w:w="2305" w:type="dxa"/>
          </w:tcPr>
          <w:p>
            <w:pPr>
              <w:bidi/>
            </w:pPr>
            <w:r>
              <w:rPr>
                <w:rtl/>
              </w:rPr>
              <w:t xml:space="preserve">انتقال آزمایشی با تطبیق کامل مانده‌ها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هیچ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۸</w:t>
            </w:r>
          </w:p>
        </w:tc>
        <w:tc>
          <w:tcPr>
            <w:tcW w:w="2415" w:type="dxa"/>
          </w:tcPr>
          <w:p>
            <w:pPr>
              <w:bidi/>
            </w:pPr>
            <w:r>
              <w:rPr>
                <w:rtl/>
              </w:rPr>
              <w:t xml:space="preserve">انتشار تدریجی: دو سازمان آزمایشی، چند سازمان داوطلب، عمومی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عرضه</w:t>
            </w:r>
          </w:p>
        </w:tc>
        <w:tc>
          <w:tcPr>
            <w:tcW w:w="2305" w:type="dxa"/>
          </w:tcPr>
          <w:p>
            <w:pPr>
              <w:bidi/>
            </w:pPr>
            <w:r>
              <w:rPr>
                <w:rtl/>
              </w:rPr>
              <w:t xml:space="preserve">بدون حادثهٔ نشت داده در دورهٔ آزمایشی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هیچ</w:t>
            </w:r>
          </w:p>
        </w:tc>
      </w:tr>
    </w:tbl>
    <w:p>
      <w:pPr>
        <w:bidi/>
      </w:pPr>
      <w:r>
        <w:rPr>
          <w:rtl/>
        </w:rPr>
        <w:t xml:space="preserve">هر فاز مطابق روال پروژه در </w:t>
      </w:r>
      <w:r>
        <w:rPr>
          <w:rStyle w:val="CodeChar"/>
          <w:rtl/>
        </w:rPr>
        <w:t xml:space="preserve">docs/phase-log.md</w:t>
      </w:r>
      <w:r>
        <w:rPr>
          <w:rtl/>
        </w:rPr>
        <w:t xml:space="preserve"> ثبت می‌شود و کار چندلایه با اسکیل </w:t>
      </w:r>
      <w:r>
        <w:rPr>
          <w:rStyle w:val="CodeChar"/>
          <w:rtl/>
        </w:rPr>
        <w:t xml:space="preserve">/team-lead</w:t>
      </w:r>
      <w:r>
        <w:rPr>
          <w:rtl/>
        </w:rPr>
        <w:t xml:space="preserve"> تقسیم می‌شود.</w:t>
      </w:r>
    </w:p>
    <w:p>
      <w:pPr>
        <w:pStyle w:val="Heading2"/>
        <w:bidi/>
      </w:pPr>
      <w:r>
        <w:rPr>
          <w:rtl/>
        </w:rPr>
        <w:t xml:space="preserve">ماتریس تست</w:t>
      </w:r>
    </w:p>
    <w:p>
      <w:pPr>
        <w:bidi/>
      </w:pPr>
      <w:r>
        <w:rPr>
          <w:rtl/>
        </w:rPr>
        <w:t xml:space="preserve">این تست‌ها روی Oracle واقعی در Container اجرا می‌شوند؛ تست‌های SQLite فعلی </w:t>
      </w:r>
      <w:r>
        <w:rPr>
          <w:rStyle w:val="CodeChar"/>
          <w:rtl/>
        </w:rPr>
        <w:t xml:space="preserve">CURRENT_SCHEMA</w:t>
      </w:r>
      <w:r>
        <w:rPr>
          <w:rtl/>
        </w:rPr>
        <w:t xml:space="preserve"> و Grant را نمی‌بینند.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6"/>
        <w:gridCol w:w="4016"/>
        <w:gridCol w:w="2452"/>
        <w:gridCol w:w="896"/>
      </w:tblGrid>
      <w:tr>
        <w:trPr>
          <w:tblHeader/>
        </w:trPr>
        <w:tc>
          <w:tcPr>
            <w:tcW w:w="199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سناریو</w:t>
            </w:r>
          </w:p>
        </w:tc>
        <w:tc>
          <w:tcPr>
            <w:tcW w:w="401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روش آزمون</w:t>
            </w:r>
          </w:p>
        </w:tc>
        <w:tc>
          <w:tcPr>
            <w:tcW w:w="245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نتیجهٔ مورد انتظار</w:t>
            </w:r>
          </w:p>
        </w:tc>
        <w:tc>
          <w:tcPr>
            <w:tcW w:w="89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فاز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بدون تغییر رفتار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تراز، دفتر کل و صورت‌های مالی قبل و بعد از فاز ۱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اعداد یکسان</w:t>
            </w:r>
          </w:p>
        </w:tc>
        <w:tc>
          <w:tcPr>
            <w:tcW w:w="896" w:type="dxa"/>
          </w:tcPr>
          <w:p>
            <w:pPr/>
            <w:r>
              <w:t xml:space="preserve">۱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SQL خام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گزارش‌ها روی دو Schema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فقط دادهٔ Tenant جاری</w:t>
            </w:r>
          </w:p>
        </w:tc>
        <w:tc>
          <w:tcPr>
            <w:tcW w:w="896" w:type="dxa"/>
          </w:tcPr>
          <w:p>
            <w:pPr/>
            <w:r>
              <w:t xml:space="preserve">۲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EF Core</w:t>
            </w:r>
          </w:p>
        </w:tc>
        <w:tc>
          <w:tcPr>
            <w:tcW w:w="4016" w:type="dxa"/>
          </w:tcPr>
          <w:p>
            <w:pPr/>
            <w:r>
              <w:t xml:space="preserve">Query، Insert، Update روی دو Schema</w:t>
            </w:r>
          </w:p>
        </w:tc>
        <w:tc>
          <w:tcPr>
            <w:tcW w:w="2452" w:type="dxa"/>
          </w:tcPr>
          <w:p>
            <w:pPr/>
            <w:r>
              <w:t xml:space="preserve">Schema صحیح</w:t>
            </w:r>
          </w:p>
        </w:tc>
        <w:tc>
          <w:tcPr>
            <w:tcW w:w="896" w:type="dxa"/>
          </w:tcPr>
          <w:p>
            <w:pPr/>
            <w:r>
              <w:t xml:space="preserve">۲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Grant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حساب Runtime سازمان A روی جدول B</w:t>
            </w:r>
          </w:p>
        </w:tc>
        <w:tc>
          <w:tcPr>
            <w:tcW w:w="2452" w:type="dxa"/>
          </w:tcPr>
          <w:p>
            <w:pPr/>
            <w:r>
              <w:rPr>
                <w:rStyle w:val="CodeChar"/>
              </w:rPr>
              <w:t xml:space="preserve">ORA-00942</w:t>
            </w:r>
          </w:p>
        </w:tc>
        <w:tc>
          <w:tcPr>
            <w:tcW w:w="896" w:type="dxa"/>
          </w:tcPr>
          <w:p>
            <w:pPr/>
            <w:r>
              <w:t xml:space="preserve">۲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Connection Pool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اتصال بازگشتی از درخواست A در درخواست B</w:t>
            </w:r>
          </w:p>
        </w:tc>
        <w:tc>
          <w:tcPr>
            <w:tcW w:w="2452" w:type="dxa"/>
          </w:tcPr>
          <w:p>
            <w:pPr/>
            <w:r>
              <w:rPr>
                <w:rStyle w:val="CodeChar"/>
              </w:rPr>
              <w:t xml:space="preserve">CURRENT_SCHEMA = B</w:t>
            </w:r>
          </w:p>
        </w:tc>
        <w:tc>
          <w:tcPr>
            <w:tcW w:w="896" w:type="dxa"/>
          </w:tcPr>
          <w:p>
            <w:pPr/>
            <w:r>
              <w:t xml:space="preserve">۲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خطای تنظیم نشست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شبیه‌سازی شکست </w:t>
            </w:r>
            <w:r>
              <w:rPr>
                <w:rStyle w:val="CodeChar"/>
                <w:rtl/>
              </w:rPr>
              <w:t xml:space="preserve">ALTER SESSION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توقف درخواست</w:t>
            </w:r>
          </w:p>
        </w:tc>
        <w:tc>
          <w:tcPr>
            <w:tcW w:w="896" w:type="dxa"/>
          </w:tcPr>
          <w:p>
            <w:pPr/>
            <w:r>
              <w:t xml:space="preserve">۲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هدر جعلی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کاربر A هدر </w:t>
            </w:r>
            <w:r>
              <w:rPr>
                <w:rStyle w:val="CodeChar"/>
                <w:rtl/>
              </w:rPr>
              <w:t xml:space="preserve">X-Tenant</w:t>
            </w:r>
            <w:r>
              <w:rPr>
                <w:rtl/>
              </w:rPr>
              <w:t xml:space="preserve"> سازمان B را بفرستد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رد، بدون دسترسی</w:t>
            </w:r>
          </w:p>
        </w:tc>
        <w:tc>
          <w:tcPr>
            <w:tcW w:w="896" w:type="dxa"/>
          </w:tcPr>
          <w:p>
            <w:pPr/>
            <w:r>
              <w:t xml:space="preserve">۳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شناسهٔ سند خارجی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شناسهٔ سند سازمان دیگر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یافت نشد، بدون افشا</w:t>
            </w:r>
          </w:p>
        </w:tc>
        <w:tc>
          <w:tcPr>
            <w:tcW w:w="896" w:type="dxa"/>
          </w:tcPr>
          <w:p>
            <w:pPr/>
            <w:r>
              <w:t xml:space="preserve">۳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بدون Tenant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درخواست بدون claim معتبر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خطای کنترل‌شده (Fail-closed)</w:t>
            </w:r>
          </w:p>
        </w:tc>
        <w:tc>
          <w:tcPr>
            <w:tcW w:w="896" w:type="dxa"/>
          </w:tcPr>
          <w:p>
            <w:pPr/>
            <w:r>
              <w:t xml:space="preserve">۳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مجوز دامنه‌ای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کاربر سازمان درست، بدون مجوز واحد</w:t>
            </w:r>
          </w:p>
        </w:tc>
        <w:tc>
          <w:tcPr>
            <w:tcW w:w="2452" w:type="dxa"/>
          </w:tcPr>
          <w:p>
            <w:pPr/>
            <w:r>
              <w:t xml:space="preserve">۴۰۳</w:t>
            </w:r>
          </w:p>
        </w:tc>
        <w:tc>
          <w:tcPr>
            <w:tcW w:w="896" w:type="dxa"/>
          </w:tcPr>
          <w:p>
            <w:pPr/>
            <w:r>
              <w:t xml:space="preserve">۳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Kafka نامعتبر</w:t>
            </w:r>
          </w:p>
        </w:tc>
        <w:tc>
          <w:tcPr>
            <w:tcW w:w="4016" w:type="dxa"/>
          </w:tcPr>
          <w:p>
            <w:pPr/>
            <w:r>
              <w:t xml:space="preserve">Tenant نامعتبر یا فرستندهٔ غیرمجاز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بدون ثبت سند، DLQ</w:t>
            </w:r>
          </w:p>
        </w:tc>
        <w:tc>
          <w:tcPr>
            <w:tcW w:w="896" w:type="dxa"/>
          </w:tcPr>
          <w:p>
            <w:pPr/>
            <w:r>
              <w:t xml:space="preserve">۴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پیام تکراری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یک پیام دو بار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فقط یک سند</w:t>
            </w:r>
          </w:p>
        </w:tc>
        <w:tc>
          <w:tcPr>
            <w:tcW w:w="896" w:type="dxa"/>
          </w:tcPr>
          <w:p>
            <w:pPr/>
            <w:r>
              <w:t xml:space="preserve">۴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کش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کش A گرم، B همان کلید را بخواهد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بدون دادهٔ A</w:t>
            </w:r>
          </w:p>
        </w:tc>
        <w:tc>
          <w:tcPr>
            <w:tcW w:w="896" w:type="dxa"/>
          </w:tcPr>
          <w:p>
            <w:pPr/>
            <w:r>
              <w:t xml:space="preserve">۴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سهمیه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عبور از سقف سند، کاربر یا درخواست</w:t>
            </w:r>
          </w:p>
        </w:tc>
        <w:tc>
          <w:tcPr>
            <w:tcW w:w="2452" w:type="dxa"/>
          </w:tcPr>
          <w:p>
            <w:pPr/>
            <w:r>
              <w:rPr>
                <w:rStyle w:val="CodeChar"/>
              </w:rPr>
              <w:t xml:space="preserve">quota_exceeded</w:t>
            </w:r>
            <w:r>
              <w:t xml:space="preserve">؛ بقیه بی‌اثر</w:t>
            </w:r>
          </w:p>
        </w:tc>
        <w:tc>
          <w:tcPr>
            <w:tcW w:w="896" w:type="dxa"/>
          </w:tcPr>
          <w:p>
            <w:pPr/>
            <w:r>
              <w:t xml:space="preserve">۵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همسایهٔ پرسروصدا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بار سنگین یک سازمان رایگان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زمان پاسخ بقیه در حد مجاز</w:t>
            </w:r>
          </w:p>
        </w:tc>
        <w:tc>
          <w:tcPr>
            <w:tcW w:w="896" w:type="dxa"/>
          </w:tcPr>
          <w:p>
            <w:pPr/>
            <w:r>
              <w:t xml:space="preserve">۵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Migration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شکست در میانهٔ اجرا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ثبت خطا، اجرای دوبارهٔ امن</w:t>
            </w:r>
          </w:p>
        </w:tc>
        <w:tc>
          <w:tcPr>
            <w:tcW w:w="896" w:type="dxa"/>
          </w:tcPr>
          <w:p>
            <w:pPr/>
            <w:r>
              <w:t xml:space="preserve">۶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ارتقا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درخواست هم‌زمان در وضعیت </w:t>
            </w:r>
            <w:r>
              <w:rPr>
                <w:rStyle w:val="CodeChar"/>
                <w:rtl/>
              </w:rPr>
              <w:t xml:space="preserve">MIGRATING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بدون نوشتن در مبدأ یا مقصد</w:t>
            </w:r>
          </w:p>
        </w:tc>
        <w:tc>
          <w:tcPr>
            <w:tcW w:w="896" w:type="dxa"/>
          </w:tcPr>
          <w:p>
            <w:pPr/>
            <w:r>
              <w:t xml:space="preserve">۷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اشتراک</w:t>
            </w:r>
          </w:p>
        </w:tc>
        <w:tc>
          <w:tcPr>
            <w:tcW w:w="4016" w:type="dxa"/>
          </w:tcPr>
          <w:p>
            <w:pPr>
              <w:bidi/>
            </w:pPr>
            <w:r>
              <w:rPr>
                <w:rtl/>
              </w:rPr>
              <w:t xml:space="preserve">انقضا، Grace، ReadOnly</w:t>
            </w:r>
          </w:p>
        </w:tc>
        <w:tc>
          <w:tcPr>
            <w:tcW w:w="2452" w:type="dxa"/>
          </w:tcPr>
          <w:p>
            <w:pPr>
              <w:bidi/>
            </w:pPr>
            <w:r>
              <w:rPr>
                <w:rtl/>
              </w:rPr>
              <w:t xml:space="preserve">رفتار مصوب</w:t>
            </w:r>
          </w:p>
        </w:tc>
        <w:tc>
          <w:tcPr>
            <w:tcW w:w="896" w:type="dxa"/>
          </w:tcPr>
          <w:p>
            <w:pPr/>
            <w:r>
              <w:t xml:space="preserve">۷</w:t>
            </w:r>
          </w:p>
        </w:tc>
      </w:tr>
    </w:tbl>
    <w:p>
      <w:pPr>
        <w:pStyle w:val="Heading2"/>
        <w:bidi/>
      </w:pPr>
      <w:r>
        <w:rPr>
          <w:rtl/>
        </w:rPr>
        <w:t xml:space="preserve">ریسک‌ها و راهکارها</w:t>
      </w:r>
    </w:p>
    <w:p>
      <w:pPr>
        <w:bidi/>
      </w:pPr>
      <w:r>
        <w:rPr>
          <w:rtl/>
        </w:rPr>
        <w:t xml:space="preserve">بزرگ‌ترین ریسک، نشت دادهٔ مالی بین سازمان‌هاست؛ به همین دلیل جداسازی در دو لایه (Schema و Grant) و تست روی Oracle واقعی اجباری است. شدت‌ها برآورد اولیه‌اند.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0"/>
        <w:gridCol w:w="1556"/>
        <w:gridCol w:w="2087"/>
        <w:gridCol w:w="3116"/>
      </w:tblGrid>
      <w:tr>
        <w:trPr>
          <w:tblHeader/>
        </w:trPr>
        <w:tc>
          <w:tcPr>
            <w:tcW w:w="260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ریسک</w:t>
            </w:r>
          </w:p>
        </w:tc>
        <w:tc>
          <w:tcPr>
            <w:tcW w:w="155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شدت</w:t>
            </w:r>
          </w:p>
        </w:tc>
        <w:tc>
          <w:tcPr>
            <w:tcW w:w="208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پیامد</w:t>
            </w:r>
          </w:p>
        </w:tc>
        <w:tc>
          <w:tcPr>
            <w:tcW w:w="311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راهکار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نشت داده بین سازمان‌ها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بحرانی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افشای اطلاعات مالی، از دست رفتن اعتماد</w:t>
            </w:r>
          </w:p>
        </w:tc>
        <w:tc>
          <w:tcPr>
            <w:tcW w:w="3116" w:type="dxa"/>
          </w:tcPr>
          <w:p>
            <w:pPr/>
            <w:r>
              <w:t xml:space="preserve">Schema جدا + حساب Runtime محدود + ماتریس تست + Gate امنیتی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ناهمخوانی Schema در EF و SQL خام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بالا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فرم از یک سازمان، گزارش از دیگری</w:t>
            </w:r>
          </w:p>
        </w:tc>
        <w:tc>
          <w:tcPr>
            <w:tcW w:w="3116" w:type="dxa"/>
          </w:tcPr>
          <w:p>
            <w:pPr/>
            <w:r>
              <w:t xml:space="preserve">Interceptor واحد در فاز ۱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تست‌های SQLite به رفتار Oracle نابینا (#۲۵)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بالا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باگ جداسازی دیده نمی‌شود</w:t>
            </w:r>
          </w:p>
        </w:tc>
        <w:tc>
          <w:tcPr>
            <w:tcW w:w="3116" w:type="dxa"/>
          </w:tcPr>
          <w:p>
            <w:pPr>
              <w:bidi/>
            </w:pPr>
            <w:r>
              <w:rPr>
                <w:rtl/>
              </w:rPr>
              <w:t xml:space="preserve">پروژهٔ تست جدا روی Oracle در Container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کار پس‌زمینه بدون Tenant (Kafka، Import، Job)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بالا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ثبت سند در دیتابیس اشتباه</w:t>
            </w:r>
          </w:p>
        </w:tc>
        <w:tc>
          <w:tcPr>
            <w:tcW w:w="3116" w:type="dxa"/>
          </w:tcPr>
          <w:p>
            <w:pPr/>
            <w:r>
              <w:t xml:space="preserve">Tenant صریح، Fail-closed، Idempotency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انفجار تعداد Connection Pool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بالا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مصرف حافظه و نشست Oracle</w:t>
            </w:r>
          </w:p>
        </w:tc>
        <w:tc>
          <w:tcPr>
            <w:tcW w:w="3116" w:type="dxa"/>
          </w:tcPr>
          <w:p>
            <w:pPr/>
            <w:r>
              <w:t xml:space="preserve">Min Pool = 0 برای رایگان، آزمون بار، بررسی DRCP یا Proxy Authentication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Singletonها و کش بدون کلید Tenant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بالا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نمایش نقش یا تنظیمات سازمان دیگر</w:t>
            </w:r>
          </w:p>
        </w:tc>
        <w:tc>
          <w:tcPr>
            <w:tcW w:w="3116" w:type="dxa"/>
          </w:tcPr>
          <w:p>
            <w:pPr>
              <w:bidi/>
            </w:pPr>
            <w:r>
              <w:rPr>
                <w:rtl/>
              </w:rPr>
              <w:t xml:space="preserve">کلید </w:t>
            </w:r>
            <w:r>
              <w:rPr>
                <w:rStyle w:val="CodeChar"/>
                <w:rtl/>
              </w:rPr>
              <w:t xml:space="preserve">Tenant:{id}:v{ver}</w:t>
            </w:r>
            <w:r>
              <w:rPr>
                <w:rtl/>
              </w:rPr>
              <w:t xml:space="preserve"> + بازبینی همهٔ </w:t>
            </w:r>
            <w:r>
              <w:rPr>
                <w:rStyle w:val="CodeChar"/>
                <w:rtl/>
              </w:rPr>
              <w:t xml:space="preserve">AddSingleton</w:t>
            </w:r>
            <w:r>
              <w:rPr>
                <w:rtl/>
              </w:rPr>
              <w:t xml:space="preserve">ها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کندی پلن رایگان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متوسط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نارضایتی و ریزش</w:t>
            </w:r>
          </w:p>
        </w:tc>
        <w:tc>
          <w:tcPr>
            <w:tcW w:w="3116" w:type="dxa"/>
          </w:tcPr>
          <w:p>
            <w:pPr>
              <w:bidi/>
            </w:pPr>
            <w:r>
              <w:rPr>
                <w:rtl/>
              </w:rPr>
              <w:t xml:space="preserve">سهمیه، صف گزارش، Resource Manager، Sharding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اثر بار رایگان روی مشتری پولی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متوسط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نقض SLA</w:t>
            </w:r>
          </w:p>
        </w:tc>
        <w:tc>
          <w:tcPr>
            <w:tcW w:w="3116" w:type="dxa"/>
          </w:tcPr>
          <w:p>
            <w:pPr>
              <w:bidi/>
            </w:pPr>
            <w:r>
              <w:rPr>
                <w:rtl/>
              </w:rPr>
              <w:t xml:space="preserve">سرور جدا برای رایگان‌ها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شکست انتقال هنگام ارتقا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متوسط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از دست رفتن اعتماد مشتری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MIGRATING</w:t>
            </w:r>
            <w:r>
              <w:t xml:space="preserve">، اعتبارسنجی مالی، پنجرهٔ بازگشت ۱۴ روزه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اختلاف نسخهٔ Schema بین سازمان‌ها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متوسط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خطا برای یک سازمان</w:t>
            </w:r>
          </w:p>
        </w:tc>
        <w:tc>
          <w:tcPr>
            <w:tcW w:w="3116" w:type="dxa"/>
          </w:tcPr>
          <w:p>
            <w:pPr/>
            <w:r>
              <w:t xml:space="preserve">Runner، قفل، Expand/Contract، ۵۰۳ محلی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سیستم‌های دیگر که مستقیم به </w:t>
            </w:r>
            <w:r>
              <w:rPr>
                <w:rStyle w:val="CodeChar"/>
                <w:rtl/>
              </w:rPr>
              <w:t xml:space="preserve">CENTRALACCOUNT</w:t>
            </w:r>
            <w:r>
              <w:rPr>
                <w:rtl/>
              </w:rPr>
              <w:t xml:space="preserve"> وصل‌اند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متوسط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شکستن یکپارچگی با تغییر حساب اتصال</w:t>
            </w:r>
          </w:p>
        </w:tc>
        <w:tc>
          <w:tcPr>
            <w:tcW w:w="3116" w:type="dxa"/>
          </w:tcPr>
          <w:p>
            <w:pPr>
              <w:bidi/>
            </w:pPr>
            <w:r>
              <w:rPr>
                <w:rtl/>
              </w:rPr>
              <w:t xml:space="preserve">فهرست وابستگی‌ها در فاز ۰؛ تغییری در جدول‌ها نمی‌دهیم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رشد بی‌رویهٔ سازمان‌های رایگان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متوسط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هزینه و Migration کند</w:t>
            </w:r>
          </w:p>
        </w:tc>
        <w:tc>
          <w:tcPr>
            <w:tcW w:w="3116" w:type="dxa"/>
          </w:tcPr>
          <w:p>
            <w:pPr>
              <w:bidi/>
            </w:pPr>
            <w:r>
              <w:rPr>
                <w:rtl/>
              </w:rPr>
              <w:t xml:space="preserve">سیاست عدم فعالیت، سقف ظرفیت، اجرای موازی Migration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از دسترس خارج شدن Registry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متوسط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توقف همهٔ سازمان‌ها</w:t>
            </w:r>
          </w:p>
        </w:tc>
        <w:tc>
          <w:tcPr>
            <w:tcW w:w="3116" w:type="dxa"/>
          </w:tcPr>
          <w:p>
            <w:pPr>
              <w:bidi/>
            </w:pPr>
            <w:r>
              <w:rPr>
                <w:rtl/>
              </w:rPr>
              <w:t xml:space="preserve">کش کنترل‌شده، HA، بکاپ مستقل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هزینهٔ لایسنس Oracle (بیش از ۳ PDB، Resource Manager فقط در EE)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متوسط</w:t>
            </w:r>
          </w:p>
        </w:tc>
        <w:tc>
          <w:tcPr>
            <w:tcW w:w="2087" w:type="dxa"/>
          </w:tcPr>
          <w:p>
            <w:pPr>
              <w:bidi/>
            </w:pPr>
            <w:r>
              <w:rPr>
                <w:rtl/>
              </w:rPr>
              <w:t xml:space="preserve">زیان مدل درآمدی</w:t>
            </w:r>
          </w:p>
        </w:tc>
        <w:tc>
          <w:tcPr>
            <w:tcW w:w="3116" w:type="dxa"/>
          </w:tcPr>
          <w:p>
            <w:pPr>
              <w:bidi/>
            </w:pPr>
            <w:r>
              <w:rPr>
                <w:rtl/>
              </w:rPr>
              <w:t xml:space="preserve">بررسی رسمی لایسنس پیش از قیمت‌گذاری</w:t>
            </w:r>
          </w:p>
        </w:tc>
      </w:tr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 xml:space="preserve">گزارش کلان بین همهٔ سازمان‌ها</w:t>
            </w:r>
          </w:p>
        </w:tc>
        <w:tc>
          <w:tcPr>
            <w:tcW w:w="1556" w:type="dxa"/>
          </w:tcPr>
          <w:p>
            <w:pPr>
              <w:bidi/>
            </w:pPr>
            <w:r>
              <w:rPr>
                <w:rtl/>
              </w:rPr>
              <w:t xml:space="preserve">کم</w:t>
            </w:r>
          </w:p>
        </w:tc>
        <w:tc>
          <w:tcPr>
            <w:tcW w:w="2087" w:type="dxa"/>
          </w:tcPr>
          <w:p>
            <w:pPr/>
            <w:r>
              <w:t xml:space="preserve">Query سخت روی N Schema</w:t>
            </w:r>
          </w:p>
        </w:tc>
        <w:tc>
          <w:tcPr>
            <w:tcW w:w="3116" w:type="dxa"/>
          </w:tcPr>
          <w:p>
            <w:pPr>
              <w:bidi/>
            </w:pPr>
            <w:r>
              <w:rPr>
                <w:rtl/>
              </w:rPr>
              <w:t xml:space="preserve">جمع‌آوری مصرف در </w:t>
            </w:r>
            <w:r>
              <w:rPr>
                <w:rStyle w:val="CodeChar"/>
                <w:rtl/>
              </w:rPr>
              <w:t xml:space="preserve">TENANT_USAGE</w:t>
            </w:r>
          </w:p>
        </w:tc>
      </w:tr>
    </w:tbl>
    <w:p>
      <w:pPr>
        <w:pStyle w:val="Heading2"/>
        <w:bidi/>
      </w:pPr>
      <w:r>
        <w:rPr>
          <w:rtl/>
        </w:rPr>
        <w:t xml:space="preserve">تصمیم‌های باز پیش از شروع</w:t>
      </w:r>
    </w:p>
    <w:p>
      <w:pPr>
        <w:bidi/>
      </w:pPr>
      <w:r>
        <w:rPr>
          <w:rtl/>
        </w:rPr>
        <w:t xml:space="preserve">فاز ۱ بدون این تصمیم‌ها هم شروع‌شدنی است؛ از فاز ۳ به بعد همه لازم‌اند.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☐ میزبانی: SaaS مرکزی، On-Premise، یا هر دو (طرح هر دو را با یک کد پشتیبانی می‌کند)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☐ مقیاس: چند سازمان رایگان در دو سال آینده؟ (هزاران سازمان کوچک = بازنگری تصمیم)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☐ سهمیه‌های پلن رایگان: کاربر، واحد، سند ماهانه، فضا</w:t>
      </w:r>
    </w:p>
    <w:p>
      <w:pPr>
        <w:pStyle w:val="ListParagraph"/>
        <w:numPr>
          <w:ilvl w:val="0"/>
          <w:numId w:val="7"/>
        </w:numPr>
      </w:pPr>
      <w:r>
        <w:t xml:space="preserve">☐ Oracle: نسخه، ویرایش (Enterprise برای Resource Manager) و لایسنس Multitenant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☐ وابستگی‌ها: کدام سیستم‌ها مستقیم به Schema </w:t>
      </w:r>
      <w:r>
        <w:rPr>
          <w:rStyle w:val="CodeChar"/>
          <w:rtl/>
        </w:rPr>
        <w:t xml:space="preserve">CENTRALACCOUNT</w:t>
      </w:r>
      <w:r>
        <w:rPr>
          <w:rtl/>
        </w:rPr>
        <w:t xml:space="preserve"> وصل‌اند و کدام فقط از API یا Kafka؟</w:t>
      </w:r>
    </w:p>
    <w:p>
      <w:pPr>
        <w:pStyle w:val="ListParagraph"/>
        <w:numPr>
          <w:ilvl w:val="0"/>
          <w:numId w:val="7"/>
        </w:numPr>
      </w:pPr>
      <w:r>
        <w:t xml:space="preserve">☐ SLA هر پلن: RPO، RTO، دسترس‌پذیری و پنجرهٔ نگهداری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☐ سیاست دادهٔ پلن رایگان: مدت نگهداری، عدم فعالیت، خروجی گرفتن و حذف</w:t>
      </w:r>
    </w:p>
    <w:p>
      <w:pPr>
        <w:bidi/>
      </w:pPr>
      <w:r>
        <w:rPr>
          <w:b/>
          <w:rtl/>
        </w:rPr>
        <w:t xml:space="preserve">منابع:</w:t>
      </w:r>
      <w:r>
        <w:rPr>
          <w:rtl/>
        </w:rPr>
        <w:t xml:space="preserve"> سند «Multi_Tenancy_Oracle_DotNet نسخهٔ ۳»؛ </w:t>
      </w:r>
      <w:r>
        <w:rPr>
          <w:rStyle w:val="CodeChar"/>
          <w:rtl/>
        </w:rPr>
        <w:t xml:space="preserve">CLAUDE.md</w:t>
      </w:r>
      <w:r>
        <w:rPr>
          <w:rtl/>
        </w:rPr>
        <w:t xml:space="preserve"> پروژه؛ کد </w:t>
      </w:r>
      <w:r>
        <w:rPr>
          <w:rStyle w:val="CodeChar"/>
          <w:rtl/>
        </w:rPr>
        <w:t xml:space="preserve">LegacyDbContext.cs</w:t>
      </w:r>
      <w:r>
        <w:rPr>
          <w:rtl/>
        </w:rPr>
        <w:t xml:space="preserve">، </w:t>
      </w:r>
      <w:r>
        <w:rPr>
          <w:rStyle w:val="CodeChar"/>
          <w:rtl/>
        </w:rPr>
        <w:t xml:space="preserve">DependencyInjection.cs</w:t>
      </w:r>
      <w:r>
        <w:rPr>
          <w:rtl/>
        </w:rPr>
        <w:t xml:space="preserve">، </w:t>
      </w:r>
      <w:r>
        <w:rPr>
          <w:rStyle w:val="CodeChar"/>
          <w:rtl/>
        </w:rPr>
        <w:t xml:space="preserve">TrialBalanceReadRepository.cs</w:t>
      </w:r>
      <w:r>
        <w:rPr>
          <w:rtl/>
        </w:rPr>
        <w:t xml:space="preserve">، </w:t>
      </w:r>
      <w:r>
        <w:rPr>
          <w:rStyle w:val="CodeChar"/>
          <w:rtl/>
        </w:rPr>
        <w:t xml:space="preserve">appsettings.json</w:t>
      </w:r>
      <w:r>
        <w:rPr>
          <w:rtl/>
        </w:rPr>
        <w:t xml:space="preserve"> و </w:t>
      </w:r>
      <w:r>
        <w:rPr>
          <w:rStyle w:val="CodeChar"/>
          <w:rtl/>
        </w:rPr>
        <w:t xml:space="preserve">Program.cs</w:t>
      </w:r>
      <w:r>
        <w:rPr>
          <w:rtl/>
        </w:rP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طرح اجرایی Multi-Tenancy سامانهٔ حسابداری</dc:title>
  <dc:description>Claude Docs node/ecc160d9-a400@14 docx-w7</dc:description>
  <cp:revision>14</cp:revision>
</cp:coreProperties>
</file>