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8"/>
        </w:rPr>
        <w:t>RTMLib Mode Comparison Report</w:t>
      </w:r>
    </w:p>
    <w:p>
      <w:pPr>
        <w:jc w:val="center"/>
      </w:pPr>
      <w:r>
        <w:rPr>
          <w:color w:val="555E68"/>
          <w:sz w:val="22"/>
        </w:rPr>
        <w:t>Same input video: data/raw/videos/tredmil0.mp4 | Modes: lightweight, balanced, performance</w:t>
      </w:r>
    </w:p>
    <w:p>
      <w:r>
        <w:rPr>
          <w:b/>
          <w:color w:val="244B6B"/>
          <w:sz w:val="28"/>
        </w:rPr>
        <w:t>Key finding</w:t>
      </w:r>
    </w:p>
    <w:p>
      <w:pPr>
        <w:pStyle w:val="ListBullet"/>
        <w:spacing w:after="40"/>
      </w:pPr>
      <w:r>
        <w:rPr>
          <w:color w:val="1F2933"/>
          <w:sz w:val="20"/>
        </w:rPr>
        <w:t>All three runs loaded the same local ONNX detector and pose models: models/detection/yolox_m_humanart.onnx and models/pose/rtmpose_m_body7.onnx.</w:t>
      </w:r>
    </w:p>
    <w:p>
      <w:pPr>
        <w:pStyle w:val="ListBullet"/>
        <w:spacing w:after="40"/>
      </w:pPr>
      <w:r>
        <w:rPr>
          <w:color w:val="1F2933"/>
          <w:sz w:val="20"/>
        </w:rPr>
        <w:t>Because the configured local model files were identical, the keypoint CSVs and biomechanical feature CSVs are numerically identical across lightweight, balanced, and performance modes.</w:t>
      </w:r>
    </w:p>
    <w:p>
      <w:pPr>
        <w:pStyle w:val="ListBullet"/>
        <w:spacing w:after="40"/>
      </w:pPr>
      <w:r>
        <w:rPr>
          <w:color w:val="1F2933"/>
          <w:sz w:val="20"/>
        </w:rPr>
        <w:t>The measured timing differences should be treated as runtime observations for this machine and run order, not as proof of different model accuracy.</w:t>
      </w:r>
    </w:p>
    <w:p>
      <w:r>
        <w:rPr>
          <w:b/>
          <w:color w:val="244B6B"/>
          <w:sz w:val="28"/>
        </w:rPr>
        <w:t>Main comparison table</w:t>
      </w:r>
    </w:p>
    <w:tbl>
      <w:tblPr>
        <w:tblW w:type="auto" w:w="0"/>
        <w:jc w:val="center"/>
        <w:tblLayout w:type="fixed"/>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44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Mode</w:t>
            </w:r>
          </w:p>
        </w:tc>
        <w:tc>
          <w:tcPr>
            <w:tcW w:type="dxa" w:w="108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Pose sec</w:t>
            </w:r>
          </w:p>
        </w:tc>
        <w:tc>
          <w:tcPr>
            <w:tcW w:type="dxa" w:w="108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Pose FPS</w:t>
            </w:r>
          </w:p>
        </w:tc>
        <w:tc>
          <w:tcPr>
            <w:tcW w:type="dxa" w:w="108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Total sec</w:t>
            </w:r>
          </w:p>
        </w:tc>
        <w:tc>
          <w:tcPr>
            <w:tcW w:type="dxa" w:w="108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Total FPS</w:t>
            </w:r>
          </w:p>
        </w:tc>
        <w:tc>
          <w:tcPr>
            <w:tcW w:type="dxa" w:w="1512"/>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Keypoint rows</w:t>
            </w:r>
          </w:p>
        </w:tc>
        <w:tc>
          <w:tcPr>
            <w:tcW w:type="dxa" w:w="1296"/>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Avg conf</w:t>
            </w:r>
          </w:p>
        </w:tc>
        <w:tc>
          <w:tcPr>
            <w:tcW w:type="dxa" w:w="1152"/>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Low ratio</w:t>
            </w:r>
          </w:p>
        </w:tc>
        <w:tc>
          <w:tcPr>
            <w:tcW w:type="dxa" w:w="1368"/>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Feature rows</w:t>
            </w:r>
          </w:p>
        </w:tc>
      </w:tr>
      <w:tr>
        <w:tc>
          <w:tcPr>
            <w:tcW w:type="dxa" w:w="144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lightweight</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57.72</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15.38</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66.07</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13.44</w:t>
            </w:r>
          </w:p>
        </w:tc>
        <w:tc>
          <w:tcPr>
            <w:tcW w:type="dxa" w:w="1512"/>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15,096</w:t>
            </w:r>
          </w:p>
        </w:tc>
        <w:tc>
          <w:tcPr>
            <w:tcW w:type="dxa" w:w="1296"/>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0.843688</w:t>
            </w:r>
          </w:p>
        </w:tc>
        <w:tc>
          <w:tcPr>
            <w:tcW w:type="dxa" w:w="1152"/>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0.0000</w:t>
            </w:r>
          </w:p>
        </w:tc>
        <w:tc>
          <w:tcPr>
            <w:tcW w:type="dxa" w:w="1368"/>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888</w:t>
            </w:r>
          </w:p>
        </w:tc>
      </w:tr>
      <w:tr>
        <w:tc>
          <w:tcPr>
            <w:tcW w:type="dxa" w:w="144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balanced</w:t>
            </w:r>
          </w:p>
        </w:tc>
        <w:tc>
          <w:tcPr>
            <w:tcW w:type="dxa" w:w="108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51.77</w:t>
            </w:r>
          </w:p>
        </w:tc>
        <w:tc>
          <w:tcPr>
            <w:tcW w:type="dxa" w:w="108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17.15</w:t>
            </w:r>
          </w:p>
        </w:tc>
        <w:tc>
          <w:tcPr>
            <w:tcW w:type="dxa" w:w="108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55.96</w:t>
            </w:r>
          </w:p>
        </w:tc>
        <w:tc>
          <w:tcPr>
            <w:tcW w:type="dxa" w:w="108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15.87</w:t>
            </w:r>
          </w:p>
        </w:tc>
        <w:tc>
          <w:tcPr>
            <w:tcW w:type="dxa" w:w="1512"/>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15,096</w:t>
            </w:r>
          </w:p>
        </w:tc>
        <w:tc>
          <w:tcPr>
            <w:tcW w:type="dxa" w:w="1296"/>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0.843688</w:t>
            </w:r>
          </w:p>
        </w:tc>
        <w:tc>
          <w:tcPr>
            <w:tcW w:type="dxa" w:w="1152"/>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0.0000</w:t>
            </w:r>
          </w:p>
        </w:tc>
        <w:tc>
          <w:tcPr>
            <w:tcW w:type="dxa" w:w="1368"/>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888</w:t>
            </w:r>
          </w:p>
        </w:tc>
      </w:tr>
      <w:tr>
        <w:tc>
          <w:tcPr>
            <w:tcW w:type="dxa" w:w="144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performance</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49.32</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18.00</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53.21</w:t>
            </w:r>
          </w:p>
        </w:tc>
        <w:tc>
          <w:tcPr>
            <w:tcW w:type="dxa" w:w="108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16.69</w:t>
            </w:r>
          </w:p>
        </w:tc>
        <w:tc>
          <w:tcPr>
            <w:tcW w:type="dxa" w:w="1512"/>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15,096</w:t>
            </w:r>
          </w:p>
        </w:tc>
        <w:tc>
          <w:tcPr>
            <w:tcW w:type="dxa" w:w="1296"/>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0.843688</w:t>
            </w:r>
          </w:p>
        </w:tc>
        <w:tc>
          <w:tcPr>
            <w:tcW w:type="dxa" w:w="1152"/>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0.0000</w:t>
            </w:r>
          </w:p>
        </w:tc>
        <w:tc>
          <w:tcPr>
            <w:tcW w:type="dxa" w:w="1368"/>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888</w:t>
            </w:r>
          </w:p>
        </w:tc>
      </w:tr>
    </w:tbl>
    <w:p>
      <w:pPr>
        <w:pStyle w:val="CaptionSmall"/>
      </w:pPr>
      <w:r>
        <w:t>Table 1. Pipeline speed and pose-quality outputs for the three RTMLib mode settings.</w:t>
      </w:r>
    </w:p>
    <w:p>
      <w:pPr>
        <w:jc w:val="center"/>
      </w:pPr>
      <w:r>
        <w:drawing>
          <wp:inline xmlns:a="http://schemas.openxmlformats.org/drawingml/2006/main" xmlns:pic="http://schemas.openxmlformats.org/drawingml/2006/picture">
            <wp:extent cx="6309360" cy="2734056"/>
            <wp:docPr id="1" name="Picture 1"/>
            <wp:cNvGraphicFramePr>
              <a:graphicFrameLocks noChangeAspect="1"/>
            </wp:cNvGraphicFramePr>
            <a:graphic>
              <a:graphicData uri="http://schemas.openxmlformats.org/drawingml/2006/picture">
                <pic:pic>
                  <pic:nvPicPr>
                    <pic:cNvPr id="0" name="runtime_chart.png"/>
                    <pic:cNvPicPr/>
                  </pic:nvPicPr>
                  <pic:blipFill>
                    <a:blip r:embed="rId11"/>
                    <a:stretch>
                      <a:fillRect/>
                    </a:stretch>
                  </pic:blipFill>
                  <pic:spPr>
                    <a:xfrm>
                      <a:off x="0" y="0"/>
                      <a:ext cx="6309360" cy="2734056"/>
                    </a:xfrm>
                    <a:prstGeom prst="rect"/>
                  </pic:spPr>
                </pic:pic>
              </a:graphicData>
            </a:graphic>
          </wp:inline>
        </w:drawing>
      </w:r>
    </w:p>
    <w:p>
      <w:pPr>
        <w:pStyle w:val="CaptionSmall"/>
      </w:pPr>
      <w:r>
        <w:t>Figure 1. Total measured runtime for pose estimation, smoothing, and feature extraction.</w:t>
      </w:r>
    </w:p>
    <w:p>
      <w:r>
        <w:rPr>
          <w:b/>
          <w:color w:val="244B6B"/>
          <w:sz w:val="28"/>
        </w:rPr>
        <w:t>Biomechanical feature comparison</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c>
          <w:tcPr>
            <w:tcW w:type="dxa" w:w="1584"/>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6"/>
              </w:rPr>
              <w:t>Mode</w:t>
            </w:r>
          </w:p>
        </w:tc>
        <w:tc>
          <w:tcPr>
            <w:tcW w:type="dxa" w:w="180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6"/>
              </w:rPr>
              <w:t>Left knee mean</w:t>
            </w:r>
          </w:p>
        </w:tc>
        <w:tc>
          <w:tcPr>
            <w:tcW w:type="dxa" w:w="180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6"/>
              </w:rPr>
              <w:t>Right knee mean</w:t>
            </w:r>
          </w:p>
        </w:tc>
        <w:tc>
          <w:tcPr>
            <w:tcW w:type="dxa" w:w="180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6"/>
              </w:rPr>
              <w:t>Trunk lean mean</w:t>
            </w:r>
          </w:p>
        </w:tc>
        <w:tc>
          <w:tcPr>
            <w:tcW w:type="dxa" w:w="180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6"/>
              </w:rPr>
              <w:t>Knee diff mean</w:t>
            </w:r>
          </w:p>
        </w:tc>
        <w:tc>
          <w:tcPr>
            <w:tcW w:type="dxa" w:w="180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6"/>
              </w:rPr>
              <w:t>Hip diff mean</w:t>
            </w:r>
          </w:p>
        </w:tc>
      </w:tr>
      <w:tr>
        <w:tc>
          <w:tcPr>
            <w:tcW w:type="dxa" w:w="1584"/>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lightweight</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121.962</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139.678</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1.214</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49.033</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15.008</w:t>
            </w:r>
          </w:p>
        </w:tc>
      </w:tr>
      <w:tr>
        <w:tc>
          <w:tcPr>
            <w:tcW w:type="dxa" w:w="1584"/>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balanced</w:t>
            </w:r>
          </w:p>
        </w:tc>
        <w:tc>
          <w:tcPr>
            <w:tcW w:type="dxa" w:w="180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121.962</w:t>
            </w:r>
          </w:p>
        </w:tc>
        <w:tc>
          <w:tcPr>
            <w:tcW w:type="dxa" w:w="180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139.678</w:t>
            </w:r>
          </w:p>
        </w:tc>
        <w:tc>
          <w:tcPr>
            <w:tcW w:type="dxa" w:w="180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1.214</w:t>
            </w:r>
          </w:p>
        </w:tc>
        <w:tc>
          <w:tcPr>
            <w:tcW w:type="dxa" w:w="180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49.033</w:t>
            </w:r>
          </w:p>
        </w:tc>
        <w:tc>
          <w:tcPr>
            <w:tcW w:type="dxa" w:w="180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15.008</w:t>
            </w:r>
          </w:p>
        </w:tc>
      </w:tr>
      <w:tr>
        <w:tc>
          <w:tcPr>
            <w:tcW w:type="dxa" w:w="1584"/>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performance</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121.962</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139.678</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1.214</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49.033</w:t>
            </w:r>
          </w:p>
        </w:tc>
        <w:tc>
          <w:tcPr>
            <w:tcW w:type="dxa" w:w="180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6"/>
              </w:rPr>
              <w:t>15.008</w:t>
            </w:r>
          </w:p>
        </w:tc>
      </w:tr>
    </w:tbl>
    <w:p>
      <w:pPr>
        <w:pStyle w:val="CaptionSmall"/>
      </w:pPr>
      <w:r>
        <w:t>Table 2. Mean OpenCap-inspired 2D feature values. Identical values confirm that the same local ONNX models produced the same keypoints in all three runs.</w:t>
      </w:r>
    </w:p>
    <w:p>
      <w:r>
        <w:rPr>
          <w:b/>
          <w:color w:val="244B6B"/>
          <w:sz w:val="28"/>
        </w:rPr>
        <w:t>Generated outputs</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440"/>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Mode</w:t>
            </w:r>
          </w:p>
        </w:tc>
        <w:tc>
          <w:tcPr>
            <w:tcW w:type="dxa" w:w="3888"/>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Keypoints CSV</w:t>
            </w:r>
          </w:p>
        </w:tc>
        <w:tc>
          <w:tcPr>
            <w:tcW w:type="dxa" w:w="3744"/>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Quality report</w:t>
            </w:r>
          </w:p>
        </w:tc>
        <w:tc>
          <w:tcPr>
            <w:tcW w:type="dxa" w:w="3888"/>
            <w:shd w:fill="244B6B"/>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r>
              <w:rPr>
                <w:b/>
                <w:color w:val="FFFFFF"/>
                <w:sz w:val="14"/>
              </w:rPr>
              <w:t>Feature CSV</w:t>
            </w:r>
          </w:p>
        </w:tc>
      </w:tr>
      <w:tr>
        <w:tc>
          <w:tcPr>
            <w:tcW w:type="dxa" w:w="144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lightweight</w:t>
            </w:r>
          </w:p>
        </w:tc>
        <w:tc>
          <w:tcPr>
            <w:tcW w:type="dxa" w:w="3888"/>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data\processed\keypoints\keypoints_lightweight.csv</w:t>
            </w:r>
          </w:p>
        </w:tc>
        <w:tc>
          <w:tcPr>
            <w:tcW w:type="dxa" w:w="3744"/>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data\outputs\reports\mode_comparison\pose_quality_lightweight.csv</w:t>
            </w:r>
          </w:p>
        </w:tc>
        <w:tc>
          <w:tcPr>
            <w:tcW w:type="dxa" w:w="3888"/>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data\processed\biomechanics\opencap_style_features_lightweight.csv</w:t>
            </w:r>
          </w:p>
        </w:tc>
      </w:tr>
      <w:tr>
        <w:tc>
          <w:tcPr>
            <w:tcW w:type="dxa" w:w="1440"/>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balanced</w:t>
            </w:r>
          </w:p>
        </w:tc>
        <w:tc>
          <w:tcPr>
            <w:tcW w:type="dxa" w:w="3888"/>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data\processed\keypoints\keypoints_balanced.csv</w:t>
            </w:r>
          </w:p>
        </w:tc>
        <w:tc>
          <w:tcPr>
            <w:tcW w:type="dxa" w:w="3744"/>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data\outputs\reports\mode_comparison\pose_quality_balanced.csv</w:t>
            </w:r>
          </w:p>
        </w:tc>
        <w:tc>
          <w:tcPr>
            <w:tcW w:type="dxa" w:w="3888"/>
            <w:shd w:fill="F7FAFC"/>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data\processed\biomechanics\opencap_style_features_balanced.csv</w:t>
            </w:r>
          </w:p>
        </w:tc>
      </w:tr>
      <w:tr>
        <w:tc>
          <w:tcPr>
            <w:tcW w:type="dxa" w:w="1440"/>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performance</w:t>
            </w:r>
          </w:p>
        </w:tc>
        <w:tc>
          <w:tcPr>
            <w:tcW w:type="dxa" w:w="3888"/>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data\processed\keypoints\keypoints_performance.csv</w:t>
            </w:r>
          </w:p>
        </w:tc>
        <w:tc>
          <w:tcPr>
            <w:tcW w:type="dxa" w:w="3744"/>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data\outputs\reports\mode_comparison\pose_quality_performance.csv</w:t>
            </w:r>
          </w:p>
        </w:tc>
        <w:tc>
          <w:tcPr>
            <w:tcW w:type="dxa" w:w="3888"/>
            <w:vAlign w:val="center"/>
            <w:tcBorders>
              <w:top w:val="single" w:sz="4" w:color="D0D7DE"/>
              <w:left w:val="single" w:sz="4" w:color="D0D7DE"/>
              <w:bottom w:val="single" w:sz="4" w:color="D0D7DE"/>
              <w:right w:val="single" w:sz="4" w:color="D0D7DE"/>
            </w:tcBorders>
            <w:tcMar>
              <w:top w:w="80" w:type="dxa"/>
              <w:start w:w="100" w:type="dxa"/>
              <w:bottom w:w="80" w:type="dxa"/>
              <w:end w:w="100" w:type="dxa"/>
            </w:tcMar>
          </w:tcPr>
          <w:p>
            <w:pPr>
              <w:spacing w:after="0"/>
            </w:pPr>
            <w:r>
              <w:rPr>
                <w:color w:val="1F2933"/>
                <w:sz w:val="14"/>
              </w:rPr>
              <w:t>data\processed\biomechanics\opencap_style_features_performance.csv</w:t>
            </w:r>
          </w:p>
        </w:tc>
      </w:tr>
    </w:tbl>
    <w:p>
      <w:r>
        <w:rPr>
          <w:b/>
          <w:color w:val="244B6B"/>
          <w:sz w:val="28"/>
        </w:rPr>
        <w:t>Interpretation for presentation</w:t>
      </w:r>
    </w:p>
    <w:p>
      <w:pPr>
        <w:pStyle w:val="ListBullet"/>
        <w:spacing w:after="40"/>
      </w:pPr>
      <w:r>
        <w:rPr>
          <w:color w:val="1F2933"/>
          <w:sz w:val="20"/>
        </w:rPr>
        <w:t>If the goal is to compare true lightweight, balanced, and performance model presets, the next step is to run without forcing the same local model paths or to configure separate ONNX checkpoints per preset.</w:t>
      </w:r>
    </w:p>
    <w:p>
      <w:pPr>
        <w:pStyle w:val="ListBullet"/>
        <w:spacing w:after="40"/>
      </w:pPr>
      <w:r>
        <w:rPr>
          <w:color w:val="1F2933"/>
          <w:sz w:val="20"/>
        </w:rPr>
        <w:t>For the current reproducible local-model setup, balanced/performance/lightweight are useful CLI labels, but the actual loaded model files are the same in the logs.</w:t>
      </w:r>
    </w:p>
    <w:p>
      <w:pPr>
        <w:pStyle w:val="ListBullet"/>
        <w:spacing w:after="40"/>
      </w:pPr>
      <w:r>
        <w:rPr>
          <w:color w:val="1F2933"/>
          <w:sz w:val="20"/>
        </w:rPr>
        <w:t>Best conclusion: the pipeline is stable across mode settings under the current local model configuration; measured speed varies, while output quality and features are unchanged.</w:t>
      </w:r>
    </w:p>
    <w:p>
      <w:r>
        <w:rPr>
          <w:b/>
          <w:color w:val="244B6B"/>
          <w:sz w:val="24"/>
        </w:rPr>
        <w:t>References</w:t>
      </w:r>
    </w:p>
    <w:p>
      <w:pPr>
        <w:pStyle w:val="NoteSmall"/>
      </w:pPr>
      <w:r>
        <w:t>[1] RTMPose: https://arxiv.org/abs/2303.07399 | [2] RTMLib: https://github.com/Tau-J/rtmlib | [3] ONNX Runtime CUDA: https://onnxruntime.ai/docs/execution-providers/CUDA-ExecutionProvider.html | [4] pandas rolling: https://pandas.pydata.org/docs/reference/api/pandas.DataFrame.rolling.html</w:t>
      </w:r>
    </w:p>
    <w:sectPr w:rsidR="00FC693F" w:rsidRPr="0006063C" w:rsidSect="00034616">
      <w:headerReference w:type="default" r:id="rId9"/>
      <w:footerReference w:type="default" r:id="rId10"/>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Generated comparison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RTMLib mode comparison - treadmill video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44B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jc w:val="center"/>
    </w:pPr>
    <w:rPr>
      <w:i/>
      <w:color w:val="555E68"/>
      <w:sz w:val="17"/>
    </w:rPr>
  </w:style>
  <w:style w:type="paragraph" w:customStyle="1" w:styleId="NoteSmall">
    <w:name w:val="NoteSmall"/>
    <w:rPr>
      <w:color w:val="555E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