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
  <Relationship Id="rId3" Type="http://schemas.openxmlformats.org/package/2006/relationships/metadata/core-properties" Target="docProps/core.xml"/>
  <Relationship Id="rId4" Type="http://schemas.openxmlformats.org/officeDocument/2006/relationships/extended-properties" Target="docProps/app.xml"/>
  <Relationship Id="rId1" Type="http://schemas.openxmlformats.org/officeDocument/2006/relationships/officeDocument" Target="word/document.xml"/>
  <Relationship Id="rId2" Type="http://schemas.openxmlformats.org/package/2006/relationships/metadata/thumbnail" Target="docProps/thumbnail.jpeg"/>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E406E"/>
          <w:sz w:val="72"/>
        </w:rPr>
        <w:t>AI READY DATA</w:t>
      </w:r>
    </w:p>
    <w:p>
      <w:pPr>
        <w:jc w:val="center"/>
      </w:pPr>
      <w:r>
        <w:rPr>
          <w:rFonts w:ascii="Calibri" w:hAnsi="Calibri"/>
          <w:color w:val="2E5D9C"/>
          <w:sz w:val="36"/>
        </w:rPr>
        <w:t>Proof of Concept — Specification Document</w:t>
      </w:r>
    </w:p>
    <w:p/>
    <w:p>
      <w:pPr>
        <w:jc w:val="center"/>
      </w:pPr>
      <w:r>
        <w:rPr>
          <w:rFonts w:ascii="Calibri" w:hAnsi="Calibri"/>
          <w:i/>
          <w:color w:val="64748B"/>
          <w:sz w:val="24"/>
        </w:rPr>
        <w:t>9-Stage Automated Data Pipeline  ·  Enterprise ERP  ·  Healthcare / HIPAA  ·  Banking / AML</w:t>
      </w:r>
    </w:p>
    <w:p/>
    <w:p/>
    <w:p/>
    <w:tbl>
      <w:tblPr>
        <w:tblW w:type="auto" w:w="0"/>
        <w:jc w:val="center"/>
        <w:tblLook w:firstColumn="1" w:firstRow="1" w:lastColumn="0" w:lastRow="0" w:noHBand="0" w:noVBand="1" w:val="04A0"/>
      </w:tblPr>
      <w:tblGrid>
        <w:gridCol w:w="4680"/>
        <w:gridCol w:w="4680"/>
      </w:tblGrid>
      <w:tr>
        <w:tc>
          <w:tcPr>
            <w:tcW w:type="dxa" w:w="4680"/>
            <w:shd w:val="clear" w:color="auto" w:fill="F1F5F9"/>
            <w:tcMar>
              <w:top w:w="60" w:type="dxa"/>
              <w:bottom w:w="60" w:type="dxa"/>
              <w:left w:w="100" w:type="dxa"/>
              <w:right w:w="100" w:type="dxa"/>
            </w:tcMar>
            <w:tcBorders>
              <w:top w:val="single" w:sz="4" w:space="0" w:color="D1D5DB"/>
              <w:left w:val="single" w:sz="4" w:space="0" w:color="D1D5DB"/>
              <w:bottom w:val="single" w:sz="4" w:space="0" w:color="D1D5DB"/>
              <w:right w:val="single" w:sz="4" w:space="0" w:color="D1D5DB"/>
            </w:tcBorders>
          </w:tcPr>
          <w:p>
            <w:pPr>
              <w:jc w:val="left"/>
            </w:pPr>
            <w:r>
              <w:rPr>
                <w:rFonts w:ascii="Calibri" w:hAnsi="Calibri"/>
                <w:b/>
                <w:i w:val="0"/>
                <w:color w:val="1E406E"/>
                <w:sz w:val="20"/>
              </w:rPr>
              <w:t>Version</w:t>
            </w:r>
          </w:p>
        </w:tc>
        <w:tc>
          <w:tcPr>
            <w:tcW w:type="dxa" w:w="4680"/>
            <w:tcMar>
              <w:top w:w="60" w:type="dxa"/>
              <w:bottom w:w="60" w:type="dxa"/>
              <w:left w:w="100" w:type="dxa"/>
              <w:right w:w="100" w:type="dxa"/>
            </w:tcMar>
            <w:tcBorders>
              <w:top w:val="single" w:sz="4" w:space="0" w:color="D1D5DB"/>
              <w:left w:val="single" w:sz="4" w:space="0" w:color="D1D5DB"/>
              <w:bottom w:val="single" w:sz="4" w:space="0" w:color="D1D5DB"/>
              <w:right w:val="single" w:sz="4" w:space="0" w:color="D1D5DB"/>
            </w:tcBorders>
          </w:tcPr>
          <w:p>
            <w:pPr>
              <w:jc w:val="left"/>
            </w:pPr>
            <w:r>
              <w:rPr>
                <w:rFonts w:ascii="Calibri" w:hAnsi="Calibri"/>
                <w:b w:val="0"/>
                <w:i w:val="0"/>
                <w:color w:val="1E293B"/>
                <w:sz w:val="20"/>
              </w:rPr>
              <w:t>1.0</w:t>
            </w:r>
          </w:p>
        </w:tc>
      </w:tr>
      <w:tr>
        <w:tc>
          <w:tcPr>
            <w:tcW w:type="dxa" w:w="4680"/>
            <w:shd w:val="clear" w:color="auto" w:fill="F1F5F9"/>
            <w:tcMar>
              <w:top w:w="60" w:type="dxa"/>
              <w:bottom w:w="60" w:type="dxa"/>
              <w:left w:w="100" w:type="dxa"/>
              <w:right w:w="100" w:type="dxa"/>
            </w:tcMar>
            <w:tcBorders>
              <w:top w:val="single" w:sz="4" w:space="0" w:color="D1D5DB"/>
              <w:left w:val="single" w:sz="4" w:space="0" w:color="D1D5DB"/>
              <w:bottom w:val="single" w:sz="4" w:space="0" w:color="D1D5DB"/>
              <w:right w:val="single" w:sz="4" w:space="0" w:color="D1D5DB"/>
            </w:tcBorders>
          </w:tcPr>
          <w:p>
            <w:pPr>
              <w:jc w:val="left"/>
            </w:pPr>
            <w:r>
              <w:rPr>
                <w:rFonts w:ascii="Calibri" w:hAnsi="Calibri"/>
                <w:b/>
                <w:i w:val="0"/>
                <w:color w:val="1E406E"/>
                <w:sz w:val="20"/>
              </w:rPr>
              <w:t>Date</w:t>
            </w:r>
          </w:p>
        </w:tc>
        <w:tc>
          <w:tcPr>
            <w:tcW w:type="dxa" w:w="4680"/>
            <w:tcMar>
              <w:top w:w="60" w:type="dxa"/>
              <w:bottom w:w="60" w:type="dxa"/>
              <w:left w:w="100" w:type="dxa"/>
              <w:right w:w="100" w:type="dxa"/>
            </w:tcMar>
            <w:tcBorders>
              <w:top w:val="single" w:sz="4" w:space="0" w:color="D1D5DB"/>
              <w:left w:val="single" w:sz="4" w:space="0" w:color="D1D5DB"/>
              <w:bottom w:val="single" w:sz="4" w:space="0" w:color="D1D5DB"/>
              <w:right w:val="single" w:sz="4" w:space="0" w:color="D1D5DB"/>
            </w:tcBorders>
          </w:tcPr>
          <w:p>
            <w:pPr>
              <w:jc w:val="left"/>
            </w:pPr>
            <w:r>
              <w:rPr>
                <w:rFonts w:ascii="Calibri" w:hAnsi="Calibri"/>
                <w:b w:val="0"/>
                <w:i w:val="0"/>
                <w:color w:val="1E293B"/>
                <w:sz w:val="20"/>
              </w:rPr>
              <w:t>May 06, 2026</w:t>
            </w:r>
          </w:p>
        </w:tc>
      </w:tr>
      <w:tr>
        <w:tc>
          <w:tcPr>
            <w:tcW w:type="dxa" w:w="4680"/>
            <w:shd w:val="clear" w:color="auto" w:fill="F1F5F9"/>
            <w:tcMar>
              <w:top w:w="60" w:type="dxa"/>
              <w:bottom w:w="60" w:type="dxa"/>
              <w:left w:w="100" w:type="dxa"/>
              <w:right w:w="100" w:type="dxa"/>
            </w:tcMar>
            <w:tcBorders>
              <w:top w:val="single" w:sz="4" w:space="0" w:color="D1D5DB"/>
              <w:left w:val="single" w:sz="4" w:space="0" w:color="D1D5DB"/>
              <w:bottom w:val="single" w:sz="4" w:space="0" w:color="D1D5DB"/>
              <w:right w:val="single" w:sz="4" w:space="0" w:color="D1D5DB"/>
            </w:tcBorders>
          </w:tcPr>
          <w:p>
            <w:pPr>
              <w:jc w:val="left"/>
            </w:pPr>
            <w:r>
              <w:rPr>
                <w:rFonts w:ascii="Calibri" w:hAnsi="Calibri"/>
                <w:b/>
                <w:i w:val="0"/>
                <w:color w:val="1E406E"/>
                <w:sz w:val="20"/>
              </w:rPr>
              <w:t>Status</w:t>
            </w:r>
          </w:p>
        </w:tc>
        <w:tc>
          <w:tcPr>
            <w:tcW w:type="dxa" w:w="4680"/>
            <w:tcMar>
              <w:top w:w="60" w:type="dxa"/>
              <w:bottom w:w="60" w:type="dxa"/>
              <w:left w:w="100" w:type="dxa"/>
              <w:right w:w="100" w:type="dxa"/>
            </w:tcMar>
            <w:tcBorders>
              <w:top w:val="single" w:sz="4" w:space="0" w:color="D1D5DB"/>
              <w:left w:val="single" w:sz="4" w:space="0" w:color="D1D5DB"/>
              <w:bottom w:val="single" w:sz="4" w:space="0" w:color="D1D5DB"/>
              <w:right w:val="single" w:sz="4" w:space="0" w:color="D1D5DB"/>
            </w:tcBorders>
          </w:tcPr>
          <w:p>
            <w:pPr>
              <w:jc w:val="left"/>
            </w:pPr>
            <w:r>
              <w:rPr>
                <w:rFonts w:ascii="Calibri" w:hAnsi="Calibri"/>
                <w:b w:val="0"/>
                <w:i w:val="0"/>
                <w:color w:val="1E293B"/>
                <w:sz w:val="20"/>
              </w:rPr>
              <w:t>Draft — For Review</w:t>
            </w:r>
          </w:p>
        </w:tc>
      </w:tr>
      <w:tr>
        <w:tc>
          <w:tcPr>
            <w:tcW w:type="dxa" w:w="4680"/>
            <w:shd w:val="clear" w:color="auto" w:fill="F1F5F9"/>
            <w:tcMar>
              <w:top w:w="60" w:type="dxa"/>
              <w:bottom w:w="60" w:type="dxa"/>
              <w:left w:w="100" w:type="dxa"/>
              <w:right w:w="100" w:type="dxa"/>
            </w:tcMar>
            <w:tcBorders>
              <w:top w:val="single" w:sz="4" w:space="0" w:color="D1D5DB"/>
              <w:left w:val="single" w:sz="4" w:space="0" w:color="D1D5DB"/>
              <w:bottom w:val="single" w:sz="4" w:space="0" w:color="D1D5DB"/>
              <w:right w:val="single" w:sz="4" w:space="0" w:color="D1D5DB"/>
            </w:tcBorders>
          </w:tcPr>
          <w:p>
            <w:pPr>
              <w:jc w:val="left"/>
            </w:pPr>
            <w:r>
              <w:rPr>
                <w:rFonts w:ascii="Calibri" w:hAnsi="Calibri"/>
                <w:b/>
                <w:i w:val="0"/>
                <w:color w:val="1E406E"/>
                <w:sz w:val="20"/>
              </w:rPr>
              <w:t>GitHub</w:t>
            </w:r>
          </w:p>
        </w:tc>
        <w:tc>
          <w:tcPr>
            <w:tcW w:type="dxa" w:w="4680"/>
            <w:tcMar>
              <w:top w:w="60" w:type="dxa"/>
              <w:bottom w:w="60" w:type="dxa"/>
              <w:left w:w="100" w:type="dxa"/>
              <w:right w:w="100" w:type="dxa"/>
            </w:tcMar>
            <w:tcBorders>
              <w:top w:val="single" w:sz="4" w:space="0" w:color="D1D5DB"/>
              <w:left w:val="single" w:sz="4" w:space="0" w:color="D1D5DB"/>
              <w:bottom w:val="single" w:sz="4" w:space="0" w:color="D1D5DB"/>
              <w:right w:val="single" w:sz="4" w:space="0" w:color="D1D5DB"/>
            </w:tcBorders>
          </w:tcPr>
          <w:p>
            <w:pPr>
              <w:jc w:val="left"/>
            </w:pPr>
            <w:r>
              <w:rPr>
                <w:rFonts w:ascii="Calibri" w:hAnsi="Calibri"/>
                <w:b w:val="0"/>
                <w:i w:val="0"/>
                <w:color w:val="1E293B"/>
                <w:sz w:val="20"/>
              </w:rPr>
              <w:t>https://github.com/mehertpm/AI-Ready-Data</w:t>
            </w:r>
          </w:p>
        </w:tc>
      </w:tr>
    </w:tbl>
    <w:p>
      <w:r>
        <w:br w:type="page"/>
      </w:r>
    </w:p>
    <w:p>
      <w:pPr>
        <w:pStyle w:val="Heading1"/>
        <w:jc w:val="left"/>
      </w:pPr>
      <w:r>
        <w:rPr>
          <w:rFonts w:ascii="Calibri" w:hAnsi="Calibri"/>
          <w:b/>
          <w:color w:val="1E406E"/>
          <w:sz w:val="36"/>
        </w:rPr>
        <w:t>1. Executive Summary</w:t>
      </w:r>
    </w:p>
    <w:p>
      <w:pPr>
        <w:spacing w:before="80" w:after="80"/>
        <w:pBdr>
          <w:bottom w:val="single" w:sz="6" w:space="1" w:color="CBD5E1"/>
        </w:pBdr>
      </w:pPr>
    </w:p>
    <w:p>
      <w:pPr>
        <w:spacing w:after="120"/>
      </w:pPr>
      <w:r>
        <w:rPr>
          <w:rFonts w:ascii="Calibri" w:hAnsi="Calibri"/>
          <w:b w:val="0"/>
          <w:i w:val="0"/>
          <w:sz w:val="20"/>
        </w:rPr>
        <w:t>AI Ready Data is a fully automated, 9-stage data pipeline proof of concept that demonstrates how organisations can transform raw legacy data into AI-ready, governed, and compliance-certified assets. The POC spans three industry verticals — Enterprise ERP, Healthcare / HIPAA, and Banking / AML — each running as a self-contained pipeline with domain-specific data quality rules, compliance scoring, and a live WebSocket dashboard that shows data quality rise in real time from Bronze through to Platinum.</w:t>
      </w:r>
    </w:p>
    <w:p>
      <w:pPr>
        <w:spacing w:after="120"/>
      </w:pPr>
      <w:r>
        <w:rPr>
          <w:rFonts w:ascii="Calibri" w:hAnsi="Calibri"/>
          <w:b w:val="0"/>
          <w:i w:val="0"/>
          <w:sz w:val="20"/>
        </w:rPr>
        <w:t>Each pipeline simulates a realistic legacy source database (Oracle / Epic EHR / FIS core banking), injects representative data quality issues, then automatically moves data through four medallion layers while computing an AI Readiness Score and a domain compliance score (HIPAA or Regulatory) per table at every stage. A dedicated improvement roadmap panel shows exactly what steps are needed to advance each table from its current layer to Platinum.</w:t>
      </w:r>
    </w:p>
    <w:p/>
    <w:p>
      <w:pPr>
        <w:pStyle w:val="Heading2"/>
        <w:jc w:val="left"/>
      </w:pPr>
      <w:r>
        <w:rPr>
          <w:rFonts w:ascii="Calibri" w:hAnsi="Calibri"/>
          <w:b/>
          <w:color w:val="2E5D9C"/>
          <w:sz w:val="28"/>
        </w:rPr>
        <w:t>Key Highlights</w:t>
      </w:r>
    </w:p>
    <w:tbl>
      <w:tblPr>
        <w:tblW w:type="auto" w:w="0"/>
        <w:jc w:val="left"/>
        <w:tblLook w:firstColumn="1" w:firstRow="1" w:lastColumn="0" w:lastRow="0" w:noHBand="0" w:noVBand="1" w:val="04A0"/>
      </w:tblPr>
      <w:tblGrid>
        <w:gridCol w:w="4680"/>
        <w:gridCol w:w="4680"/>
      </w:tblGrid>
      <w:tr>
        <w:tc>
          <w:tcPr>
            <w:tcW w:type="dxa" w:w="288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Feature</w:t>
            </w:r>
          </w:p>
        </w:tc>
        <w:tc>
          <w:tcPr>
            <w:tcW w:type="dxa" w:w="648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Description</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Three vertical POCs</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Enterprise ERP, Healthcare/HIPAA, and Banking/AML — each with domain-specific rules and compliance scores</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9 automated stages</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Discovery → Assessment → Architecture → Extraction → Transform → Data Quality → Governance → AI Optimize → Monitoring</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Medallion architecture</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Bronze → Silver → Gold → Platinum progression with per-table AI Readiness Scores (0–100)</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Compliance scoring</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HIPAA Safe Harbor de-identification for healthcare; BSA/AML, PCI-DSS, KYC/CDD scoring for banking</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Improvement roadmap</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Actionable, per-table steps showing exactly what to fix at each layer transition</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Live dashboards</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Real-time WebSocket streaming of pipeline progress, log events, DQ rule results, and lineage</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Self-contained demo</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Fully browser-hosted simulation at demo/index.html — no backend required for presentations</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~315K simulated rows</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90,575 ERP · 137,397 Healthcare · ~125,662 Banking records with injected, realistic DQ issues</w:t>
            </w:r>
          </w:p>
        </w:tc>
      </w:tr>
    </w:tbl>
    <w:p/>
    <w:p>
      <w:r>
        <w:br w:type="page"/>
      </w:r>
    </w:p>
    <w:p>
      <w:pPr>
        <w:pStyle w:val="Heading1"/>
        <w:jc w:val="left"/>
      </w:pPr>
      <w:r>
        <w:rPr>
          <w:rFonts w:ascii="Calibri" w:hAnsi="Calibri"/>
          <w:b/>
          <w:color w:val="1E406E"/>
          <w:sz w:val="36"/>
        </w:rPr>
        <w:t>2. Scope &amp; Objectives</w:t>
      </w:r>
    </w:p>
    <w:p>
      <w:pPr>
        <w:spacing w:before="80" w:after="80"/>
        <w:pBdr>
          <w:bottom w:val="single" w:sz="6" w:space="1" w:color="CBD5E1"/>
        </w:pBdr>
      </w:pPr>
    </w:p>
    <w:p>
      <w:pPr>
        <w:pStyle w:val="Heading2"/>
        <w:jc w:val="left"/>
      </w:pPr>
      <w:r>
        <w:rPr>
          <w:rFonts w:ascii="Calibri" w:hAnsi="Calibri"/>
          <w:b/>
          <w:color w:val="2E5D9C"/>
          <w:sz w:val="28"/>
        </w:rPr>
        <w:t>2.1  Purpose</w:t>
      </w:r>
    </w:p>
    <w:p>
      <w:pPr>
        <w:spacing w:after="120"/>
      </w:pPr>
      <w:r>
        <w:rPr>
          <w:rFonts w:ascii="Calibri" w:hAnsi="Calibri"/>
          <w:b w:val="0"/>
          <w:i w:val="0"/>
          <w:sz w:val="20"/>
        </w:rPr>
        <w:t>This POC was built to demonstrate an end-to-end, fully automated data pipeline that takes raw, quality-degraded data from legacy systems and produces AI-ready, compliance-certified data assets — without requiring cloud credentials, proprietary tools, or a build pipeline. It serves as a compelling sales and technical demonstration for data platform modernisation engagements.</w:t>
      </w:r>
    </w:p>
    <w:p>
      <w:pPr>
        <w:pStyle w:val="Heading2"/>
        <w:jc w:val="left"/>
      </w:pPr>
      <w:r>
        <w:rPr>
          <w:rFonts w:ascii="Calibri" w:hAnsi="Calibri"/>
          <w:b/>
          <w:color w:val="2E5D9C"/>
          <w:sz w:val="28"/>
        </w:rPr>
        <w:t>2.2  In Scope</w:t>
      </w:r>
    </w:p>
    <w:p>
      <w:pPr>
        <w:pStyle w:val="ListBullet"/>
        <w:spacing w:after="60"/>
        <w:ind w:left="360"/>
      </w:pPr>
      <w:r>
        <w:rPr>
          <w:rFonts w:ascii="Calibri" w:hAnsi="Calibri"/>
          <w:b w:val="0"/>
          <w:i w:val="0"/>
          <w:color w:val="1E293B"/>
          <w:sz w:val="20"/>
        </w:rPr>
        <w:t>Three vertical POCs: Enterprise ERP, Healthcare / HIPAA, Banking / AML</w:t>
      </w:r>
    </w:p>
    <w:p>
      <w:pPr>
        <w:pStyle w:val="ListBullet"/>
        <w:spacing w:after="60"/>
        <w:ind w:left="360"/>
      </w:pPr>
      <w:r>
        <w:rPr>
          <w:rFonts w:ascii="Calibri" w:hAnsi="Calibri"/>
          <w:b w:val="0"/>
          <w:i w:val="0"/>
          <w:color w:val="1E293B"/>
          <w:sz w:val="20"/>
        </w:rPr>
        <w:t>9-stage pipeline simulation with async WebSocket live updates</w:t>
      </w:r>
    </w:p>
    <w:p>
      <w:pPr>
        <w:pStyle w:val="ListBullet"/>
        <w:spacing w:after="60"/>
        <w:ind w:left="360"/>
      </w:pPr>
      <w:r>
        <w:rPr>
          <w:rFonts w:ascii="Calibri" w:hAnsi="Calibri"/>
          <w:b w:val="0"/>
          <w:i w:val="0"/>
          <w:color w:val="1E293B"/>
          <w:sz w:val="20"/>
        </w:rPr>
        <w:t>Bronze → Silver → Gold → Platinum medallion progression</w:t>
      </w:r>
    </w:p>
    <w:p>
      <w:pPr>
        <w:pStyle w:val="ListBullet"/>
        <w:spacing w:after="60"/>
        <w:ind w:left="360"/>
      </w:pPr>
      <w:r>
        <w:rPr>
          <w:rFonts w:ascii="Calibri" w:hAnsi="Calibri"/>
          <w:b w:val="0"/>
          <w:i w:val="0"/>
          <w:color w:val="1E293B"/>
          <w:sz w:val="20"/>
        </w:rPr>
        <w:t>Dual scoring: AI Readiness Score + domain compliance score per table</w:t>
      </w:r>
    </w:p>
    <w:p>
      <w:pPr>
        <w:pStyle w:val="ListBullet"/>
        <w:spacing w:after="60"/>
        <w:ind w:left="360"/>
      </w:pPr>
      <w:r>
        <w:rPr>
          <w:rFonts w:ascii="Calibri" w:hAnsi="Calibri"/>
          <w:b w:val="0"/>
          <w:i w:val="0"/>
          <w:color w:val="1E293B"/>
          <w:sz w:val="20"/>
        </w:rPr>
        <w:t>7 domain-specific data quality rule types per vertical</w:t>
      </w:r>
    </w:p>
    <w:p>
      <w:pPr>
        <w:pStyle w:val="ListBullet"/>
        <w:spacing w:after="60"/>
        <w:ind w:left="360"/>
      </w:pPr>
      <w:r>
        <w:rPr>
          <w:rFonts w:ascii="Calibri" w:hAnsi="Calibri"/>
          <w:b w:val="0"/>
          <w:i w:val="0"/>
          <w:color w:val="1E293B"/>
          <w:sz w:val="20"/>
        </w:rPr>
        <w:t>Per-table improvement roadmap with actionable steps per layer</w:t>
      </w:r>
    </w:p>
    <w:p>
      <w:pPr>
        <w:pStyle w:val="ListBullet"/>
        <w:spacing w:after="60"/>
        <w:ind w:left="360"/>
      </w:pPr>
      <w:r>
        <w:rPr>
          <w:rFonts w:ascii="Calibri" w:hAnsi="Calibri"/>
          <w:b w:val="0"/>
          <w:i w:val="0"/>
          <w:color w:val="1E293B"/>
          <w:sz w:val="20"/>
        </w:rPr>
        <w:t>Data lineage tracking (source → bronze → silver → gold)</w:t>
      </w:r>
    </w:p>
    <w:p>
      <w:pPr>
        <w:pStyle w:val="ListBullet"/>
        <w:spacing w:after="60"/>
        <w:ind w:left="360"/>
      </w:pPr>
      <w:r>
        <w:rPr>
          <w:rFonts w:ascii="Calibri" w:hAnsi="Calibri"/>
          <w:b w:val="0"/>
          <w:i w:val="0"/>
          <w:color w:val="1E293B"/>
          <w:sz w:val="20"/>
        </w:rPr>
        <w:t>Self-contained browser demo (no server required) with all three verticals</w:t>
      </w:r>
    </w:p>
    <w:p>
      <w:pPr>
        <w:pStyle w:val="ListBullet"/>
        <w:spacing w:after="60"/>
        <w:ind w:left="360"/>
      </w:pPr>
      <w:r>
        <w:rPr>
          <w:rFonts w:ascii="Calibri" w:hAnsi="Calibri"/>
          <w:b w:val="0"/>
          <w:i w:val="0"/>
          <w:color w:val="1E293B"/>
          <w:sz w:val="20"/>
        </w:rPr>
        <w:t>GitHub repository with full source code at https://github.com/mehertpm/AI-Ready-Data</w:t>
      </w:r>
    </w:p>
    <w:p>
      <w:pPr>
        <w:pStyle w:val="ListBullet"/>
        <w:spacing w:after="60"/>
        <w:ind w:left="360"/>
      </w:pPr>
      <w:r>
        <w:rPr>
          <w:rFonts w:ascii="Calibri" w:hAnsi="Calibri"/>
          <w:b w:val="0"/>
          <w:i w:val="0"/>
          <w:color w:val="1E293B"/>
          <w:sz w:val="20"/>
        </w:rPr>
        <w:t>Vercel deployment configuration for the static demo</w:t>
      </w:r>
    </w:p>
    <w:p>
      <w:pPr>
        <w:pStyle w:val="Heading2"/>
        <w:jc w:val="left"/>
      </w:pPr>
      <w:r>
        <w:rPr>
          <w:rFonts w:ascii="Calibri" w:hAnsi="Calibri"/>
          <w:b/>
          <w:color w:val="2E5D9C"/>
          <w:sz w:val="28"/>
        </w:rPr>
        <w:t>2.3  Out of Scope</w:t>
      </w:r>
    </w:p>
    <w:p>
      <w:pPr>
        <w:pStyle w:val="ListBullet"/>
        <w:spacing w:after="60"/>
        <w:ind w:left="360"/>
      </w:pPr>
      <w:r>
        <w:rPr>
          <w:rFonts w:ascii="Calibri" w:hAnsi="Calibri"/>
          <w:b w:val="0"/>
          <w:i w:val="0"/>
          <w:color w:val="1E293B"/>
          <w:sz w:val="20"/>
        </w:rPr>
        <w:t>Real cloud connectivity (Azure, AWS, GCP) — simulated locally</w:t>
      </w:r>
    </w:p>
    <w:p>
      <w:pPr>
        <w:pStyle w:val="ListBullet"/>
        <w:spacing w:after="60"/>
        <w:ind w:left="360"/>
      </w:pPr>
      <w:r>
        <w:rPr>
          <w:rFonts w:ascii="Calibri" w:hAnsi="Calibri"/>
          <w:b w:val="0"/>
          <w:i w:val="0"/>
          <w:color w:val="1E293B"/>
          <w:sz w:val="20"/>
        </w:rPr>
        <w:t>Production-grade authentication, secrets management, or encryption</w:t>
      </w:r>
    </w:p>
    <w:p>
      <w:pPr>
        <w:pStyle w:val="ListBullet"/>
        <w:spacing w:after="60"/>
        <w:ind w:left="360"/>
      </w:pPr>
      <w:r>
        <w:rPr>
          <w:rFonts w:ascii="Calibri" w:hAnsi="Calibri"/>
          <w:b w:val="0"/>
          <w:i w:val="0"/>
          <w:color w:val="1E293B"/>
          <w:sz w:val="20"/>
        </w:rPr>
        <w:t>Actual Oracle JDBC / Epic API / FIS API connections</w:t>
      </w:r>
    </w:p>
    <w:p>
      <w:pPr>
        <w:pStyle w:val="ListBullet"/>
        <w:spacing w:after="60"/>
        <w:ind w:left="360"/>
      </w:pPr>
      <w:r>
        <w:rPr>
          <w:rFonts w:ascii="Calibri" w:hAnsi="Calibri"/>
          <w:b w:val="0"/>
          <w:i w:val="0"/>
          <w:color w:val="1E293B"/>
          <w:sz w:val="20"/>
        </w:rPr>
        <w:t>Real HIPAA, PCI-DSS, or BSA certification</w:t>
      </w:r>
    </w:p>
    <w:p>
      <w:pPr>
        <w:pStyle w:val="ListBullet"/>
        <w:spacing w:after="60"/>
        <w:ind w:left="360"/>
      </w:pPr>
      <w:r>
        <w:rPr>
          <w:rFonts w:ascii="Calibri" w:hAnsi="Calibri"/>
          <w:b w:val="0"/>
          <w:i w:val="0"/>
          <w:color w:val="1E293B"/>
          <w:sz w:val="20"/>
        </w:rPr>
        <w:t>Multi-user access control or role-based permissions</w:t>
      </w:r>
    </w:p>
    <w:p>
      <w:r>
        <w:br w:type="page"/>
      </w:r>
    </w:p>
    <w:p>
      <w:pPr>
        <w:pStyle w:val="Heading1"/>
        <w:jc w:val="left"/>
      </w:pPr>
      <w:r>
        <w:rPr>
          <w:rFonts w:ascii="Calibri" w:hAnsi="Calibri"/>
          <w:b/>
          <w:color w:val="1E406E"/>
          <w:sz w:val="36"/>
        </w:rPr>
        <w:t>3. Architecture Overview</w:t>
      </w:r>
    </w:p>
    <w:p>
      <w:pPr>
        <w:spacing w:before="80" w:after="80"/>
        <w:pBdr>
          <w:bottom w:val="single" w:sz="6" w:space="1" w:color="CBD5E1"/>
        </w:pBdr>
      </w:pPr>
    </w:p>
    <w:p>
      <w:pPr>
        <w:pStyle w:val="Heading2"/>
        <w:jc w:val="left"/>
      </w:pPr>
      <w:r>
        <w:rPr>
          <w:rFonts w:ascii="Calibri" w:hAnsi="Calibri"/>
          <w:b/>
          <w:color w:val="2E5D9C"/>
          <w:sz w:val="28"/>
        </w:rPr>
        <w:t>3.1  High-Level Architecture</w:t>
      </w:r>
    </w:p>
    <w:p>
      <w:pPr>
        <w:spacing w:after="120"/>
      </w:pPr>
      <w:r>
        <w:rPr>
          <w:rFonts w:ascii="Calibri" w:hAnsi="Calibri"/>
          <w:b w:val="0"/>
          <w:i w:val="0"/>
          <w:sz w:val="20"/>
        </w:rPr>
        <w:t>Each vertical POC is a self-contained application consisting of a FastAPI async backend, a React 18 single-page frontend, and a SQLite database that simulates the legacy source system with pre-injected data quality issues. All three run independently on separate ports and share no state.</w:t>
      </w:r>
    </w:p>
    <w:tbl>
      <w:tblPr>
        <w:tblW w:type="auto" w:w="0"/>
        <w:jc w:val="left"/>
        <w:tblLook w:firstColumn="1" w:firstRow="1" w:lastColumn="0" w:lastRow="0" w:noHBand="0" w:noVBand="1" w:val="04A0"/>
      </w:tblPr>
      <w:tblGrid>
        <w:gridCol w:w="1872"/>
        <w:gridCol w:w="1872"/>
        <w:gridCol w:w="1872"/>
        <w:gridCol w:w="1872"/>
        <w:gridCol w:w="1872"/>
      </w:tblGrid>
      <w:tr>
        <w:tc>
          <w:tcPr>
            <w:tcW w:type="dxa" w:w="2304"/>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POC Vertical</w:t>
            </w:r>
          </w:p>
        </w:tc>
        <w:tc>
          <w:tcPr>
            <w:tcW w:type="dxa" w:w="2016"/>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Directory</w:t>
            </w:r>
          </w:p>
        </w:tc>
        <w:tc>
          <w:tcPr>
            <w:tcW w:type="dxa" w:w="1152"/>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Port</w:t>
            </w:r>
          </w:p>
        </w:tc>
        <w:tc>
          <w:tcPr>
            <w:tcW w:type="dxa" w:w="216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Source Simulation</w:t>
            </w:r>
          </w:p>
        </w:tc>
        <w:tc>
          <w:tcPr>
            <w:tcW w:type="dxa" w:w="172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Compliance Focus</w:t>
            </w:r>
          </w:p>
        </w:tc>
      </w:tr>
      <w:tr>
        <w:tc>
          <w:tcPr>
            <w:tcW w:type="dxa" w:w="1872"/>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Enterprise ERP</w:t>
            </w:r>
          </w:p>
        </w:tc>
        <w:tc>
          <w:tcPr>
            <w:tcW w:type="dxa" w:w="1872"/>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backend/</w:t>
            </w:r>
          </w:p>
        </w:tc>
        <w:tc>
          <w:tcPr>
            <w:tcW w:type="dxa" w:w="1872"/>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port 8000</w:t>
            </w:r>
          </w:p>
        </w:tc>
        <w:tc>
          <w:tcPr>
            <w:tcW w:type="dxa" w:w="1872"/>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SQLite → Oracle ERP</w:t>
            </w:r>
          </w:p>
        </w:tc>
        <w:tc>
          <w:tcPr>
            <w:tcW w:type="dxa" w:w="1872"/>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BSA / PII tagging</w:t>
            </w:r>
          </w:p>
        </w:tc>
      </w:tr>
      <w:tr>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Healthcare / HIPAA</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healthcare/backend/</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port 8001</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SQLite → Epic EHR</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HIPAA Safe Harbor / FHIR R4</w:t>
            </w:r>
          </w:p>
        </w:tc>
      </w:tr>
      <w:tr>
        <w:tc>
          <w:tcPr>
            <w:tcW w:type="dxa" w:w="1872"/>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Banking / AML</w:t>
            </w:r>
          </w:p>
        </w:tc>
        <w:tc>
          <w:tcPr>
            <w:tcW w:type="dxa" w:w="1872"/>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banking/backend/</w:t>
            </w:r>
          </w:p>
        </w:tc>
        <w:tc>
          <w:tcPr>
            <w:tcW w:type="dxa" w:w="1872"/>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port 8002</w:t>
            </w:r>
          </w:p>
        </w:tc>
        <w:tc>
          <w:tcPr>
            <w:tcW w:type="dxa" w:w="1872"/>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SQLite → FIS/Fiserv</w:t>
            </w:r>
          </w:p>
        </w:tc>
        <w:tc>
          <w:tcPr>
            <w:tcW w:type="dxa" w:w="1872"/>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BSA/AML / PCI-DSS / KYC-CDD</w:t>
            </w:r>
          </w:p>
        </w:tc>
      </w:tr>
      <w:tr>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Static Demo</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demo/</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Vercel CDN</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Browser simulation</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All three verticals (no backend)</w:t>
            </w:r>
          </w:p>
        </w:tc>
      </w:tr>
    </w:tbl>
    <w:p/>
    <w:p>
      <w:pPr>
        <w:pStyle w:val="Heading2"/>
        <w:jc w:val="left"/>
      </w:pPr>
      <w:r>
        <w:rPr>
          <w:rFonts w:ascii="Calibri" w:hAnsi="Calibri"/>
          <w:b/>
          <w:color w:val="2E5D9C"/>
          <w:sz w:val="28"/>
        </w:rPr>
        <w:t>3.2  Technology Stack</w:t>
      </w:r>
    </w:p>
    <w:tbl>
      <w:tblPr>
        <w:tblW w:type="auto" w:w="0"/>
        <w:jc w:val="left"/>
        <w:tblLook w:firstColumn="1" w:firstRow="1" w:lastColumn="0" w:lastRow="0" w:noHBand="0" w:noVBand="1" w:val="04A0"/>
      </w:tblPr>
      <w:tblGrid>
        <w:gridCol w:w="4680"/>
        <w:gridCol w:w="4680"/>
      </w:tblGrid>
      <w:tr>
        <w:tc>
          <w:tcPr>
            <w:tcW w:type="dxa" w:w="216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Layer</w:t>
            </w:r>
          </w:p>
        </w:tc>
        <w:tc>
          <w:tcPr>
            <w:tcW w:type="dxa" w:w="720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Technology</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Backend</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Python 3.9+, FastAPI, Uvicorn, asyncio, WebSockets</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Database</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SQLite (simulates Oracle 19c / Epic EHR / FIS core banking)</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Frontend</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React 18 (CDN), Babel Standalone — zero build step</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Simulation</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Custom async pipeline engine, setTimeout-based browser sim</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Deployment</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Vercel (static demo), local bash start scripts (live backends)</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Dev Tools</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Python venv, pip3, git — no Node.js, npm, or cloud CLI required</w:t>
            </w:r>
          </w:p>
        </w:tc>
      </w:tr>
    </w:tbl>
    <w:p/>
    <w:p>
      <w:pPr>
        <w:pStyle w:val="Heading2"/>
        <w:jc w:val="left"/>
      </w:pPr>
      <w:r>
        <w:rPr>
          <w:rFonts w:ascii="Calibri" w:hAnsi="Calibri"/>
          <w:b/>
          <w:color w:val="2E5D9C"/>
          <w:sz w:val="28"/>
        </w:rPr>
        <w:t>3.3  Medallion Architecture</w:t>
      </w:r>
    </w:p>
    <w:p>
      <w:pPr>
        <w:spacing w:after="120"/>
      </w:pPr>
      <w:r>
        <w:rPr>
          <w:rFonts w:ascii="Calibri" w:hAnsi="Calibri"/>
          <w:b w:val="0"/>
          <w:i w:val="0"/>
          <w:sz w:val="20"/>
        </w:rPr>
        <w:t>All three pipelines use a four-layer Medallion architecture. Every table is individually scored at each layer transition, giving a granular view of data quality progression.</w:t>
      </w:r>
    </w:p>
    <w:tbl>
      <w:tblPr>
        <w:tblW w:type="auto" w:w="0"/>
        <w:jc w:val="left"/>
        <w:tblLook w:firstColumn="1" w:firstRow="1" w:lastColumn="0" w:lastRow="0" w:noHBand="0" w:noVBand="1" w:val="04A0"/>
      </w:tblPr>
      <w:tblGrid>
        <w:gridCol w:w="3120"/>
        <w:gridCol w:w="3120"/>
        <w:gridCol w:w="3120"/>
      </w:tblGrid>
      <w:tr>
        <w:tc>
          <w:tcPr>
            <w:tcW w:type="dxa" w:w="144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Layer</w:t>
            </w:r>
          </w:p>
        </w:tc>
        <w:tc>
          <w:tcPr>
            <w:tcW w:type="dxa" w:w="2016"/>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AI Score Range</w:t>
            </w:r>
          </w:p>
        </w:tc>
        <w:tc>
          <w:tcPr>
            <w:tcW w:type="dxa" w:w="5904"/>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Description</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 Bronze</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35–74</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Raw ingestion — source fidelity preserved; audit columns added; no transformations</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 Silver</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62–85</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Cleansed — nulls imputed, deduplication (SCD2), formats standardised, PAN tokenised (banking)</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 Gold</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82–93</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Curated — DQ rules applied, failed records quarantined, aggregates computed, compliance enforced</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 Platinum</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93–99</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AI-ready — ML feature vectors, embeddings, risk scores, regulatory report inputs</w:t>
            </w:r>
          </w:p>
        </w:tc>
      </w:tr>
    </w:tbl>
    <w:p/>
    <w:p>
      <w:r>
        <w:br w:type="page"/>
      </w:r>
    </w:p>
    <w:p>
      <w:pPr>
        <w:pStyle w:val="Heading1"/>
        <w:jc w:val="left"/>
      </w:pPr>
      <w:r>
        <w:rPr>
          <w:rFonts w:ascii="Calibri" w:hAnsi="Calibri"/>
          <w:b/>
          <w:color w:val="1E406E"/>
          <w:sz w:val="36"/>
        </w:rPr>
        <w:t>4. The 9-Stage Pipeline</w:t>
      </w:r>
    </w:p>
    <w:p>
      <w:pPr>
        <w:spacing w:before="80" w:after="80"/>
        <w:pBdr>
          <w:bottom w:val="single" w:sz="6" w:space="1" w:color="CBD5E1"/>
        </w:pBdr>
      </w:pPr>
    </w:p>
    <w:p>
      <w:pPr>
        <w:spacing w:after="120"/>
      </w:pPr>
      <w:r>
        <w:rPr>
          <w:rFonts w:ascii="Calibri" w:hAnsi="Calibri"/>
          <w:b w:val="0"/>
          <w:i w:val="0"/>
          <w:sz w:val="20"/>
        </w:rPr>
        <w:t>Each POC executes an identical 9-stage pipeline structure, with domain-specific logic injected per stage for each vertical. Stages run sequentially; within stages, table-level operations run with 8-way concurrency (asyncio.gather with Semaphore(4)).</w:t>
      </w:r>
    </w:p>
    <w:tbl>
      <w:tblPr>
        <w:tblW w:type="auto" w:w="0"/>
        <w:jc w:val="left"/>
        <w:tblLook w:firstColumn="1" w:firstRow="1" w:lastColumn="0" w:lastRow="0" w:noHBand="0" w:noVBand="1" w:val="04A0"/>
      </w:tblPr>
      <w:tblGrid>
        <w:gridCol w:w="3120"/>
        <w:gridCol w:w="3120"/>
        <w:gridCol w:w="3120"/>
      </w:tblGrid>
      <w:tr>
        <w:tc>
          <w:tcPr>
            <w:tcW w:type="dxa" w:w="504"/>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w:t>
            </w:r>
          </w:p>
        </w:tc>
        <w:tc>
          <w:tcPr>
            <w:tcW w:type="dxa" w:w="1872"/>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Stage</w:t>
            </w:r>
          </w:p>
        </w:tc>
        <w:tc>
          <w:tcPr>
            <w:tcW w:type="dxa" w:w="6984"/>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What It Does</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center"/>
            </w:pPr>
            <w:r>
              <w:rPr>
                <w:rFonts w:ascii="Calibri" w:hAnsi="Calibri"/>
                <w:b/>
                <w:i w:val="0"/>
                <w:color w:val="1E406E"/>
                <w:sz w:val="18"/>
              </w:rPr>
              <w:t>1</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Discovery</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Connect to source system, profile all tables (row counts, column stats, nullability, cardinality), detect PII/PHI fields, build FK dependency graph. Emits per-table source-layer scores.</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center"/>
            </w:pPr>
            <w:r>
              <w:rPr>
                <w:rFonts w:ascii="Calibri" w:hAnsi="Calibri"/>
                <w:b/>
                <w:i w:val="0"/>
                <w:color w:val="1E406E"/>
                <w:sz w:val="18"/>
              </w:rPr>
              <w:t>2</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Assessment</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Compute AI Readiness Score (0–100) per table from five weighted factors. For healthcare: adds HIPAA compliance score. For banking: adds Regulatory Compliance Score. Identifies critical gaps.</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center"/>
            </w:pPr>
            <w:r>
              <w:rPr>
                <w:rFonts w:ascii="Calibri" w:hAnsi="Calibri"/>
                <w:b/>
                <w:i w:val="0"/>
                <w:color w:val="1E406E"/>
                <w:sz w:val="18"/>
              </w:rPr>
              <w:t>3</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Architecture</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Auto-generate Bronze/Silver/Gold/Platinum medallion DDL. For banking: generates PCI-DSS tokenisation vault schema. For healthcare: FHIR R4-aligned resource schemas.</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center"/>
            </w:pPr>
            <w:r>
              <w:rPr>
                <w:rFonts w:ascii="Calibri" w:hAnsi="Calibri"/>
                <w:b/>
                <w:i w:val="0"/>
                <w:color w:val="1E406E"/>
                <w:sz w:val="18"/>
              </w:rPr>
              <w:t>4</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Extraction</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8-way parallel ROWID-range extraction → Bronze layer. PHI audit log enabled for healthcare; AML audit trail for banking. Dead-letter quarantine for schema-violating rows.</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center"/>
            </w:pPr>
            <w:r>
              <w:rPr>
                <w:rFonts w:ascii="Calibri" w:hAnsi="Calibri"/>
                <w:b/>
                <w:i w:val="0"/>
                <w:color w:val="1E406E"/>
                <w:sz w:val="18"/>
              </w:rPr>
              <w:t>5</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Transform</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Bronze → Silver: null imputation, SCD2 deduplication, type normalisation. Healthcare: HIPAA Safe Harbor de-identification (18 PHI identifiers). Banking: PAN tokenisation (PCI-DSS Req 3.4), KYC field validation.</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center"/>
            </w:pPr>
            <w:r>
              <w:rPr>
                <w:rFonts w:ascii="Calibri" w:hAnsi="Calibri"/>
                <w:b/>
                <w:i w:val="0"/>
                <w:color w:val="1E406E"/>
                <w:sz w:val="18"/>
              </w:rPr>
              <w:t>6</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Data Quality</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Apply 7 domain-specific DQ rules per table. Failed rows auto-quarantined. Tables promoted to Gold layer. Pass rates logged per rule with row-level failure counts.</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center"/>
            </w:pPr>
            <w:r>
              <w:rPr>
                <w:rFonts w:ascii="Calibri" w:hAnsi="Calibri"/>
                <w:b/>
                <w:i w:val="0"/>
                <w:color w:val="1E406E"/>
                <w:sz w:val="18"/>
              </w:rPr>
              <w:t>7</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Governance</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Register all assets in governance catalog. Healthcare: HIPAA audit trail, BAA compliance, consent registry. Banking: OFAC/SDN screening, GLBA classification, SOX lineage. ERP: Purview registration + MIP labels.</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center"/>
            </w:pPr>
            <w:r>
              <w:rPr>
                <w:rFonts w:ascii="Calibri" w:hAnsi="Calibri"/>
                <w:b/>
                <w:i w:val="0"/>
                <w:color w:val="1E406E"/>
                <w:sz w:val="18"/>
              </w:rPr>
              <w:t>8</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AI Optimize</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Gold → Platinum: generate ML feature stores. Healthcare: readmission risk, LOS prediction, ICD-10 NLP embeddings. Banking: fraud scoring, PD/LGD/EAD, AML network graph. ERP: rolling windows, text chunking (RAG).</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center"/>
            </w:pPr>
            <w:r>
              <w:rPr>
                <w:rFonts w:ascii="Calibri" w:hAnsi="Calibri"/>
                <w:b/>
                <w:i w:val="0"/>
                <w:color w:val="1E406E"/>
                <w:sz w:val="18"/>
              </w:rPr>
              <w:t>9</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Monitoring</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Activate live monitoring dashboards. Healthcare: patient safety alerts, HIPAA access monitoring. Banking: CTR filing triggers (≥$10K), SAR SLA monitors, OFAC watch. ERP: DQ trend alerts, schema drift detection.</w:t>
            </w:r>
          </w:p>
        </w:tc>
      </w:tr>
    </w:tbl>
    <w:p/>
    <w:p>
      <w:r>
        <w:br w:type="page"/>
      </w:r>
    </w:p>
    <w:p>
      <w:pPr>
        <w:pStyle w:val="Heading1"/>
        <w:jc w:val="left"/>
      </w:pPr>
      <w:r>
        <w:rPr>
          <w:rFonts w:ascii="Calibri" w:hAnsi="Calibri"/>
          <w:b/>
          <w:color w:val="1E406E"/>
          <w:sz w:val="36"/>
        </w:rPr>
        <w:t>5. Enterprise ERP POC</w:t>
      </w:r>
    </w:p>
    <w:p>
      <w:pPr>
        <w:spacing w:before="80" w:after="80"/>
        <w:pBdr>
          <w:bottom w:val="single" w:sz="6" w:space="1" w:color="CBD5E1"/>
        </w:pBdr>
      </w:pPr>
    </w:p>
    <w:p>
      <w:pPr>
        <w:spacing w:before="120" w:after="120"/>
        <w:shd w:val="clear" w:color="auto" w:fill="00B48A"/>
      </w:pPr>
      <w:r>
        <w:rPr>
          <w:rFonts w:ascii="Calibri" w:hAnsi="Calibri"/>
          <w:b/>
          <w:i w:val="0"/>
          <w:color w:val="FFFFFF"/>
          <w:sz w:val="24"/>
        </w:rPr>
        <w:t>🏢 Enterprise ERP</w:t>
      </w:r>
      <w:r>
        <w:rPr>
          <w:rFonts w:ascii="Calibri" w:hAnsi="Calibri"/>
          <w:b w:val="0"/>
          <w:i/>
          <w:color w:val="FFFFFF"/>
          <w:sz w:val="20"/>
        </w:rPr>
        <w:t xml:space="preserve">  —  Oracle Legacy → AI-Ready OneLake  ·  Port 8000  ·  ~90,575 rows</w:t>
      </w:r>
    </w:p>
    <w:p>
      <w:pPr>
        <w:pStyle w:val="Heading2"/>
        <w:jc w:val="left"/>
      </w:pPr>
      <w:r>
        <w:rPr>
          <w:rFonts w:ascii="Calibri" w:hAnsi="Calibri"/>
          <w:b/>
          <w:color w:val="2E5D9C"/>
          <w:sz w:val="28"/>
        </w:rPr>
        <w:t>5.1  Source Tables &amp; Data Issues</w:t>
      </w:r>
    </w:p>
    <w:tbl>
      <w:tblPr>
        <w:tblW w:type="auto" w:w="0"/>
        <w:jc w:val="left"/>
        <w:tblLook w:firstColumn="1" w:firstRow="1" w:lastColumn="0" w:lastRow="0" w:noHBand="0" w:noVBand="1" w:val="04A0"/>
      </w:tblPr>
      <w:tblGrid>
        <w:gridCol w:w="2340"/>
        <w:gridCol w:w="2340"/>
        <w:gridCol w:w="2340"/>
        <w:gridCol w:w="2340"/>
      </w:tblGrid>
      <w:tr>
        <w:tc>
          <w:tcPr>
            <w:tcW w:type="dxa" w:w="172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Table</w:t>
            </w:r>
          </w:p>
        </w:tc>
        <w:tc>
          <w:tcPr>
            <w:tcW w:type="dxa" w:w="1152"/>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Row Count</w:t>
            </w:r>
          </w:p>
        </w:tc>
        <w:tc>
          <w:tcPr>
            <w:tcW w:type="dxa" w:w="216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Score (Source→Platinum)</w:t>
            </w:r>
          </w:p>
        </w:tc>
        <w:tc>
          <w:tcPr>
            <w:tcW w:type="dxa" w:w="432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Key Data Quality Issues</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CUSTOMERS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9,507</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48 → 96</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12% null emails, 5% duplicates, SSN format errors, 18% incomplete addresses</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ORDERS</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50,000</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59 → 94</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FK violations to non-existent customers, 3% negative amounts</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PRODUCTS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491</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67 → 97</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Null prices, duplicate SKUs, missing category codes</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EMPLOYEES</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2,000</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51 → 95</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SSN format errors, orphaned manager FK, 8% null department</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FINANCIALS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19,577</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64 → 96</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Invalid currency codes, duplicate transaction IDs</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INVENTORY</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3,000</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70 → 97</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Stale timestamps, FK violations, negative stock levels</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CONTRACTS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1,000</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60 → 93</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Long-text fields for RAG chunking, missing start dates</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RISK_EVENTS</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5,000</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53 → 94</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15% null resolved flags, missing resolution timestamps</w:t>
            </w:r>
          </w:p>
        </w:tc>
      </w:tr>
    </w:tbl>
    <w:p/>
    <w:p>
      <w:pPr>
        <w:pStyle w:val="Heading2"/>
        <w:jc w:val="left"/>
      </w:pPr>
      <w:r>
        <w:rPr>
          <w:rFonts w:ascii="Calibri" w:hAnsi="Calibri"/>
          <w:b/>
          <w:color w:val="2E5D9C"/>
          <w:sz w:val="28"/>
        </w:rPr>
        <w:t>5.2  AI Readiness Score Factors (ERP)</w:t>
      </w:r>
    </w:p>
    <w:p>
      <w:pPr>
        <w:spacing w:after="120"/>
      </w:pPr>
      <w:r>
        <w:rPr>
          <w:rFonts w:ascii="Calibri" w:hAnsi="Calibri"/>
          <w:b w:val="0"/>
          <w:i w:val="0"/>
          <w:sz w:val="20"/>
        </w:rPr>
        <w:t>Each table's AI Readiness Score is computed from five equally-weighted factors:</w:t>
      </w:r>
    </w:p>
    <w:tbl>
      <w:tblPr>
        <w:tblW w:type="auto" w:w="0"/>
        <w:jc w:val="left"/>
        <w:tblLook w:firstColumn="1" w:firstRow="1" w:lastColumn="0" w:lastRow="0" w:noHBand="0" w:noVBand="1" w:val="04A0"/>
      </w:tblPr>
      <w:tblGrid>
        <w:gridCol w:w="3120"/>
        <w:gridCol w:w="3120"/>
        <w:gridCol w:w="3120"/>
      </w:tblGrid>
      <w:tr>
        <w:tc>
          <w:tcPr>
            <w:tcW w:type="dxa" w:w="216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Factor</w:t>
            </w:r>
          </w:p>
        </w:tc>
        <w:tc>
          <w:tcPr>
            <w:tcW w:type="dxa" w:w="100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Weight</w:t>
            </w:r>
          </w:p>
        </w:tc>
        <w:tc>
          <w:tcPr>
            <w:tcW w:type="dxa" w:w="6192"/>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Definition</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Completeness</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30%</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of required fields populated across all rows</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Uniqueness</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20%</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of primary key and high-cardinality fields free of duplicates</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Freshness</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20%</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Recency of last update relative to expected cadence</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Cardinality</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15%</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Ratio of distinct values indicating schema health</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Referential</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15%</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of FK references that resolve to valid parent rows</w:t>
            </w:r>
          </w:p>
        </w:tc>
      </w:tr>
    </w:tbl>
    <w:p/>
    <w:p>
      <w:pPr>
        <w:pStyle w:val="Heading2"/>
        <w:jc w:val="left"/>
      </w:pPr>
      <w:r>
        <w:rPr>
          <w:rFonts w:ascii="Calibri" w:hAnsi="Calibri"/>
          <w:b/>
          <w:color w:val="2E5D9C"/>
          <w:sz w:val="28"/>
        </w:rPr>
        <w:t>5.3  DQ Rule Types (ERP — Stage 6)</w:t>
      </w:r>
    </w:p>
    <w:tbl>
      <w:tblPr>
        <w:tblW w:type="auto" w:w="0"/>
        <w:jc w:val="left"/>
        <w:tblLook w:firstColumn="1" w:firstRow="1" w:lastColumn="0" w:lastRow="0" w:noHBand="0" w:noVBand="1" w:val="04A0"/>
      </w:tblPr>
      <w:tblGrid>
        <w:gridCol w:w="4680"/>
        <w:gridCol w:w="4680"/>
      </w:tblGrid>
      <w:tr>
        <w:tc>
          <w:tcPr>
            <w:tcW w:type="dxa" w:w="2304"/>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Rule</w:t>
            </w:r>
          </w:p>
        </w:tc>
        <w:tc>
          <w:tcPr>
            <w:tcW w:type="dxa" w:w="7056"/>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Description</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Null Check</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Threshold auto-set from column profile; rows failing quarantined</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Uniqueness</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PK and high-cardinality constraint enforcement</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Range Check</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Min/max derived from P1–P99 percentiles; outliers quarantined</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Regex Pattern</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Email, phone, SSN, IP address, postal code format validation</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Referential</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FK integrity check across all parent-child table relationships</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Volume Anomaly</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Row count vs. historical baseline; &gt;20% deviation flags an alert</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Freshness</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Timestamp staleness scored against expected update cadence</w:t>
            </w:r>
          </w:p>
        </w:tc>
      </w:tr>
    </w:tbl>
    <w:p/>
    <w:p>
      <w:r>
        <w:br w:type="page"/>
      </w:r>
    </w:p>
    <w:p>
      <w:pPr>
        <w:pStyle w:val="Heading1"/>
        <w:jc w:val="left"/>
      </w:pPr>
      <w:r>
        <w:rPr>
          <w:rFonts w:ascii="Calibri" w:hAnsi="Calibri"/>
          <w:b/>
          <w:color w:val="1E406E"/>
          <w:sz w:val="36"/>
        </w:rPr>
        <w:t>6. Healthcare / HIPAA POC</w:t>
      </w:r>
    </w:p>
    <w:p>
      <w:pPr>
        <w:spacing w:before="80" w:after="80"/>
        <w:pBdr>
          <w:bottom w:val="single" w:sz="6" w:space="1" w:color="CBD5E1"/>
        </w:pBdr>
      </w:pPr>
    </w:p>
    <w:p>
      <w:pPr>
        <w:spacing w:before="120" w:after="120"/>
        <w:shd w:val="clear" w:color="auto" w:fill="6D28D9"/>
      </w:pPr>
      <w:r>
        <w:rPr>
          <w:rFonts w:ascii="Calibri" w:hAnsi="Calibri"/>
          <w:b/>
          <w:i w:val="0"/>
          <w:color w:val="FFFFFF"/>
          <w:sz w:val="24"/>
        </w:rPr>
        <w:t>🏥 Healthcare / HIPAA</w:t>
      </w:r>
      <w:r>
        <w:rPr>
          <w:rFonts w:ascii="Calibri" w:hAnsi="Calibri"/>
          <w:b w:val="0"/>
          <w:i/>
          <w:color w:val="FFFFFF"/>
          <w:sz w:val="20"/>
        </w:rPr>
        <w:t xml:space="preserve">  —  Epic EHR → HIPAA-Compliant OneLake  ·  Port 8001  ·  ~137,397 rows</w:t>
      </w:r>
    </w:p>
    <w:p>
      <w:pPr>
        <w:pStyle w:val="Heading2"/>
        <w:jc w:val="left"/>
      </w:pPr>
      <w:r>
        <w:rPr>
          <w:rFonts w:ascii="Calibri" w:hAnsi="Calibri"/>
          <w:b/>
          <w:color w:val="2E5D9C"/>
          <w:sz w:val="28"/>
        </w:rPr>
        <w:t>6.1  FHIR R4 Source Tables &amp; Data Issues</w:t>
      </w:r>
    </w:p>
    <w:tbl>
      <w:tblPr>
        <w:tblW w:type="auto" w:w="0"/>
        <w:jc w:val="left"/>
        <w:tblLook w:firstColumn="1" w:firstRow="1" w:lastColumn="0" w:lastRow="0" w:noHBand="0" w:noVBand="1" w:val="04A0"/>
      </w:tblPr>
      <w:tblGrid>
        <w:gridCol w:w="1872"/>
        <w:gridCol w:w="1872"/>
        <w:gridCol w:w="1872"/>
        <w:gridCol w:w="1872"/>
        <w:gridCol w:w="1872"/>
      </w:tblGrid>
      <w:tr>
        <w:tc>
          <w:tcPr>
            <w:tcW w:type="dxa" w:w="1368"/>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Table</w:t>
            </w:r>
          </w:p>
        </w:tc>
        <w:tc>
          <w:tcPr>
            <w:tcW w:type="dxa" w:w="1080"/>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Rows</w:t>
            </w:r>
          </w:p>
        </w:tc>
        <w:tc>
          <w:tcPr>
            <w:tcW w:type="dxa" w:w="2160"/>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AI / HIPAA Score</w:t>
            </w:r>
          </w:p>
        </w:tc>
        <w:tc>
          <w:tcPr>
            <w:tcW w:type="dxa" w:w="1440"/>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FHIR R4</w:t>
            </w:r>
          </w:p>
        </w:tc>
        <w:tc>
          <w:tcPr>
            <w:tcW w:type="dxa" w:w="3312"/>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Key Issues</w:t>
            </w:r>
          </w:p>
        </w:tc>
      </w:tr>
      <w:tr>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8"/>
              </w:rPr>
              <w:t>PATIENTS</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5,000</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42→95 AI / 28→99 HIPAA</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Patient</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10% missing PHI fields, 5% duplicate MRNs, 3% date errors</w:t>
            </w:r>
          </w:p>
        </w:tc>
      </w:tr>
      <w:tr>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8"/>
              </w:rPr>
              <w:t>ENCOUNTERS</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20,000</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55→94 / 52→99</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Encounter</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 orphaned patient FKs, 5% date coherence errors</w:t>
            </w:r>
          </w:p>
        </w:tc>
      </w:tr>
      <w:tr>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8"/>
              </w:rPr>
              <w:t>DIAGNOSES</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35,000</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48→96 / 60→99</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Condition</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15% invalid ICD-10-CM codes, 5% date sequence violations</w:t>
            </w:r>
          </w:p>
        </w:tc>
      </w:tr>
      <w:tr>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8"/>
              </w:rPr>
              <w:t>MEDICATIONS</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14,587</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50→95 / 55→99</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MedicationRequest</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12% invalid NDC codes, 8% clinically impossible doses</w:t>
            </w:r>
          </w:p>
        </w:tc>
      </w:tr>
      <w:tr>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8"/>
              </w:rPr>
              <w:t>LAB_RESULTS</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40,000</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57→97 / 58→99</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Observation</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10% out-of-reference-range values, 8% invalid LOINC codes</w:t>
            </w:r>
          </w:p>
        </w:tc>
      </w:tr>
      <w:tr>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8"/>
              </w:rPr>
              <w:t>PROCEDURES</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12,000</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53→95 / 60→99</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Procedure</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10% invalid CPT codes, 3% date coherence errors</w:t>
            </w:r>
          </w:p>
        </w:tc>
      </w:tr>
      <w:tr>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8"/>
              </w:rPr>
              <w:t>CLAIMS</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9,810</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60→94 / 50→99</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Claim</w:t>
            </w:r>
          </w:p>
        </w:tc>
        <w:tc>
          <w:tcPr>
            <w:tcW w:type="dxa" w:w="1872"/>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 paid &gt; billed amount anomalies, FK gaps</w:t>
            </w:r>
          </w:p>
        </w:tc>
      </w:tr>
      <w:tr>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8"/>
              </w:rPr>
              <w:t>PROVIDERS</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1,000</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65→97 / 62→99</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Practitioner</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 invalid NPI numbers, missing DEA numbers</w:t>
            </w:r>
          </w:p>
        </w:tc>
      </w:tr>
    </w:tbl>
    <w:p/>
    <w:p>
      <w:pPr>
        <w:pStyle w:val="Heading2"/>
        <w:jc w:val="left"/>
      </w:pPr>
      <w:r>
        <w:rPr>
          <w:rFonts w:ascii="Calibri" w:hAnsi="Calibri"/>
          <w:b/>
          <w:color w:val="2E5D9C"/>
          <w:sz w:val="28"/>
        </w:rPr>
        <w:t>6.2  HIPAA Compliance Scoring</w:t>
      </w:r>
    </w:p>
    <w:p>
      <w:pPr>
        <w:spacing w:after="120"/>
      </w:pPr>
      <w:r>
        <w:rPr>
          <w:rFonts w:ascii="Calibri" w:hAnsi="Calibri"/>
          <w:b w:val="0"/>
          <w:i w:val="0"/>
          <w:sz w:val="20"/>
        </w:rPr>
        <w:t>In addition to the AI Readiness Score, each healthcare table carries a separate HIPAA Compliance Score (0–100) computed from five clinical factors. The dual gauge in the dashboard shows both scores simultaneously.</w:t>
      </w:r>
    </w:p>
    <w:tbl>
      <w:tblPr>
        <w:tblW w:type="auto" w:w="0"/>
        <w:jc w:val="left"/>
        <w:tblLook w:firstColumn="1" w:firstRow="1" w:lastColumn="0" w:lastRow="0" w:noHBand="0" w:noVBand="1" w:val="04A0"/>
      </w:tblPr>
      <w:tblGrid>
        <w:gridCol w:w="3120"/>
        <w:gridCol w:w="3120"/>
        <w:gridCol w:w="3120"/>
      </w:tblGrid>
      <w:tr>
        <w:tc>
          <w:tcPr>
            <w:tcW w:type="dxa" w:w="2592"/>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Factor</w:t>
            </w:r>
          </w:p>
        </w:tc>
        <w:tc>
          <w:tcPr>
            <w:tcW w:type="dxa" w:w="100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Weight</w:t>
            </w:r>
          </w:p>
        </w:tc>
        <w:tc>
          <w:tcPr>
            <w:tcW w:type="dxa" w:w="576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Definition</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PHI Completeness</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25%</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All 18 Safe Harbor identifier categories screened and handled</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Clinical Code Validity</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25%</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of ICD-10-CM, CPT, LOINC, NDC, NPI codes passing validation</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Temporal Coherence</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20%</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Date sequences are logically consistent (admit ≤ discharge, etc.)</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Referential Integrity</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15%</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All clinical FK references resolve to valid parent records</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De-ID Readiness</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15%</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Completeness of Safe Harbor de-identification transformations</w:t>
            </w:r>
          </w:p>
        </w:tc>
      </w:tr>
    </w:tbl>
    <w:p/>
    <w:p>
      <w:pPr>
        <w:pStyle w:val="Heading2"/>
        <w:jc w:val="left"/>
      </w:pPr>
      <w:r>
        <w:rPr>
          <w:rFonts w:ascii="Calibri" w:hAnsi="Calibri"/>
          <w:b/>
          <w:color w:val="2E5D9C"/>
          <w:sz w:val="28"/>
        </w:rPr>
        <w:t>6.3  HIPAA Safe Harbor De-Identification (Stage 5)</w:t>
      </w:r>
    </w:p>
    <w:p>
      <w:pPr>
        <w:spacing w:after="120"/>
      </w:pPr>
      <w:r>
        <w:rPr>
          <w:rFonts w:ascii="Calibri" w:hAnsi="Calibri"/>
          <w:b w:val="0"/>
          <w:i w:val="0"/>
          <w:sz w:val="20"/>
        </w:rPr>
        <w:t>Stage 5 applies all 18 HIPAA Safe Harbor identifier transformations:</w:t>
      </w:r>
    </w:p>
    <w:p>
      <w:pPr>
        <w:pStyle w:val="ListBullet"/>
        <w:spacing w:after="60"/>
        <w:ind w:left="360"/>
      </w:pPr>
      <w:r>
        <w:rPr>
          <w:rFonts w:ascii="Calibri" w:hAnsi="Calibri"/>
          <w:b w:val="0"/>
          <w:i w:val="0"/>
          <w:color w:val="1E293B"/>
          <w:sz w:val="18"/>
        </w:rPr>
        <w:t>Names → replaced with synthetic tokens</w:t>
      </w:r>
    </w:p>
    <w:p>
      <w:pPr>
        <w:pStyle w:val="ListBullet"/>
        <w:spacing w:after="60"/>
        <w:ind w:left="360"/>
      </w:pPr>
      <w:r>
        <w:rPr>
          <w:rFonts w:ascii="Calibri" w:hAnsi="Calibri"/>
          <w:b w:val="0"/>
          <w:i w:val="0"/>
          <w:color w:val="1E293B"/>
          <w:sz w:val="18"/>
        </w:rPr>
        <w:t>Geographic data → 5-digit ZIP generalised to 3-digit prefix; sub-state regions removed</w:t>
      </w:r>
    </w:p>
    <w:p>
      <w:pPr>
        <w:pStyle w:val="ListBullet"/>
        <w:spacing w:after="60"/>
        <w:ind w:left="360"/>
      </w:pPr>
      <w:r>
        <w:rPr>
          <w:rFonts w:ascii="Calibri" w:hAnsi="Calibri"/>
          <w:b w:val="0"/>
          <w:i w:val="0"/>
          <w:color w:val="1E293B"/>
          <w:sz w:val="18"/>
        </w:rPr>
        <w:t>Dates → shifted by patient-specific random offset; ages &gt;89 grouped to '90+'</w:t>
      </w:r>
    </w:p>
    <w:p>
      <w:pPr>
        <w:pStyle w:val="ListBullet"/>
        <w:spacing w:after="60"/>
        <w:ind w:left="360"/>
      </w:pPr>
      <w:r>
        <w:rPr>
          <w:rFonts w:ascii="Calibri" w:hAnsi="Calibri"/>
          <w:b w:val="0"/>
          <w:i w:val="0"/>
          <w:color w:val="1E293B"/>
          <w:sz w:val="18"/>
        </w:rPr>
        <w:t>Phone, fax numbers → removed</w:t>
      </w:r>
    </w:p>
    <w:p>
      <w:pPr>
        <w:pStyle w:val="ListBullet"/>
        <w:spacing w:after="60"/>
        <w:ind w:left="360"/>
      </w:pPr>
      <w:r>
        <w:rPr>
          <w:rFonts w:ascii="Calibri" w:hAnsi="Calibri"/>
          <w:b w:val="0"/>
          <w:i w:val="0"/>
          <w:color w:val="1E293B"/>
          <w:sz w:val="18"/>
        </w:rPr>
        <w:t>Email addresses → removed</w:t>
      </w:r>
    </w:p>
    <w:p>
      <w:pPr>
        <w:pStyle w:val="ListBullet"/>
        <w:spacing w:after="60"/>
        <w:ind w:left="360"/>
      </w:pPr>
      <w:r>
        <w:rPr>
          <w:rFonts w:ascii="Calibri" w:hAnsi="Calibri"/>
          <w:b w:val="0"/>
          <w:i w:val="0"/>
          <w:color w:val="1E293B"/>
          <w:sz w:val="18"/>
        </w:rPr>
        <w:t>Social Security Numbers → removed</w:t>
      </w:r>
    </w:p>
    <w:p>
      <w:pPr>
        <w:pStyle w:val="ListBullet"/>
        <w:spacing w:after="60"/>
        <w:ind w:left="360"/>
      </w:pPr>
      <w:r>
        <w:rPr>
          <w:rFonts w:ascii="Calibri" w:hAnsi="Calibri"/>
          <w:b w:val="0"/>
          <w:i w:val="0"/>
          <w:color w:val="1E293B"/>
          <w:sz w:val="18"/>
        </w:rPr>
        <w:t>Medical Record Numbers → replaced with surrogate keys</w:t>
      </w:r>
    </w:p>
    <w:p>
      <w:pPr>
        <w:pStyle w:val="ListBullet"/>
        <w:spacing w:after="60"/>
        <w:ind w:left="360"/>
      </w:pPr>
      <w:r>
        <w:rPr>
          <w:rFonts w:ascii="Calibri" w:hAnsi="Calibri"/>
          <w:b w:val="0"/>
          <w:i w:val="0"/>
          <w:color w:val="1E293B"/>
          <w:sz w:val="18"/>
        </w:rPr>
        <w:t>Health plan beneficiary numbers → removed</w:t>
      </w:r>
    </w:p>
    <w:p>
      <w:pPr>
        <w:pStyle w:val="ListBullet"/>
        <w:spacing w:after="60"/>
        <w:ind w:left="360"/>
      </w:pPr>
      <w:r>
        <w:rPr>
          <w:rFonts w:ascii="Calibri" w:hAnsi="Calibri"/>
          <w:b w:val="0"/>
          <w:i w:val="0"/>
          <w:color w:val="1E293B"/>
          <w:sz w:val="18"/>
        </w:rPr>
        <w:t>Account numbers → tokenised</w:t>
      </w:r>
    </w:p>
    <w:p>
      <w:pPr>
        <w:pStyle w:val="ListBullet"/>
        <w:spacing w:after="60"/>
        <w:ind w:left="360"/>
      </w:pPr>
      <w:r>
        <w:rPr>
          <w:rFonts w:ascii="Calibri" w:hAnsi="Calibri"/>
          <w:b w:val="0"/>
          <w:i w:val="0"/>
          <w:color w:val="1E293B"/>
          <w:sz w:val="18"/>
        </w:rPr>
        <w:t>Certificate/license numbers → removed</w:t>
      </w:r>
    </w:p>
    <w:p>
      <w:pPr>
        <w:pStyle w:val="ListBullet"/>
        <w:spacing w:after="60"/>
        <w:ind w:left="360"/>
      </w:pPr>
      <w:r>
        <w:rPr>
          <w:rFonts w:ascii="Calibri" w:hAnsi="Calibri"/>
          <w:b w:val="0"/>
          <w:i w:val="0"/>
          <w:color w:val="1E293B"/>
          <w:sz w:val="18"/>
        </w:rPr>
        <w:t>Vehicle identifiers → removed</w:t>
      </w:r>
    </w:p>
    <w:p>
      <w:pPr>
        <w:pStyle w:val="ListBullet"/>
        <w:spacing w:after="60"/>
        <w:ind w:left="360"/>
      </w:pPr>
      <w:r>
        <w:rPr>
          <w:rFonts w:ascii="Calibri" w:hAnsi="Calibri"/>
          <w:b w:val="0"/>
          <w:i w:val="0"/>
          <w:color w:val="1E293B"/>
          <w:sz w:val="18"/>
        </w:rPr>
        <w:t>Device identifiers → removed</w:t>
      </w:r>
    </w:p>
    <w:p>
      <w:pPr>
        <w:pStyle w:val="ListBullet"/>
        <w:spacing w:after="60"/>
        <w:ind w:left="360"/>
      </w:pPr>
      <w:r>
        <w:rPr>
          <w:rFonts w:ascii="Calibri" w:hAnsi="Calibri"/>
          <w:b w:val="0"/>
          <w:i w:val="0"/>
          <w:color w:val="1E293B"/>
          <w:sz w:val="18"/>
        </w:rPr>
        <w:t>URLs → removed</w:t>
      </w:r>
    </w:p>
    <w:p>
      <w:pPr>
        <w:pStyle w:val="ListBullet"/>
        <w:spacing w:after="60"/>
        <w:ind w:left="360"/>
      </w:pPr>
      <w:r>
        <w:rPr>
          <w:rFonts w:ascii="Calibri" w:hAnsi="Calibri"/>
          <w:b w:val="0"/>
          <w:i w:val="0"/>
          <w:color w:val="1E293B"/>
          <w:sz w:val="18"/>
        </w:rPr>
        <w:t>IP addresses → removed</w:t>
      </w:r>
    </w:p>
    <w:p>
      <w:pPr>
        <w:pStyle w:val="ListBullet"/>
        <w:spacing w:after="60"/>
        <w:ind w:left="360"/>
      </w:pPr>
      <w:r>
        <w:rPr>
          <w:rFonts w:ascii="Calibri" w:hAnsi="Calibri"/>
          <w:b w:val="0"/>
          <w:i w:val="0"/>
          <w:color w:val="1E293B"/>
          <w:sz w:val="18"/>
        </w:rPr>
        <w:t>Biometric identifiers → removed</w:t>
      </w:r>
    </w:p>
    <w:p>
      <w:pPr>
        <w:pStyle w:val="ListBullet"/>
        <w:spacing w:after="60"/>
        <w:ind w:left="360"/>
      </w:pPr>
      <w:r>
        <w:rPr>
          <w:rFonts w:ascii="Calibri" w:hAnsi="Calibri"/>
          <w:b w:val="0"/>
          <w:i w:val="0"/>
          <w:color w:val="1E293B"/>
          <w:sz w:val="18"/>
        </w:rPr>
        <w:t>Full-face photographs → flagged (out of scope for structured pipeline)</w:t>
      </w:r>
    </w:p>
    <w:p>
      <w:pPr>
        <w:pStyle w:val="ListBullet"/>
        <w:spacing w:after="60"/>
        <w:ind w:left="360"/>
      </w:pPr>
      <w:r>
        <w:rPr>
          <w:rFonts w:ascii="Calibri" w:hAnsi="Calibri"/>
          <w:b w:val="0"/>
          <w:i w:val="0"/>
          <w:color w:val="1E293B"/>
          <w:sz w:val="18"/>
        </w:rPr>
        <w:t>Any unique identifying number or characteristic → hashed with HMAC-SHA256</w:t>
      </w:r>
    </w:p>
    <w:p>
      <w:pPr>
        <w:pStyle w:val="Heading2"/>
        <w:jc w:val="left"/>
      </w:pPr>
      <w:r>
        <w:rPr>
          <w:rFonts w:ascii="Calibri" w:hAnsi="Calibri"/>
          <w:b/>
          <w:color w:val="2E5D9C"/>
          <w:sz w:val="28"/>
        </w:rPr>
        <w:t>6.4  Clinical DQ Rules (Stage 6)</w:t>
      </w:r>
    </w:p>
    <w:tbl>
      <w:tblPr>
        <w:tblW w:type="auto" w:w="0"/>
        <w:jc w:val="left"/>
        <w:tblLook w:firstColumn="1" w:firstRow="1" w:lastColumn="0" w:lastRow="0" w:noHBand="0" w:noVBand="1" w:val="04A0"/>
      </w:tblPr>
      <w:tblGrid>
        <w:gridCol w:w="4680"/>
        <w:gridCol w:w="4680"/>
      </w:tblGrid>
      <w:tr>
        <w:tc>
          <w:tcPr>
            <w:tcW w:type="dxa" w:w="2592"/>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Rule</w:t>
            </w:r>
          </w:p>
        </w:tc>
        <w:tc>
          <w:tcPr>
            <w:tcW w:type="dxa" w:w="676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Description</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PHI Completeness</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All 18 HIPAA identifiers screened; missing required fields quarantined</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ICD-10-CM Validity</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Diagnoses validated against 2024 ICD-10-CM code set</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Lab Reference Range</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Lab values checked against LOINC-defined clinical reference ranges</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Medication Safety</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Dose, frequency, and route validated against NDC drug database rules</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Claim Integrity</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Paid ≤ billed amounts enforced; CPT-diagnosis linkage validated</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Date Coherence</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Temporal logic: admit ≤ discharge, prescription ≤ fill, birth ≤ service</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Patient Dedup (MPI)</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Master Patient Index matching on name + DOB + MRN composite key</w:t>
            </w:r>
          </w:p>
        </w:tc>
      </w:tr>
    </w:tbl>
    <w:p/>
    <w:p>
      <w:r>
        <w:br w:type="page"/>
      </w:r>
    </w:p>
    <w:p>
      <w:pPr>
        <w:pStyle w:val="Heading1"/>
        <w:jc w:val="left"/>
      </w:pPr>
      <w:r>
        <w:rPr>
          <w:rFonts w:ascii="Calibri" w:hAnsi="Calibri"/>
          <w:b/>
          <w:color w:val="1E406E"/>
          <w:sz w:val="36"/>
        </w:rPr>
        <w:t>7. Banking / AML POC</w:t>
      </w:r>
    </w:p>
    <w:p>
      <w:pPr>
        <w:spacing w:before="80" w:after="80"/>
        <w:pBdr>
          <w:bottom w:val="single" w:sz="6" w:space="1" w:color="CBD5E1"/>
        </w:pBdr>
      </w:pPr>
    </w:p>
    <w:p>
      <w:pPr>
        <w:spacing w:before="120" w:after="120"/>
        <w:shd w:val="clear" w:color="auto" w:fill="F59E0B"/>
      </w:pPr>
      <w:r>
        <w:rPr>
          <w:rFonts w:ascii="Calibri" w:hAnsi="Calibri"/>
          <w:b/>
          <w:i w:val="0"/>
          <w:color w:val="1E293B"/>
          <w:sz w:val="24"/>
        </w:rPr>
        <w:t>🏦 Banking / AML</w:t>
      </w:r>
      <w:r>
        <w:rPr>
          <w:rFonts w:ascii="Calibri" w:hAnsi="Calibri"/>
          <w:b w:val="0"/>
          <w:i/>
          <w:color w:val="1E293B"/>
          <w:sz w:val="20"/>
        </w:rPr>
        <w:t xml:space="preserve">  —  Core Banking → AML/PCI-Ready OneLake  ·  Port 8002  ·  ~125,662 rows</w:t>
      </w:r>
    </w:p>
    <w:p>
      <w:pPr>
        <w:pStyle w:val="Heading2"/>
        <w:jc w:val="left"/>
      </w:pPr>
      <w:r>
        <w:rPr>
          <w:rFonts w:ascii="Calibri" w:hAnsi="Calibri"/>
          <w:b/>
          <w:color w:val="2E5D9C"/>
          <w:sz w:val="28"/>
        </w:rPr>
        <w:t>7.1  Source Tables &amp; Data Issues</w:t>
      </w:r>
    </w:p>
    <w:tbl>
      <w:tblPr>
        <w:tblW w:type="auto" w:w="0"/>
        <w:jc w:val="left"/>
        <w:tblLook w:firstColumn="1" w:firstRow="1" w:lastColumn="0" w:lastRow="0" w:noHBand="0" w:noVBand="1" w:val="04A0"/>
      </w:tblPr>
      <w:tblGrid>
        <w:gridCol w:w="1872"/>
        <w:gridCol w:w="1872"/>
        <w:gridCol w:w="1872"/>
        <w:gridCol w:w="1872"/>
        <w:gridCol w:w="1872"/>
      </w:tblGrid>
      <w:tr>
        <w:tc>
          <w:tcPr>
            <w:tcW w:type="dxa" w:w="1440"/>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Table</w:t>
            </w:r>
          </w:p>
        </w:tc>
        <w:tc>
          <w:tcPr>
            <w:tcW w:type="dxa" w:w="1224"/>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Rows</w:t>
            </w:r>
          </w:p>
        </w:tc>
        <w:tc>
          <w:tcPr>
            <w:tcW w:type="dxa" w:w="2160"/>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AI / Compliance Score</w:t>
            </w:r>
          </w:p>
        </w:tc>
        <w:tc>
          <w:tcPr>
            <w:tcW w:type="dxa" w:w="1584"/>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Domain</w:t>
            </w:r>
          </w:p>
        </w:tc>
        <w:tc>
          <w:tcPr>
            <w:tcW w:type="dxa" w:w="2952"/>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Key Issues</w:t>
            </w:r>
          </w:p>
        </w:tc>
      </w:tr>
      <w:tr>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8"/>
              </w:rPr>
              <w:t>CUSTOMERS</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~5,396</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38→96 AI / 32→99 Comp</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KYC / CRM</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15% missing SSN, 20% missing KYC date, 8% duplicates, 12% invalid emails</w:t>
            </w:r>
          </w:p>
        </w:tc>
      </w:tr>
      <w:tr>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8"/>
              </w:rPr>
              <w:t>ACCOUNTS</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8,000</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44→97 / 45→99</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Account Management</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 negative balances, 12% missing interest rates, 9% dormant unflagged</w:t>
            </w:r>
          </w:p>
        </w:tc>
      </w:tr>
      <w:tr>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8"/>
              </w:rPr>
              <w:t>TRANSACTIONS</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~97,066</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35→95 / 28→98</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Transaction Ledger</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 duplicate IDs, 10% missing MCC codes, 8% structuring-risk round amounts</w:t>
            </w:r>
          </w:p>
        </w:tc>
      </w:tr>
      <w:tr>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8"/>
              </w:rPr>
              <w:t>CARDS</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6,000</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41→96 / 35→99</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Card Services / PCI</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15% expired cards still Active, 5% Luhn failures, 20% missing CVV hash</w:t>
            </w:r>
          </w:p>
        </w:tc>
      </w:tr>
      <w:tr>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8"/>
              </w:rPr>
              <w:t>LOANS</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3,000</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40→95 / 38→98</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Loan Portfolio</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10% missing collateral values, 7% past-due schedules, 9% rate outliers</w:t>
            </w:r>
          </w:p>
        </w:tc>
      </w:tr>
      <w:tr>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8"/>
              </w:rPr>
              <w:t>BENEFICIARIES</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4,000</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36→94 / 30→97</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Payment Beneficiaries</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22% missing BIC/SWIFT, 18% unverified, 12% invalid routing numbers</w:t>
            </w:r>
          </w:p>
        </w:tc>
      </w:tr>
      <w:tr>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8"/>
              </w:rPr>
              <w:t>RISK_EVENTS</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2,000</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30→95 / 22→97</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AML / Fraud Risk</w:t>
            </w:r>
          </w:p>
        </w:tc>
        <w:tc>
          <w:tcPr>
            <w:tcW w:type="dxa" w:w="1872"/>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30% alerts open &gt;SLA, 25% missing SAR dates, 35% narratives below min length</w:t>
            </w:r>
          </w:p>
        </w:tc>
      </w:tr>
      <w:tr>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8"/>
              </w:rPr>
              <w:t>BRANCHES</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200</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55→97 / 50→99</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Branch Network</w:t>
            </w:r>
          </w:p>
        </w:tc>
        <w:tc>
          <w:tcPr>
            <w:tcW w:type="dxa" w:w="1872"/>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 closed branches still processing, 8% missing manager, 3% expired licenses</w:t>
            </w:r>
          </w:p>
        </w:tc>
      </w:tr>
    </w:tbl>
    <w:p/>
    <w:p>
      <w:pPr>
        <w:pStyle w:val="Heading2"/>
        <w:jc w:val="left"/>
      </w:pPr>
      <w:r>
        <w:rPr>
          <w:rFonts w:ascii="Calibri" w:hAnsi="Calibri"/>
          <w:b/>
          <w:color w:val="2E5D9C"/>
          <w:sz w:val="28"/>
        </w:rPr>
        <w:t>7.2  Regulatory Compliance Scoring</w:t>
      </w:r>
    </w:p>
    <w:p>
      <w:pPr>
        <w:spacing w:after="120"/>
      </w:pPr>
      <w:r>
        <w:rPr>
          <w:rFonts w:ascii="Calibri" w:hAnsi="Calibri"/>
          <w:b w:val="0"/>
          <w:i w:val="0"/>
          <w:sz w:val="20"/>
        </w:rPr>
        <w:t>Banking tables carry a Regulatory Compliance Score alongside the AI Readiness Score. The compliance score measures adherence across six regulatory frameworks:</w:t>
      </w:r>
    </w:p>
    <w:tbl>
      <w:tblPr>
        <w:tblW w:type="auto" w:w="0"/>
        <w:jc w:val="left"/>
        <w:tblLook w:firstColumn="1" w:firstRow="1" w:lastColumn="0" w:lastRow="0" w:noHBand="0" w:noVBand="1" w:val="04A0"/>
      </w:tblPr>
      <w:tblGrid>
        <w:gridCol w:w="4680"/>
        <w:gridCol w:w="4680"/>
      </w:tblGrid>
      <w:tr>
        <w:tc>
          <w:tcPr>
            <w:tcW w:type="dxa" w:w="216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Framework</w:t>
            </w:r>
          </w:p>
        </w:tc>
        <w:tc>
          <w:tcPr>
            <w:tcW w:type="dxa" w:w="720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Scope in This POC</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BSA / AML</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Bank Secrecy Act anti-money laundering monitoring, CTR/SAR filing readiness</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PCI-DSS Level 1</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Payment Card Industry data security — PAN tokenisation, CHD scope reduction</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KYC / CDD</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Know Your Customer / Customer Due Diligence completeness per CIP requirements</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GLBA</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Gramm-Leach-Bliley Act financial privacy — PII classification and access control</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HMDA / CRA</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Home Mortgage Disclosure Act + Community Reinvestment Act assessment area mapping</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FDIC / OCC</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Deposit insurance categorisation, national bank examination data readiness</w:t>
            </w:r>
          </w:p>
        </w:tc>
      </w:tr>
    </w:tbl>
    <w:p/>
    <w:p>
      <w:pPr>
        <w:pStyle w:val="Heading2"/>
        <w:jc w:val="left"/>
      </w:pPr>
      <w:r>
        <w:rPr>
          <w:rFonts w:ascii="Calibri" w:hAnsi="Calibri"/>
          <w:b/>
          <w:color w:val="2E5D9C"/>
          <w:sz w:val="28"/>
        </w:rPr>
        <w:t>7.3  Banking DQ Rules (Stage 6)</w:t>
      </w:r>
    </w:p>
    <w:tbl>
      <w:tblPr>
        <w:tblW w:type="auto" w:w="0"/>
        <w:jc w:val="left"/>
        <w:tblLook w:firstColumn="1" w:firstRow="1" w:lastColumn="0" w:lastRow="0" w:noHBand="0" w:noVBand="1" w:val="04A0"/>
      </w:tblPr>
      <w:tblGrid>
        <w:gridCol w:w="4680"/>
        <w:gridCol w:w="4680"/>
      </w:tblGrid>
      <w:tr>
        <w:tc>
          <w:tcPr>
            <w:tcW w:type="dxa" w:w="2592"/>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Rule</w:t>
            </w:r>
          </w:p>
        </w:tc>
        <w:tc>
          <w:tcPr>
            <w:tcW w:type="dxa" w:w="676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Description</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KYC Completeness</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All CIP-required fields (name, DOB, address, SSN/TIN) populated for active customers</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AML Velocity Check</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Transaction velocity within AML thresholds over 24-hour, 7-day, and 30-day windows</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Balance Integrity</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Account balances reconcile with the sum of credited and debited transaction history</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Card Luhn Validity</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All Primary Account Numbers (PANs) pass ISO/IEC 7812 Luhn algorithm check</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Routing Number Validity</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ABA routing numbers validated against Federal Reserve ACH participant directory</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SAR Filing Timeliness</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Suspicious Activity Reports filed within 30-calendar-day FinCEN SLA requirement</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Referential Integrity</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All FK references (account→customer, card→account, loan→customer) resolve correctly</w:t>
            </w:r>
          </w:p>
        </w:tc>
      </w:tr>
    </w:tbl>
    <w:p/>
    <w:p>
      <w:r>
        <w:br w:type="page"/>
      </w:r>
    </w:p>
    <w:p>
      <w:pPr>
        <w:pStyle w:val="Heading1"/>
        <w:jc w:val="left"/>
      </w:pPr>
      <w:r>
        <w:rPr>
          <w:rFonts w:ascii="Calibri" w:hAnsi="Calibri"/>
          <w:b/>
          <w:color w:val="1E406E"/>
          <w:sz w:val="36"/>
        </w:rPr>
        <w:t>8. Improvement Roadmap — Reaching Platinum</w:t>
      </w:r>
    </w:p>
    <w:p>
      <w:pPr>
        <w:spacing w:before="80" w:after="80"/>
        <w:pBdr>
          <w:bottom w:val="single" w:sz="6" w:space="1" w:color="CBD5E1"/>
        </w:pBdr>
      </w:pPr>
    </w:p>
    <w:p>
      <w:pPr>
        <w:spacing w:after="120"/>
      </w:pPr>
      <w:r>
        <w:rPr>
          <w:rFonts w:ascii="Calibri" w:hAnsi="Calibri"/>
          <w:b w:val="0"/>
          <w:i w:val="0"/>
          <w:sz w:val="20"/>
        </w:rPr>
        <w:t>A key differentiator of this POC is the per-table, per-transition improvement roadmap. The dashboard's Roadmap panel shows exactly what must be done to advance each table from its current layer to the next. Below is a representative summary by vertical.</w:t>
      </w:r>
    </w:p>
    <w:p>
      <w:pPr>
        <w:pStyle w:val="Heading2"/>
        <w:jc w:val="left"/>
      </w:pPr>
      <w:r>
        <w:rPr>
          <w:rFonts w:ascii="Calibri" w:hAnsi="Calibri"/>
          <w:b/>
          <w:color w:val="2E5D9C"/>
          <w:sz w:val="28"/>
        </w:rPr>
        <w:t>8.1  Banking — RISK_EVENTS (currently lowest score)</w:t>
      </w:r>
    </w:p>
    <w:p>
      <w:pPr>
        <w:spacing w:after="120"/>
      </w:pPr>
      <w:r>
        <w:rPr>
          <w:rFonts w:ascii="Calibri" w:hAnsi="Calibri"/>
          <w:b w:val="0"/>
          <w:i w:val="0"/>
          <w:color w:val="78350F"/>
          <w:sz w:val="20"/>
        </w:rPr>
        <w:t>Starting AI Score: 30 (source) → Target: 95 (Platinum)</w:t>
      </w:r>
    </w:p>
    <w:p>
      <w:r>
        <w:rPr>
          <w:rFonts w:ascii="Calibri" w:hAnsi="Calibri"/>
          <w:b/>
          <w:color w:val="78350F"/>
          <w:sz w:val="20"/>
        </w:rPr>
        <w:t xml:space="preserve">  Bronze → Silver</w:t>
      </w:r>
    </w:p>
    <w:p>
      <w:pPr>
        <w:pStyle w:val="ListBullet"/>
        <w:spacing w:after="60"/>
        <w:ind w:left="648"/>
      </w:pPr>
      <w:r>
        <w:rPr>
          <w:rFonts w:ascii="Calibri" w:hAnsi="Calibri"/>
          <w:b w:val="0"/>
          <w:i w:val="0"/>
          <w:color w:val="1E293B"/>
          <w:sz w:val="18"/>
        </w:rPr>
        <w:t>Auto-assign SLA breach flags to all alerts open &gt;30 days</w:t>
      </w:r>
    </w:p>
    <w:p>
      <w:pPr>
        <w:pStyle w:val="ListBullet"/>
        <w:spacing w:after="60"/>
        <w:ind w:left="648"/>
      </w:pPr>
      <w:r>
        <w:rPr>
          <w:rFonts w:ascii="Calibri" w:hAnsi="Calibri"/>
          <w:b w:val="0"/>
          <w:i w:val="0"/>
          <w:color w:val="1E293B"/>
          <w:sz w:val="18"/>
        </w:rPr>
        <w:t>Backfill SAR filing dates from case management system</w:t>
      </w:r>
    </w:p>
    <w:p>
      <w:pPr>
        <w:pStyle w:val="ListBullet"/>
        <w:spacing w:after="60"/>
        <w:ind w:left="648"/>
      </w:pPr>
      <w:r>
        <w:rPr>
          <w:rFonts w:ascii="Calibri" w:hAnsi="Calibri"/>
          <w:b w:val="0"/>
          <w:i w:val="0"/>
          <w:color w:val="1E293B"/>
          <w:sz w:val="18"/>
        </w:rPr>
        <w:t>Enrich narratives to meet FinCEN minimum word-count requirements</w:t>
      </w:r>
    </w:p>
    <w:p>
      <w:pPr>
        <w:pStyle w:val="ListBullet"/>
        <w:spacing w:after="60"/>
        <w:ind w:left="648"/>
      </w:pPr>
      <w:r>
        <w:rPr>
          <w:rFonts w:ascii="Calibri" w:hAnsi="Calibri"/>
          <w:b w:val="0"/>
          <w:i w:val="0"/>
          <w:color w:val="1E293B"/>
          <w:sz w:val="18"/>
        </w:rPr>
        <w:t>Apply rule-based risk scores to all currently unscored events</w:t>
      </w:r>
    </w:p>
    <w:p>
      <w:pPr>
        <w:pStyle w:val="ListBullet"/>
        <w:spacing w:after="60"/>
        <w:ind w:left="648"/>
      </w:pPr>
      <w:r>
        <w:rPr>
          <w:rFonts w:ascii="Calibri" w:hAnsi="Calibri"/>
          <w:b w:val="0"/>
          <w:i w:val="0"/>
          <w:color w:val="1E293B"/>
          <w:sz w:val="18"/>
        </w:rPr>
        <w:t>Populate resolution outcome codes from case closure records</w:t>
      </w:r>
    </w:p>
    <w:p>
      <w:r>
        <w:rPr>
          <w:rFonts w:ascii="Calibri" w:hAnsi="Calibri"/>
          <w:b/>
          <w:color w:val="78350F"/>
          <w:sz w:val="20"/>
        </w:rPr>
        <w:t xml:space="preserve">  Silver → Gold</w:t>
      </w:r>
    </w:p>
    <w:p>
      <w:pPr>
        <w:pStyle w:val="ListBullet"/>
        <w:spacing w:after="60"/>
        <w:ind w:left="648"/>
      </w:pPr>
      <w:r>
        <w:rPr>
          <w:rFonts w:ascii="Calibri" w:hAnsi="Calibri"/>
          <w:b w:val="0"/>
          <w:i w:val="0"/>
          <w:color w:val="1E293B"/>
          <w:sz w:val="18"/>
        </w:rPr>
        <w:t>Build ML alert prioritisation model — target false positive rate &lt;30%</w:t>
      </w:r>
    </w:p>
    <w:p>
      <w:pPr>
        <w:pStyle w:val="ListBullet"/>
        <w:spacing w:after="60"/>
        <w:ind w:left="648"/>
      </w:pPr>
      <w:r>
        <w:rPr>
          <w:rFonts w:ascii="Calibri" w:hAnsi="Calibri"/>
          <w:b w:val="0"/>
          <w:i w:val="0"/>
          <w:color w:val="1E293B"/>
          <w:sz w:val="18"/>
        </w:rPr>
        <w:t>Implement LLM-based SAR narrative generation</w:t>
      </w:r>
    </w:p>
    <w:p>
      <w:pPr>
        <w:pStyle w:val="ListBullet"/>
        <w:spacing w:after="60"/>
        <w:ind w:left="648"/>
      </w:pPr>
      <w:r>
        <w:rPr>
          <w:rFonts w:ascii="Calibri" w:hAnsi="Calibri"/>
          <w:b w:val="0"/>
          <w:i w:val="0"/>
          <w:color w:val="1E293B"/>
          <w:sz w:val="18"/>
        </w:rPr>
        <w:t>Enable real-time alert deduplication via graph entity resolution</w:t>
      </w:r>
    </w:p>
    <w:p>
      <w:pPr>
        <w:pStyle w:val="ListBullet"/>
        <w:spacing w:after="60"/>
        <w:ind w:left="648"/>
      </w:pPr>
      <w:r>
        <w:rPr>
          <w:rFonts w:ascii="Calibri" w:hAnsi="Calibri"/>
          <w:b w:val="0"/>
          <w:i w:val="0"/>
          <w:color w:val="1E293B"/>
          <w:sz w:val="18"/>
        </w:rPr>
        <w:t>Link all SAR filings to BSA E-Filing confirmation numbers</w:t>
      </w:r>
    </w:p>
    <w:p>
      <w:pPr>
        <w:pStyle w:val="ListBullet"/>
        <w:spacing w:after="60"/>
        <w:ind w:left="648"/>
      </w:pPr>
      <w:r>
        <w:rPr>
          <w:rFonts w:ascii="Calibri" w:hAnsi="Calibri"/>
          <w:b w:val="0"/>
          <w:i w:val="0"/>
          <w:color w:val="1E293B"/>
          <w:sz w:val="18"/>
        </w:rPr>
        <w:t>Create typology tags: layering, structuring, smurfing, etc.</w:t>
      </w:r>
    </w:p>
    <w:p>
      <w:r>
        <w:rPr>
          <w:rFonts w:ascii="Calibri" w:hAnsi="Calibri"/>
          <w:b/>
          <w:color w:val="78350F"/>
          <w:sz w:val="20"/>
        </w:rPr>
        <w:t xml:space="preserve">  Gold → Platinum</w:t>
      </w:r>
    </w:p>
    <w:p>
      <w:pPr>
        <w:pStyle w:val="ListBullet"/>
        <w:spacing w:after="60"/>
        <w:ind w:left="648"/>
      </w:pPr>
      <w:r>
        <w:rPr>
          <w:rFonts w:ascii="Calibri" w:hAnsi="Calibri"/>
          <w:b w:val="0"/>
          <w:i w:val="0"/>
          <w:color w:val="1E293B"/>
          <w:sz w:val="18"/>
        </w:rPr>
        <w:t>Network graph analytics for transaction laundering detection</w:t>
      </w:r>
    </w:p>
    <w:p>
      <w:pPr>
        <w:pStyle w:val="ListBullet"/>
        <w:spacing w:after="60"/>
        <w:ind w:left="648"/>
      </w:pPr>
      <w:r>
        <w:rPr>
          <w:rFonts w:ascii="Calibri" w:hAnsi="Calibri"/>
          <w:b w:val="0"/>
          <w:i w:val="0"/>
          <w:color w:val="1E293B"/>
          <w:sz w:val="18"/>
        </w:rPr>
        <w:t>Explainable AI (XAI) on all ML risk scores for regulator review</w:t>
      </w:r>
    </w:p>
    <w:p>
      <w:pPr>
        <w:pStyle w:val="ListBullet"/>
        <w:spacing w:after="60"/>
        <w:ind w:left="648"/>
      </w:pPr>
      <w:r>
        <w:rPr>
          <w:rFonts w:ascii="Calibri" w:hAnsi="Calibri"/>
          <w:b w:val="0"/>
          <w:i w:val="0"/>
          <w:color w:val="1E293B"/>
          <w:sz w:val="18"/>
        </w:rPr>
        <w:t>Automated SAR filing to FinCEN via BSA E-Filing API</w:t>
      </w:r>
    </w:p>
    <w:p>
      <w:pPr>
        <w:pStyle w:val="ListBullet"/>
        <w:spacing w:after="60"/>
        <w:ind w:left="648"/>
      </w:pPr>
      <w:r>
        <w:rPr>
          <w:rFonts w:ascii="Calibri" w:hAnsi="Calibri"/>
          <w:b w:val="0"/>
          <w:i w:val="0"/>
          <w:color w:val="1E293B"/>
          <w:sz w:val="18"/>
        </w:rPr>
        <w:t>Federated AML model sharing across consortium banks</w:t>
      </w:r>
    </w:p>
    <w:p>
      <w:pPr>
        <w:pStyle w:val="ListBullet"/>
        <w:spacing w:after="60"/>
        <w:ind w:left="648"/>
      </w:pPr>
      <w:r>
        <w:rPr>
          <w:rFonts w:ascii="Calibri" w:hAnsi="Calibri"/>
          <w:b w:val="0"/>
          <w:i w:val="0"/>
          <w:color w:val="1E293B"/>
          <w:sz w:val="18"/>
        </w:rPr>
        <w:t>Achieve ACAMS-certified AML program data layer certification</w:t>
      </w:r>
    </w:p>
    <w:p>
      <w:pPr>
        <w:pStyle w:val="Heading2"/>
        <w:jc w:val="left"/>
      </w:pPr>
      <w:r>
        <w:rPr>
          <w:rFonts w:ascii="Calibri" w:hAnsi="Calibri"/>
          <w:b/>
          <w:color w:val="2E5D9C"/>
          <w:sz w:val="28"/>
        </w:rPr>
        <w:t>8.2  Healthcare — PATIENTS (lowest HIPAA score at Bronze)</w:t>
      </w:r>
    </w:p>
    <w:p>
      <w:pPr>
        <w:spacing w:after="120"/>
      </w:pPr>
      <w:r>
        <w:rPr>
          <w:rFonts w:ascii="Calibri" w:hAnsi="Calibri"/>
          <w:b w:val="0"/>
          <w:i w:val="0"/>
          <w:color w:val="6D28D9"/>
          <w:sz w:val="20"/>
        </w:rPr>
        <w:t>Bronze HIPAA Score: 28 → Target: 99 (Platinum)</w:t>
      </w:r>
    </w:p>
    <w:p>
      <w:r>
        <w:rPr>
          <w:rFonts w:ascii="Calibri" w:hAnsi="Calibri"/>
          <w:b/>
          <w:color w:val="6D28D9"/>
          <w:sz w:val="20"/>
        </w:rPr>
        <w:t xml:space="preserve">  Bronze → Silver</w:t>
      </w:r>
    </w:p>
    <w:p>
      <w:pPr>
        <w:pStyle w:val="ListBullet"/>
        <w:spacing w:after="60"/>
        <w:ind w:left="648"/>
      </w:pPr>
      <w:r>
        <w:rPr>
          <w:rFonts w:ascii="Calibri" w:hAnsi="Calibri"/>
          <w:b w:val="0"/>
          <w:i w:val="0"/>
          <w:color w:val="1E293B"/>
          <w:sz w:val="18"/>
        </w:rPr>
        <w:t>Apply all 18 HIPAA Safe Harbor transformations (date shift, ZIP generalisation, name removal)</w:t>
      </w:r>
    </w:p>
    <w:p>
      <w:pPr>
        <w:pStyle w:val="ListBullet"/>
        <w:spacing w:after="60"/>
        <w:ind w:left="648"/>
      </w:pPr>
      <w:r>
        <w:rPr>
          <w:rFonts w:ascii="Calibri" w:hAnsi="Calibri"/>
          <w:b w:val="0"/>
          <w:i w:val="0"/>
          <w:color w:val="1E293B"/>
          <w:sz w:val="18"/>
        </w:rPr>
        <w:t>Run Master Patient Index (MPI) de-duplication on name + DOB + MRN</w:t>
      </w:r>
    </w:p>
    <w:p>
      <w:pPr>
        <w:pStyle w:val="ListBullet"/>
        <w:spacing w:after="60"/>
        <w:ind w:left="648"/>
      </w:pPr>
      <w:r>
        <w:rPr>
          <w:rFonts w:ascii="Calibri" w:hAnsi="Calibri"/>
          <w:b w:val="0"/>
          <w:i w:val="0"/>
          <w:color w:val="1E293B"/>
          <w:sz w:val="18"/>
        </w:rPr>
        <w:t>Validate all patient DOBs — flag ages &gt;89 for grouping</w:t>
      </w:r>
    </w:p>
    <w:p>
      <w:pPr>
        <w:pStyle w:val="ListBullet"/>
        <w:spacing w:after="60"/>
        <w:ind w:left="648"/>
      </w:pPr>
      <w:r>
        <w:rPr>
          <w:rFonts w:ascii="Calibri" w:hAnsi="Calibri"/>
          <w:b w:val="0"/>
          <w:i w:val="0"/>
          <w:color w:val="1E293B"/>
          <w:sz w:val="18"/>
        </w:rPr>
        <w:t>Standardise phone to E.164; validate email RFC 5322</w:t>
      </w:r>
    </w:p>
    <w:p>
      <w:pPr>
        <w:pStyle w:val="ListBullet"/>
        <w:spacing w:after="60"/>
        <w:ind w:left="648"/>
      </w:pPr>
      <w:r>
        <w:rPr>
          <w:rFonts w:ascii="Calibri" w:hAnsi="Calibri"/>
          <w:b w:val="0"/>
          <w:i w:val="0"/>
          <w:color w:val="1E293B"/>
          <w:sz w:val="18"/>
        </w:rPr>
        <w:t>Remove all direct identifiers from free-text fields using NLP NER</w:t>
      </w:r>
    </w:p>
    <w:p>
      <w:r>
        <w:rPr>
          <w:rFonts w:ascii="Calibri" w:hAnsi="Calibri"/>
          <w:b/>
          <w:color w:val="6D28D9"/>
          <w:sz w:val="20"/>
        </w:rPr>
        <w:t xml:space="preserve">  Silver → Gold</w:t>
      </w:r>
    </w:p>
    <w:p>
      <w:pPr>
        <w:pStyle w:val="ListBullet"/>
        <w:spacing w:after="60"/>
        <w:ind w:left="648"/>
      </w:pPr>
      <w:r>
        <w:rPr>
          <w:rFonts w:ascii="Calibri" w:hAnsi="Calibri"/>
          <w:b w:val="0"/>
          <w:i w:val="0"/>
          <w:color w:val="1E293B"/>
          <w:sz w:val="18"/>
        </w:rPr>
        <w:t>Achieve 100% KYC-equivalent completeness for CIP-required clinical fields</w:t>
      </w:r>
    </w:p>
    <w:p>
      <w:pPr>
        <w:pStyle w:val="ListBullet"/>
        <w:spacing w:after="60"/>
        <w:ind w:left="648"/>
      </w:pPr>
      <w:r>
        <w:rPr>
          <w:rFonts w:ascii="Calibri" w:hAnsi="Calibri"/>
          <w:b w:val="0"/>
          <w:i w:val="0"/>
          <w:color w:val="1E293B"/>
          <w:sz w:val="18"/>
        </w:rPr>
        <w:t>Apply FHIR R4 resource validation on all patient demographic attributes</w:t>
      </w:r>
    </w:p>
    <w:p>
      <w:pPr>
        <w:pStyle w:val="ListBullet"/>
        <w:spacing w:after="60"/>
        <w:ind w:left="648"/>
      </w:pPr>
      <w:r>
        <w:rPr>
          <w:rFonts w:ascii="Calibri" w:hAnsi="Calibri"/>
          <w:b w:val="0"/>
          <w:i w:val="0"/>
          <w:color w:val="1E293B"/>
          <w:sz w:val="18"/>
        </w:rPr>
        <w:t>Generate patient-level de-identification audit trail</w:t>
      </w:r>
    </w:p>
    <w:p>
      <w:pPr>
        <w:pStyle w:val="ListBullet"/>
        <w:spacing w:after="60"/>
        <w:ind w:left="648"/>
      </w:pPr>
      <w:r>
        <w:rPr>
          <w:rFonts w:ascii="Calibri" w:hAnsi="Calibri"/>
          <w:b w:val="0"/>
          <w:i w:val="0"/>
          <w:color w:val="1E293B"/>
          <w:sz w:val="18"/>
        </w:rPr>
        <w:t>Enable consent registry propagation to downstream consumers</w:t>
      </w:r>
    </w:p>
    <w:p>
      <w:pPr>
        <w:pStyle w:val="ListBullet"/>
        <w:spacing w:after="60"/>
        <w:ind w:left="648"/>
      </w:pPr>
      <w:r>
        <w:rPr>
          <w:rFonts w:ascii="Calibri" w:hAnsi="Calibri"/>
          <w:b w:val="0"/>
          <w:i w:val="0"/>
          <w:color w:val="1E293B"/>
          <w:sz w:val="18"/>
        </w:rPr>
        <w:t>Cross-reference against duplicate detection (probabilistic matching)</w:t>
      </w:r>
    </w:p>
    <w:p>
      <w:r>
        <w:rPr>
          <w:rFonts w:ascii="Calibri" w:hAnsi="Calibri"/>
          <w:b/>
          <w:color w:val="6D28D9"/>
          <w:sz w:val="20"/>
        </w:rPr>
        <w:t xml:space="preserve">  Gold → Platinum</w:t>
      </w:r>
    </w:p>
    <w:p>
      <w:pPr>
        <w:pStyle w:val="ListBullet"/>
        <w:spacing w:after="60"/>
        <w:ind w:left="648"/>
      </w:pPr>
      <w:r>
        <w:rPr>
          <w:rFonts w:ascii="Calibri" w:hAnsi="Calibri"/>
          <w:b w:val="0"/>
          <w:i w:val="0"/>
          <w:color w:val="1E293B"/>
          <w:sz w:val="18"/>
        </w:rPr>
        <w:t>Generate SDOH (Social Determinants of Health) feature vectors</w:t>
      </w:r>
    </w:p>
    <w:p>
      <w:pPr>
        <w:pStyle w:val="ListBullet"/>
        <w:spacing w:after="60"/>
        <w:ind w:left="648"/>
      </w:pPr>
      <w:r>
        <w:rPr>
          <w:rFonts w:ascii="Calibri" w:hAnsi="Calibri"/>
          <w:b w:val="0"/>
          <w:i w:val="0"/>
          <w:color w:val="1E293B"/>
          <w:sz w:val="18"/>
        </w:rPr>
        <w:t>Apply differential privacy on aggregate analytics exports</w:t>
      </w:r>
    </w:p>
    <w:p>
      <w:pPr>
        <w:pStyle w:val="ListBullet"/>
        <w:spacing w:after="60"/>
        <w:ind w:left="648"/>
      </w:pPr>
      <w:r>
        <w:rPr>
          <w:rFonts w:ascii="Calibri" w:hAnsi="Calibri"/>
          <w:b w:val="0"/>
          <w:i w:val="0"/>
          <w:color w:val="1E293B"/>
          <w:sz w:val="18"/>
        </w:rPr>
        <w:t>Enable real-time consent check on every downstream data access</w:t>
      </w:r>
    </w:p>
    <w:p>
      <w:pPr>
        <w:pStyle w:val="ListBullet"/>
        <w:spacing w:after="60"/>
        <w:ind w:left="648"/>
      </w:pPr>
      <w:r>
        <w:rPr>
          <w:rFonts w:ascii="Calibri" w:hAnsi="Calibri"/>
          <w:b w:val="0"/>
          <w:i w:val="0"/>
          <w:color w:val="1E293B"/>
          <w:sz w:val="18"/>
        </w:rPr>
        <w:t>Full HIPAA Security Rule technical safeguards documentation</w:t>
      </w:r>
    </w:p>
    <w:p>
      <w:pPr>
        <w:pStyle w:val="ListBullet"/>
        <w:spacing w:after="60"/>
        <w:ind w:left="648"/>
      </w:pPr>
      <w:r>
        <w:rPr>
          <w:rFonts w:ascii="Calibri" w:hAnsi="Calibri"/>
          <w:b w:val="0"/>
          <w:i w:val="0"/>
          <w:color w:val="1E293B"/>
          <w:sz w:val="18"/>
        </w:rPr>
        <w:t>FHIR Bulk Data export readiness for research and payer integration</w:t>
      </w:r>
    </w:p>
    <w:p>
      <w:r>
        <w:br w:type="page"/>
      </w:r>
    </w:p>
    <w:p>
      <w:pPr>
        <w:pStyle w:val="Heading1"/>
        <w:jc w:val="left"/>
      </w:pPr>
      <w:r>
        <w:rPr>
          <w:rFonts w:ascii="Calibri" w:hAnsi="Calibri"/>
          <w:b/>
          <w:color w:val="1E406E"/>
          <w:sz w:val="36"/>
        </w:rPr>
        <w:t>9. Dashboard &amp; User Interface</w:t>
      </w:r>
    </w:p>
    <w:p>
      <w:pPr>
        <w:spacing w:before="80" w:after="80"/>
        <w:pBdr>
          <w:bottom w:val="single" w:sz="6" w:space="1" w:color="CBD5E1"/>
        </w:pBdr>
      </w:pPr>
    </w:p>
    <w:p>
      <w:pPr>
        <w:pStyle w:val="Heading2"/>
        <w:jc w:val="left"/>
      </w:pPr>
      <w:r>
        <w:rPr>
          <w:rFonts w:ascii="Calibri" w:hAnsi="Calibri"/>
          <w:b/>
          <w:color w:val="2E5D9C"/>
          <w:sz w:val="28"/>
        </w:rPr>
        <w:t>9.1  Live Backend Dashboard (per vertical)</w:t>
      </w:r>
    </w:p>
    <w:p>
      <w:pPr>
        <w:spacing w:after="120"/>
      </w:pPr>
      <w:r>
        <w:rPr>
          <w:rFonts w:ascii="Calibri" w:hAnsi="Calibri"/>
          <w:b w:val="0"/>
          <w:i w:val="0"/>
          <w:sz w:val="20"/>
        </w:rPr>
        <w:t>Each backend POC serves a React 18 single-page application that connects to the FastAPI server via WebSocket (/ws). The UI updates in real time as the pipeline runs.</w:t>
      </w:r>
    </w:p>
    <w:tbl>
      <w:tblPr>
        <w:tblW w:type="auto" w:w="0"/>
        <w:jc w:val="left"/>
        <w:tblLook w:firstColumn="1" w:firstRow="1" w:lastColumn="0" w:lastRow="0" w:noHBand="0" w:noVBand="1" w:val="04A0"/>
      </w:tblPr>
      <w:tblGrid>
        <w:gridCol w:w="4680"/>
        <w:gridCol w:w="4680"/>
      </w:tblGrid>
      <w:tr>
        <w:tc>
          <w:tcPr>
            <w:tcW w:type="dxa" w:w="2592"/>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Panel</w:t>
            </w:r>
          </w:p>
        </w:tc>
        <w:tc>
          <w:tcPr>
            <w:tcW w:type="dxa" w:w="676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Description</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Stage Sidebar</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9-stage list with active/done indicators, progress bars, and run/reset controls</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Medallion Cards</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Four layer cards (Bronze/Silver/Gold/Platinum) showing average scores and table counts</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Table Grid</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8-card grid showing per-table: current layer, AI score, compliance score, row count, quarantine count</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Dual Gauge (SVG)</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Concentric ring gauge: outer = AI score, inner = HIPAA/Compliance score with live animation</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Roadmap Panel</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Banking: 3-section improvement path (Bronze→Silver, Silver→Gold, Gold→Platinum) per selected table</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DQ Rules Panel</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7 DQ rules per table: pass rate bar, failure count, pass/warn/fail badge</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Lineage Panel</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Node chain: source → bronze → silver → gold with active node highlighting</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Compliance Panel</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Banking: 6 regulatory framework cards; Healthcare: 18 PHI identifier grid</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Pipeline Log</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Live streaming log at bottom: timestamped entries, colour-coded by level (INFO/WARN/SUCCESS)</w:t>
            </w:r>
          </w:p>
        </w:tc>
      </w:tr>
    </w:tbl>
    <w:p/>
    <w:p>
      <w:pPr>
        <w:pStyle w:val="Heading2"/>
        <w:jc w:val="left"/>
      </w:pPr>
      <w:r>
        <w:rPr>
          <w:rFonts w:ascii="Calibri" w:hAnsi="Calibri"/>
          <w:b/>
          <w:color w:val="2E5D9C"/>
          <w:sz w:val="28"/>
        </w:rPr>
        <w:t>9.2  Self-Contained Static Demo</w:t>
      </w:r>
    </w:p>
    <w:p>
      <w:pPr>
        <w:spacing w:after="120"/>
      </w:pPr>
      <w:r>
        <w:rPr>
          <w:rFonts w:ascii="Calibri" w:hAnsi="Calibri"/>
          <w:b w:val="0"/>
          <w:i w:val="0"/>
          <w:sz w:val="20"/>
        </w:rPr>
        <w:t>The file demo/index.html is a fully self-contained HTML page that runs the entire pipeline simulation in the browser using setTimeout-scheduled events. No backend, server, or network connection is required. It contains all three verticals (Enterprise ERP, Healthcare/HIPAA, Banking/AML) as switchable tabs and is deployable to any static host.</w:t>
      </w:r>
    </w:p>
    <w:tbl>
      <w:tblPr>
        <w:tblW w:type="auto" w:w="0"/>
        <w:jc w:val="left"/>
        <w:tblLook w:firstColumn="1" w:firstRow="1" w:lastColumn="0" w:lastRow="0" w:noHBand="0" w:noVBand="1" w:val="04A0"/>
      </w:tblPr>
      <w:tblGrid>
        <w:gridCol w:w="4680"/>
        <w:gridCol w:w="4680"/>
      </w:tblGrid>
      <w:tr>
        <w:tc>
          <w:tcPr>
            <w:tcW w:type="dxa" w:w="216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Property</w:t>
            </w:r>
          </w:p>
        </w:tc>
        <w:tc>
          <w:tcPr>
            <w:tcW w:type="dxa" w:w="720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Detail</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File size</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~1,200 lines — single HTML file, no dependencies beyond CDN</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CDN deps</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React 18 production, ReactDOM, Babel Standalone — loaded from unpkg.com</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Simulation</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buildScript(mode) generates timed event sequence (~22–26s per vertical)</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Tab switching</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Instant reset and full re-simulation on mode change (gen / hc / bank)</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Hosting</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Vercel (configured via vercel.json); any static host (GitHub Pages, Netlify, S3)</w:t>
            </w:r>
          </w:p>
        </w:tc>
      </w:tr>
    </w:tbl>
    <w:p/>
    <w:p>
      <w:r>
        <w:br w:type="page"/>
      </w:r>
    </w:p>
    <w:p>
      <w:pPr>
        <w:pStyle w:val="Heading1"/>
        <w:jc w:val="left"/>
      </w:pPr>
      <w:r>
        <w:rPr>
          <w:rFonts w:ascii="Calibri" w:hAnsi="Calibri"/>
          <w:b/>
          <w:color w:val="1E406E"/>
          <w:sz w:val="36"/>
        </w:rPr>
        <w:t>10. Data Volumes &amp; Injected Quality Issues</w:t>
      </w:r>
    </w:p>
    <w:p>
      <w:pPr>
        <w:spacing w:before="80" w:after="80"/>
        <w:pBdr>
          <w:bottom w:val="single" w:sz="6" w:space="1" w:color="CBD5E1"/>
        </w:pBdr>
      </w:pPr>
    </w:p>
    <w:p>
      <w:pPr>
        <w:pStyle w:val="Heading2"/>
        <w:jc w:val="left"/>
      </w:pPr>
      <w:r>
        <w:rPr>
          <w:rFonts w:ascii="Calibri" w:hAnsi="Calibri"/>
          <w:b/>
          <w:color w:val="2E5D9C"/>
          <w:sz w:val="28"/>
        </w:rPr>
        <w:t>10.1  Total Simulated Data Volume</w:t>
      </w:r>
    </w:p>
    <w:tbl>
      <w:tblPr>
        <w:tblW w:type="auto" w:w="0"/>
        <w:jc w:val="left"/>
        <w:tblLook w:firstColumn="1" w:firstRow="1" w:lastColumn="0" w:lastRow="0" w:noHBand="0" w:noVBand="1" w:val="04A0"/>
      </w:tblPr>
      <w:tblGrid>
        <w:gridCol w:w="2340"/>
        <w:gridCol w:w="2340"/>
        <w:gridCol w:w="2340"/>
        <w:gridCol w:w="2340"/>
      </w:tblGrid>
      <w:tr>
        <w:tc>
          <w:tcPr>
            <w:tcW w:type="dxa" w:w="2592"/>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Vertical</w:t>
            </w:r>
          </w:p>
        </w:tc>
        <w:tc>
          <w:tcPr>
            <w:tcW w:type="dxa" w:w="1296"/>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Tables</w:t>
            </w:r>
          </w:p>
        </w:tc>
        <w:tc>
          <w:tcPr>
            <w:tcW w:type="dxa" w:w="1296"/>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Rows</w:t>
            </w:r>
          </w:p>
        </w:tc>
        <w:tc>
          <w:tcPr>
            <w:tcW w:type="dxa" w:w="4248"/>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Source System</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Enterprise ERP</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 tables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~90,575</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Oracle ERP (SQLite simulation)</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Healthcare / HIPAA</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 tables</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~137,397</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Epic EHR (SQLite simulation)</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Banking / AML</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 tables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~125,662</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FIS/Fiserv Core Banking (SQLite simulation)</w:t>
            </w:r>
          </w:p>
        </w:tc>
      </w:tr>
      <w:tr>
        <w:tc>
          <w:tcPr>
            <w:tcW w:type="dxa" w:w="2340"/>
            <w:shd w:val="clear" w:color="auto" w:fill="D6E8F8"/>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406E"/>
                <w:sz w:val="18"/>
              </w:rPr>
              <w:t>TOTAL</w:t>
            </w:r>
          </w:p>
        </w:tc>
        <w:tc>
          <w:tcPr>
            <w:tcW w:type="dxa" w:w="2340"/>
            <w:shd w:val="clear" w:color="auto" w:fill="D6E8F8"/>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24 tables</w:t>
            </w:r>
          </w:p>
        </w:tc>
        <w:tc>
          <w:tcPr>
            <w:tcW w:type="dxa" w:w="2340"/>
            <w:shd w:val="clear" w:color="auto" w:fill="D6E8F8"/>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~353,634</w:t>
            </w:r>
          </w:p>
        </w:tc>
        <w:tc>
          <w:tcPr>
            <w:tcW w:type="dxa" w:w="2340"/>
            <w:shd w:val="clear" w:color="auto" w:fill="D6E8F8"/>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Three independent databases</w:t>
            </w:r>
          </w:p>
        </w:tc>
      </w:tr>
    </w:tbl>
    <w:p/>
    <w:p>
      <w:pPr>
        <w:pStyle w:val="Heading2"/>
        <w:jc w:val="left"/>
      </w:pPr>
      <w:r>
        <w:rPr>
          <w:rFonts w:ascii="Calibri" w:hAnsi="Calibri"/>
          <w:b/>
          <w:color w:val="2E5D9C"/>
          <w:sz w:val="28"/>
        </w:rPr>
        <w:t>10.2  Representative Injected Issues by Vertical</w:t>
      </w:r>
    </w:p>
    <w:tbl>
      <w:tblPr>
        <w:tblW w:type="auto" w:w="0"/>
        <w:jc w:val="left"/>
        <w:tblLook w:firstColumn="1" w:firstRow="1" w:lastColumn="0" w:lastRow="0" w:noHBand="0" w:noVBand="1" w:val="04A0"/>
      </w:tblPr>
      <w:tblGrid>
        <w:gridCol w:w="2340"/>
        <w:gridCol w:w="2340"/>
        <w:gridCol w:w="2340"/>
        <w:gridCol w:w="2340"/>
      </w:tblGrid>
      <w:tr>
        <w:tc>
          <w:tcPr>
            <w:tcW w:type="dxa" w:w="144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Vertical</w:t>
            </w:r>
          </w:p>
        </w:tc>
        <w:tc>
          <w:tcPr>
            <w:tcW w:type="dxa" w:w="1872"/>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Table</w:t>
            </w:r>
          </w:p>
        </w:tc>
        <w:tc>
          <w:tcPr>
            <w:tcW w:type="dxa" w:w="100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Rate</w:t>
            </w:r>
          </w:p>
        </w:tc>
        <w:tc>
          <w:tcPr>
            <w:tcW w:type="dxa" w:w="504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Issue</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ERP</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CUSTOMERS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12%</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Null email addresses</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ERP</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CUSTOMERS</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Duplicate customer records</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ERP</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ORDERS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FK violations (orphaned orders)</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ERP</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FINANCIALS</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~500</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Duplicate transaction IDs</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Healthcare</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DIAGNOSES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15%</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Invalid ICD-10-CM codes</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Healthcare</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PATIENTS</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10%</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Missing PHI fields</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Healthcare</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MEDICATIONS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Clinically impossible lab values</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Healthcare</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CLAIMS</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Paid amount &gt; billed amount</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Banking</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TRANSACTIONS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Duplicate transaction IDs</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Banking</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CARDS</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15%</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Expired cards still showing Active status</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Banking</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CARDS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Card numbers failing Luhn algorithm</w:t>
            </w:r>
          </w:p>
        </w:tc>
      </w:tr>
      <w:tr>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Banking</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RISK_EVENTS</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30%</w:t>
            </w:r>
          </w:p>
        </w:tc>
        <w:tc>
          <w:tcPr>
            <w:tcW w:type="dxa" w:w="23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AML/fraud alerts open beyond 30-day SLA</w:t>
            </w:r>
          </w:p>
        </w:tc>
      </w:tr>
      <w:tr>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Banking</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BENEFICIARIES</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22%</w:t>
            </w:r>
          </w:p>
        </w:tc>
        <w:tc>
          <w:tcPr>
            <w:tcW w:type="dxa" w:w="23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International beneficiaries missing BIC/SWIFT</w:t>
            </w:r>
          </w:p>
        </w:tc>
      </w:tr>
    </w:tbl>
    <w:p/>
    <w:p>
      <w:r>
        <w:br w:type="page"/>
      </w:r>
    </w:p>
    <w:p>
      <w:pPr>
        <w:pStyle w:val="Heading1"/>
        <w:jc w:val="left"/>
      </w:pPr>
      <w:r>
        <w:rPr>
          <w:rFonts w:ascii="Calibri" w:hAnsi="Calibri"/>
          <w:b/>
          <w:color w:val="1E406E"/>
          <w:sz w:val="36"/>
        </w:rPr>
        <w:t>11. Deployment &amp; Running the POC</w:t>
      </w:r>
    </w:p>
    <w:p>
      <w:pPr>
        <w:spacing w:before="80" w:after="80"/>
        <w:pBdr>
          <w:bottom w:val="single" w:sz="6" w:space="1" w:color="CBD5E1"/>
        </w:pBdr>
      </w:pPr>
    </w:p>
    <w:p>
      <w:pPr>
        <w:pStyle w:val="Heading2"/>
        <w:jc w:val="left"/>
      </w:pPr>
      <w:r>
        <w:rPr>
          <w:rFonts w:ascii="Calibri" w:hAnsi="Calibri"/>
          <w:b/>
          <w:color w:val="2E5D9C"/>
          <w:sz w:val="28"/>
        </w:rPr>
        <w:t>11.1  Prerequisites</w:t>
      </w:r>
    </w:p>
    <w:p>
      <w:pPr>
        <w:pStyle w:val="ListBullet"/>
        <w:spacing w:after="60"/>
        <w:ind w:left="360"/>
      </w:pPr>
      <w:r>
        <w:rPr>
          <w:rFonts w:ascii="Calibri" w:hAnsi="Calibri"/>
          <w:b w:val="0"/>
          <w:i w:val="0"/>
          <w:color w:val="1E293B"/>
          <w:sz w:val="20"/>
        </w:rPr>
        <w:t>Python 3.9 or later</w:t>
      </w:r>
    </w:p>
    <w:p>
      <w:pPr>
        <w:pStyle w:val="ListBullet"/>
        <w:spacing w:after="60"/>
        <w:ind w:left="360"/>
      </w:pPr>
      <w:r>
        <w:rPr>
          <w:rFonts w:ascii="Calibri" w:hAnsi="Calibri"/>
          <w:b w:val="0"/>
          <w:i w:val="0"/>
          <w:color w:val="1E293B"/>
          <w:sz w:val="20"/>
        </w:rPr>
        <w:t>pip3 (Python package manager)</w:t>
      </w:r>
    </w:p>
    <w:p>
      <w:pPr>
        <w:pStyle w:val="ListBullet"/>
        <w:spacing w:after="60"/>
        <w:ind w:left="360"/>
      </w:pPr>
      <w:r>
        <w:rPr>
          <w:rFonts w:ascii="Calibri" w:hAnsi="Calibri"/>
          <w:b w:val="0"/>
          <w:i w:val="0"/>
          <w:color w:val="1E293B"/>
          <w:sz w:val="20"/>
        </w:rPr>
        <w:t>Git (to clone the repository)</w:t>
      </w:r>
    </w:p>
    <w:p>
      <w:pPr>
        <w:pStyle w:val="ListBullet"/>
        <w:spacing w:after="60"/>
        <w:ind w:left="360"/>
      </w:pPr>
      <w:r>
        <w:rPr>
          <w:rFonts w:ascii="Calibri" w:hAnsi="Calibri"/>
          <w:b w:val="0"/>
          <w:i w:val="0"/>
          <w:color w:val="1E293B"/>
          <w:sz w:val="20"/>
        </w:rPr>
        <w:t>A modern web browser (Chrome, Firefox, Safari, Edge)</w:t>
      </w:r>
    </w:p>
    <w:p>
      <w:pPr>
        <w:pStyle w:val="Heading2"/>
        <w:jc w:val="left"/>
      </w:pPr>
      <w:r>
        <w:rPr>
          <w:rFonts w:ascii="Calibri" w:hAnsi="Calibri"/>
          <w:b/>
          <w:color w:val="2E5D9C"/>
          <w:sz w:val="28"/>
        </w:rPr>
        <w:t>11.2  Quick Start — Individual Verticals</w:t>
      </w:r>
    </w:p>
    <w:p>
      <w:r>
        <w:rPr>
          <w:rFonts w:ascii="Calibri" w:hAnsi="Calibri"/>
          <w:b/>
          <w:color w:val="1E406E"/>
          <w:sz w:val="20"/>
        </w:rPr>
        <w:t>Enterprise ERP  →  http://localhost:8000</w:t>
      </w:r>
    </w:p>
    <w:p>
      <w:pPr>
        <w:spacing w:after="80"/>
        <w:ind w:left="432"/>
      </w:pPr>
      <w:r>
        <w:rPr>
          <w:rFonts w:ascii="Courier New" w:hAnsi="Courier New"/>
          <w:color w:val="16A34A"/>
          <w:sz w:val="18"/>
        </w:rPr>
        <w:t>cd "" &amp;&amp; pip3 install -r backend/requirements.txt &amp;&amp; ./start.sh</w:t>
      </w:r>
    </w:p>
    <w:p>
      <w:r>
        <w:rPr>
          <w:rFonts w:ascii="Calibri" w:hAnsi="Calibri"/>
          <w:b/>
          <w:color w:val="1E406E"/>
          <w:sz w:val="20"/>
        </w:rPr>
        <w:t>Healthcare / HIPAA  →  http://localhost:8001</w:t>
      </w:r>
    </w:p>
    <w:p>
      <w:pPr>
        <w:spacing w:after="80"/>
        <w:ind w:left="432"/>
      </w:pPr>
      <w:r>
        <w:rPr>
          <w:rFonts w:ascii="Courier New" w:hAnsi="Courier New"/>
          <w:color w:val="16A34A"/>
          <w:sz w:val="18"/>
        </w:rPr>
        <w:t>cd "healthcare/" &amp;&amp; pip3 install -r healthcare/backend/requirements.txt &amp;&amp; ./healthcare/start.sh</w:t>
      </w:r>
    </w:p>
    <w:p>
      <w:r>
        <w:rPr>
          <w:rFonts w:ascii="Calibri" w:hAnsi="Calibri"/>
          <w:b/>
          <w:color w:val="1E406E"/>
          <w:sz w:val="20"/>
        </w:rPr>
        <w:t>Banking / AML  →  http://localhost:8002</w:t>
      </w:r>
    </w:p>
    <w:p>
      <w:pPr>
        <w:spacing w:after="80"/>
        <w:ind w:left="432"/>
      </w:pPr>
      <w:r>
        <w:rPr>
          <w:rFonts w:ascii="Courier New" w:hAnsi="Courier New"/>
          <w:color w:val="16A34A"/>
          <w:sz w:val="18"/>
        </w:rPr>
        <w:t>cd "banking/" &amp;&amp; pip3 install -r banking/backend/requirements.txt &amp;&amp; ./banking/start.sh</w:t>
      </w:r>
    </w:p>
    <w:p>
      <w:pPr>
        <w:pStyle w:val="Heading2"/>
        <w:jc w:val="left"/>
      </w:pPr>
      <w:r>
        <w:rPr>
          <w:rFonts w:ascii="Calibri" w:hAnsi="Calibri"/>
          <w:b/>
          <w:color w:val="2E5D9C"/>
          <w:sz w:val="28"/>
        </w:rPr>
        <w:t>11.3  Static Demo Deployment</w:t>
      </w:r>
    </w:p>
    <w:p>
      <w:pPr>
        <w:spacing w:after="120"/>
      </w:pPr>
      <w:r>
        <w:rPr>
          <w:rFonts w:ascii="Calibri" w:hAnsi="Calibri"/>
          <w:b w:val="0"/>
          <w:i w:val="0"/>
          <w:sz w:val="20"/>
        </w:rPr>
        <w:t>The demo/index.html file requires no backend and can be deployed to any static host:</w:t>
      </w:r>
    </w:p>
    <w:tbl>
      <w:tblPr>
        <w:tblW w:type="auto" w:w="0"/>
        <w:jc w:val="left"/>
        <w:tblLook w:firstColumn="1" w:firstRow="1" w:lastColumn="0" w:lastRow="0" w:noHBand="0" w:noVBand="1" w:val="04A0"/>
      </w:tblPr>
      <w:tblGrid>
        <w:gridCol w:w="4680"/>
        <w:gridCol w:w="4680"/>
      </w:tblGrid>
      <w:tr>
        <w:tc>
          <w:tcPr>
            <w:tcW w:type="dxa" w:w="172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Host</w:t>
            </w:r>
          </w:p>
        </w:tc>
        <w:tc>
          <w:tcPr>
            <w:tcW w:type="dxa" w:w="7632"/>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Method</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Vercel</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Connect GitHub repo at vercel.com/new — auto-deploys on every push. vercel.json is pre-configured.</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GitHub Pages</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Enable Pages on the repository; set root to /demo directory</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Netlify Drop</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Drag and drop the demo/ folder at app.netlify.com/drop</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Local file</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Open demo/index.html directly in a browser — no server needed</w:t>
            </w:r>
          </w:p>
        </w:tc>
      </w:tr>
    </w:tbl>
    <w:p/>
    <w:p>
      <w:pPr>
        <w:pStyle w:val="Heading2"/>
        <w:jc w:val="left"/>
      </w:pPr>
      <w:r>
        <w:rPr>
          <w:rFonts w:ascii="Calibri" w:hAnsi="Calibri"/>
          <w:b/>
          <w:color w:val="2E5D9C"/>
          <w:sz w:val="28"/>
        </w:rPr>
        <w:t>11.4  Repository Structure</w:t>
      </w:r>
    </w:p>
    <w:tbl>
      <w:tblPr>
        <w:tblW w:type="auto" w:w="0"/>
        <w:jc w:val="left"/>
        <w:tblLook w:firstColumn="1" w:firstRow="1" w:lastColumn="0" w:lastRow="0" w:noHBand="0" w:noVBand="1" w:val="04A0"/>
      </w:tblPr>
      <w:tblGrid>
        <w:gridCol w:w="4680"/>
        <w:gridCol w:w="4680"/>
      </w:tblGrid>
      <w:tr>
        <w:tc>
          <w:tcPr>
            <w:tcW w:type="dxa" w:w="288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Path</w:t>
            </w:r>
          </w:p>
        </w:tc>
        <w:tc>
          <w:tcPr>
            <w:tcW w:type="dxa" w:w="648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Description</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backend/</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Enterprise ERP FastAPI backend (oracle_sim.py, pipeline.py, main.py)</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frontend/</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ERP React dashboard (index.html)</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healthcare/backend/</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Healthcare FastAPI backend (health_oracle_sim.py, health_pipeline.py)</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healthcare/frontend/</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Healthcare React dashboard with dual HIPAA gauge</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banking/backend/</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Banking FastAPI backend (bank_oracle_sim.py, bank_pipeline.py)</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banking/frontend/</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Banking React dashboard with improvement roadmap panel</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demo/</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Self-contained browser simulation — all 3 verticals, no backend</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start.sh</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One-command launcher for ERP POC</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healthcare/start.sh</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One-command launcher for Healthcare POC</w:t>
            </w:r>
          </w:p>
        </w:tc>
      </w:tr>
      <w:tr>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banking/start.sh</w:t>
            </w:r>
          </w:p>
        </w:tc>
        <w:tc>
          <w:tcPr>
            <w:tcW w:type="dxa" w:w="468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One-command launcher for Banking POC</w:t>
            </w:r>
          </w:p>
        </w:tc>
      </w:tr>
      <w:tr>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vercel.json</w:t>
            </w:r>
          </w:p>
        </w:tc>
        <w:tc>
          <w:tcPr>
            <w:tcW w:type="dxa" w:w="468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Vercel deployment config — serves demo/index.html at root</w:t>
            </w:r>
          </w:p>
        </w:tc>
      </w:tr>
    </w:tbl>
    <w:p/>
    <w:p>
      <w:r>
        <w:br w:type="page"/>
      </w:r>
    </w:p>
    <w:p>
      <w:pPr>
        <w:pStyle w:val="Heading1"/>
        <w:jc w:val="left"/>
      </w:pPr>
      <w:r>
        <w:rPr>
          <w:rFonts w:ascii="Calibri" w:hAnsi="Calibri"/>
          <w:b/>
          <w:color w:val="1E406E"/>
          <w:sz w:val="36"/>
        </w:rPr>
        <w:t>12. WebSocket Protocol</w:t>
      </w:r>
    </w:p>
    <w:p>
      <w:pPr>
        <w:spacing w:before="80" w:after="80"/>
        <w:pBdr>
          <w:bottom w:val="single" w:sz="6" w:space="1" w:color="CBD5E1"/>
        </w:pBdr>
      </w:pPr>
    </w:p>
    <w:p>
      <w:pPr>
        <w:spacing w:after="120"/>
      </w:pPr>
      <w:r>
        <w:rPr>
          <w:rFonts w:ascii="Calibri" w:hAnsi="Calibri"/>
          <w:b w:val="0"/>
          <w:i w:val="0"/>
          <w:sz w:val="20"/>
        </w:rPr>
        <w:t>All three live backend POCs communicate with the frontend via a JSON-over-WebSocket protocol. The server fans out events to all connected clients. State is held in-memory on the server; a new client connecting mid-pipeline receives a full_state snapshot immediately.</w:t>
      </w:r>
    </w:p>
    <w:tbl>
      <w:tblPr>
        <w:tblW w:type="auto" w:w="0"/>
        <w:jc w:val="left"/>
        <w:tblLook w:firstColumn="1" w:firstRow="1" w:lastColumn="0" w:lastRow="0" w:noHBand="0" w:noVBand="1" w:val="04A0"/>
      </w:tblPr>
      <w:tblGrid>
        <w:gridCol w:w="3120"/>
        <w:gridCol w:w="3120"/>
        <w:gridCol w:w="3120"/>
      </w:tblGrid>
      <w:tr>
        <w:tc>
          <w:tcPr>
            <w:tcW w:type="dxa" w:w="244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Event Type</w:t>
            </w:r>
          </w:p>
        </w:tc>
        <w:tc>
          <w:tcPr>
            <w:tcW w:type="dxa" w:w="100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Direction</w:t>
            </w:r>
          </w:p>
        </w:tc>
        <w:tc>
          <w:tcPr>
            <w:tcW w:type="dxa" w:w="5904"/>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Description</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full_state</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Complete pipeline state snapshot — sent on connect or after reset</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run_pipeline</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C→S</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Client command: start a new pipeline run</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reset</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C→S</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Client command: reset all state</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pipeline_reset</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Broadcast: pipeline state cleared, tables reset</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stage_start</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Stage N has begun; includes stage name</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stage_complete</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Stage N is done</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table_update</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Table metadata changed: layer, score, compliance_score, rows</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dq_result</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DQ rule results for a table: pass rate and failure count per rule</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lineage_update</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Full lineage map: source → bronze → silver → gold per table</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compliance_summary</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Banking: PCI identifiers, AML/KYC fields, improvement paths</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phi_summary</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Healthcare: which of the 18 PHI identifiers were detected</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log</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Pipeline log entry: level (INFO/WARN/SUCCESS) + message</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pipeline_complete</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Pipeline finished: duration, total rows, avg scores</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error</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S→C</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Error condition: e.g., pipeline already running</w:t>
            </w:r>
          </w:p>
        </w:tc>
      </w:tr>
    </w:tbl>
    <w:p/>
    <w:p>
      <w:r>
        <w:br w:type="page"/>
      </w:r>
    </w:p>
    <w:p>
      <w:pPr>
        <w:pStyle w:val="Heading1"/>
        <w:jc w:val="left"/>
      </w:pPr>
      <w:r>
        <w:rPr>
          <w:rFonts w:ascii="Calibri" w:hAnsi="Calibri"/>
          <w:b/>
          <w:color w:val="1E406E"/>
          <w:sz w:val="36"/>
        </w:rPr>
        <w:t>13. Assumptions &amp; Constraints</w:t>
      </w:r>
    </w:p>
    <w:p>
      <w:pPr>
        <w:spacing w:before="80" w:after="80"/>
        <w:pBdr>
          <w:bottom w:val="single" w:sz="6" w:space="1" w:color="CBD5E1"/>
        </w:pBdr>
      </w:pPr>
    </w:p>
    <w:p>
      <w:pPr>
        <w:pStyle w:val="Heading2"/>
        <w:jc w:val="left"/>
      </w:pPr>
      <w:r>
        <w:rPr>
          <w:rFonts w:ascii="Calibri" w:hAnsi="Calibri"/>
          <w:b/>
          <w:color w:val="2E5D9C"/>
          <w:sz w:val="28"/>
        </w:rPr>
        <w:t>13.1  Assumptions</w:t>
      </w:r>
    </w:p>
    <w:p>
      <w:pPr>
        <w:pStyle w:val="ListBullet"/>
        <w:spacing w:after="60"/>
        <w:ind w:left="360"/>
      </w:pPr>
      <w:r>
        <w:rPr>
          <w:rFonts w:ascii="Calibri" w:hAnsi="Calibri"/>
          <w:b w:val="0"/>
          <w:i w:val="0"/>
          <w:color w:val="1E293B"/>
          <w:sz w:val="20"/>
        </w:rPr>
        <w:t>All data is synthetic and randomly generated — no real patient, customer, or financial records are used</w:t>
      </w:r>
    </w:p>
    <w:p>
      <w:pPr>
        <w:pStyle w:val="ListBullet"/>
        <w:spacing w:after="60"/>
        <w:ind w:left="360"/>
      </w:pPr>
      <w:r>
        <w:rPr>
          <w:rFonts w:ascii="Calibri" w:hAnsi="Calibri"/>
          <w:b w:val="0"/>
          <w:i w:val="0"/>
          <w:color w:val="1E293B"/>
          <w:sz w:val="20"/>
        </w:rPr>
        <w:t>Compliance scores are illustrative indicators, not certifications under HIPAA, PCI-DSS, or BSA</w:t>
      </w:r>
    </w:p>
    <w:p>
      <w:pPr>
        <w:pStyle w:val="ListBullet"/>
        <w:spacing w:after="60"/>
        <w:ind w:left="360"/>
      </w:pPr>
      <w:r>
        <w:rPr>
          <w:rFonts w:ascii="Calibri" w:hAnsi="Calibri"/>
          <w:b w:val="0"/>
          <w:i w:val="0"/>
          <w:color w:val="1E293B"/>
          <w:sz w:val="20"/>
        </w:rPr>
        <w:t>The pipeline simulation is deterministic given a fixed random seed (42) for reproducible demos</w:t>
      </w:r>
    </w:p>
    <w:p>
      <w:pPr>
        <w:pStyle w:val="ListBullet"/>
        <w:spacing w:after="60"/>
        <w:ind w:left="360"/>
      </w:pPr>
      <w:r>
        <w:rPr>
          <w:rFonts w:ascii="Calibri" w:hAnsi="Calibri"/>
          <w:b w:val="0"/>
          <w:i w:val="0"/>
          <w:color w:val="1E293B"/>
          <w:sz w:val="20"/>
        </w:rPr>
        <w:t>Backend POCs require a machine with Python 3.9+ and ~200MB disk space for SQLite databases</w:t>
      </w:r>
    </w:p>
    <w:p>
      <w:pPr>
        <w:pStyle w:val="ListBullet"/>
        <w:spacing w:after="60"/>
        <w:ind w:left="360"/>
      </w:pPr>
      <w:r>
        <w:rPr>
          <w:rFonts w:ascii="Calibri" w:hAnsi="Calibri"/>
          <w:b w:val="0"/>
          <w:i w:val="0"/>
          <w:color w:val="1E293B"/>
          <w:sz w:val="20"/>
        </w:rPr>
        <w:t>The static demo requires a browser with JavaScript enabled; CDN resources loaded from unpkg.com</w:t>
      </w:r>
    </w:p>
    <w:p>
      <w:pPr>
        <w:pStyle w:val="ListBullet"/>
        <w:spacing w:after="60"/>
        <w:ind w:left="360"/>
      </w:pPr>
      <w:r>
        <w:rPr>
          <w:rFonts w:ascii="Calibri" w:hAnsi="Calibri"/>
          <w:b w:val="0"/>
          <w:i w:val="0"/>
          <w:color w:val="1E293B"/>
          <w:sz w:val="20"/>
        </w:rPr>
        <w:t>Three ports (8000, 8001, 8002) must be available when running all backends simultaneously</w:t>
      </w:r>
    </w:p>
    <w:p>
      <w:pPr>
        <w:pStyle w:val="Heading2"/>
        <w:jc w:val="left"/>
      </w:pPr>
      <w:r>
        <w:rPr>
          <w:rFonts w:ascii="Calibri" w:hAnsi="Calibri"/>
          <w:b/>
          <w:color w:val="2E5D9C"/>
          <w:sz w:val="28"/>
        </w:rPr>
        <w:t>13.2  Known Limitations</w:t>
      </w:r>
    </w:p>
    <w:p>
      <w:pPr>
        <w:pStyle w:val="ListBullet"/>
        <w:spacing w:after="60"/>
        <w:ind w:left="360"/>
      </w:pPr>
      <w:r>
        <w:rPr>
          <w:rFonts w:ascii="Calibri" w:hAnsi="Calibri"/>
          <w:b w:val="0"/>
          <w:i w:val="0"/>
          <w:color w:val="1E293B"/>
          <w:sz w:val="20"/>
        </w:rPr>
        <w:t>No persistent storage — pipeline state is in-memory and resets on server restart</w:t>
      </w:r>
    </w:p>
    <w:p>
      <w:pPr>
        <w:pStyle w:val="ListBullet"/>
        <w:spacing w:after="60"/>
        <w:ind w:left="360"/>
      </w:pPr>
      <w:r>
        <w:rPr>
          <w:rFonts w:ascii="Calibri" w:hAnsi="Calibri"/>
          <w:b w:val="0"/>
          <w:i w:val="0"/>
          <w:color w:val="1E293B"/>
          <w:sz w:val="20"/>
        </w:rPr>
        <w:t>WebSocket backends cannot run on Vercel serverless — only the static demo is Vercel-deployable</w:t>
      </w:r>
    </w:p>
    <w:p>
      <w:pPr>
        <w:pStyle w:val="ListBullet"/>
        <w:spacing w:after="60"/>
        <w:ind w:left="360"/>
      </w:pPr>
      <w:r>
        <w:rPr>
          <w:rFonts w:ascii="Calibri" w:hAnsi="Calibri"/>
          <w:b w:val="0"/>
          <w:i w:val="0"/>
          <w:color w:val="1E293B"/>
          <w:sz w:val="20"/>
        </w:rPr>
        <w:t>Banking pipeline DB creation has a known bug with negative date ranges (fix: delete banking.db and re-run after patch)</w:t>
      </w:r>
    </w:p>
    <w:p>
      <w:pPr>
        <w:pStyle w:val="ListBullet"/>
        <w:spacing w:after="60"/>
        <w:ind w:left="360"/>
      </w:pPr>
      <w:r>
        <w:rPr>
          <w:rFonts w:ascii="Calibri" w:hAnsi="Calibri"/>
          <w:b w:val="0"/>
          <w:i w:val="0"/>
          <w:color w:val="1E293B"/>
          <w:sz w:val="20"/>
        </w:rPr>
        <w:t>Babel Standalone (CDN) adds ~1.5s parse time on first load — acceptable for demo purposes</w:t>
      </w:r>
    </w:p>
    <w:p>
      <w:pPr>
        <w:pStyle w:val="ListBullet"/>
        <w:spacing w:after="60"/>
        <w:ind w:left="360"/>
      </w:pPr>
      <w:r>
        <w:rPr>
          <w:rFonts w:ascii="Calibri" w:hAnsi="Calibri"/>
          <w:b w:val="0"/>
          <w:i w:val="0"/>
          <w:color w:val="1E293B"/>
          <w:sz w:val="20"/>
        </w:rPr>
        <w:t>No authentication or multi-user isolation — suitable for single-presenter demo environments only</w:t>
      </w:r>
    </w:p>
    <w:p>
      <w:r>
        <w:br w:type="page"/>
      </w:r>
    </w:p>
    <w:p>
      <w:pPr>
        <w:pStyle w:val="Heading1"/>
        <w:jc w:val="left"/>
      </w:pPr>
      <w:r>
        <w:rPr>
          <w:rFonts w:ascii="Calibri" w:hAnsi="Calibri"/>
          <w:b/>
          <w:color w:val="1E406E"/>
          <w:sz w:val="36"/>
        </w:rPr>
        <w:t>14. Next Steps &amp; Productionisation Path</w:t>
      </w:r>
    </w:p>
    <w:p>
      <w:pPr>
        <w:spacing w:before="80" w:after="80"/>
        <w:pBdr>
          <w:bottom w:val="single" w:sz="6" w:space="1" w:color="CBD5E1"/>
        </w:pBdr>
      </w:pPr>
    </w:p>
    <w:tbl>
      <w:tblPr>
        <w:tblW w:type="auto" w:w="0"/>
        <w:jc w:val="left"/>
        <w:tblLook w:firstColumn="1" w:firstRow="1" w:lastColumn="0" w:lastRow="0" w:noHBand="0" w:noVBand="1" w:val="04A0"/>
      </w:tblPr>
      <w:tblGrid>
        <w:gridCol w:w="3120"/>
        <w:gridCol w:w="3120"/>
        <w:gridCol w:w="3120"/>
      </w:tblGrid>
      <w:tr>
        <w:tc>
          <w:tcPr>
            <w:tcW w:type="dxa" w:w="360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Action</w:t>
            </w:r>
          </w:p>
        </w:tc>
        <w:tc>
          <w:tcPr>
            <w:tcW w:type="dxa" w:w="1008"/>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Priority</w:t>
            </w:r>
          </w:p>
        </w:tc>
        <w:tc>
          <w:tcPr>
            <w:tcW w:type="dxa" w:w="4752"/>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Detail</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Fix banking DB creation bug</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shd w:val="clear" w:color="auto" w:fill="FEE2E2"/>
          </w:tcPr>
          <w:p>
            <w:pPr>
              <w:jc w:val="left"/>
            </w:pPr>
            <w:r>
              <w:rPr>
                <w:rFonts w:ascii="Calibri" w:hAnsi="Calibri"/>
                <w:b/>
                <w:i w:val="0"/>
                <w:color w:val="B91C1C"/>
                <w:sz w:val="18"/>
              </w:rPr>
              <w:t>HIGH</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Patch _rnd_date() helper to handle future-date ranges — delete banking.db after fix</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Complete Vercel deployment</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shd w:val="clear" w:color="auto" w:fill="FEE2E2"/>
          </w:tcPr>
          <w:p>
            <w:pPr>
              <w:jc w:val="left"/>
            </w:pPr>
            <w:r>
              <w:rPr>
                <w:rFonts w:ascii="Calibri" w:hAnsi="Calibri"/>
                <w:b/>
                <w:i w:val="0"/>
                <w:color w:val="B91C1C"/>
                <w:sz w:val="18"/>
              </w:rPr>
              <w:t>HIGH</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Provide Vercel PAT or connect GitHub repo at vercel.com/new to get public demo URL</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Add banking tab to demo</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shd w:val="clear" w:color="auto" w:fill="FEF3C7"/>
          </w:tcPr>
          <w:p>
            <w:pPr>
              <w:jc w:val="left"/>
            </w:pPr>
            <w:r>
              <w:rPr>
                <w:rFonts w:ascii="Calibri" w:hAnsi="Calibri"/>
                <w:b/>
                <w:i w:val="0"/>
                <w:color w:val="924000"/>
                <w:sz w:val="18"/>
              </w:rPr>
              <w:t>MED</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Complete demo/index.html banking simulation tab (partially implemented, needs App component update)</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Real Oracle / JDBC connection</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shd w:val="clear" w:color="auto" w:fill="FEF3C7"/>
          </w:tcPr>
          <w:p>
            <w:pPr>
              <w:jc w:val="left"/>
            </w:pPr>
            <w:r>
              <w:rPr>
                <w:rFonts w:ascii="Calibri" w:hAnsi="Calibri"/>
                <w:b/>
                <w:i w:val="0"/>
                <w:color w:val="924000"/>
                <w:sz w:val="18"/>
              </w:rPr>
              <w:t>MED</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Replace SQLite simulation with actual Oracle JDBC or cx_Oracle connection for live data</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Azure Fabric integration</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shd w:val="clear" w:color="auto" w:fill="FEF3C7"/>
          </w:tcPr>
          <w:p>
            <w:pPr>
              <w:jc w:val="left"/>
            </w:pPr>
            <w:r>
              <w:rPr>
                <w:rFonts w:ascii="Calibri" w:hAnsi="Calibri"/>
                <w:b/>
                <w:i w:val="0"/>
                <w:color w:val="924000"/>
                <w:sz w:val="18"/>
              </w:rPr>
              <w:t>MED</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Connect to Microsoft Fabric OneLake; replace in-memory state with Delta Lake tables</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Authentication layer</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shd w:val="clear" w:color="auto" w:fill="FEF3C7"/>
          </w:tcPr>
          <w:p>
            <w:pPr>
              <w:jc w:val="left"/>
            </w:pPr>
            <w:r>
              <w:rPr>
                <w:rFonts w:ascii="Calibri" w:hAnsi="Calibri"/>
                <w:b/>
                <w:i w:val="0"/>
                <w:color w:val="924000"/>
                <w:sz w:val="18"/>
              </w:rPr>
              <w:t>MED</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Add Azure AD / MSAL authentication before exposing to broader audiences</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Real HIPAA de-identification audit</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shd w:val="clear" w:color="auto" w:fill="FEF3C7"/>
          </w:tcPr>
          <w:p>
            <w:pPr>
              <w:jc w:val="left"/>
            </w:pPr>
            <w:r>
              <w:rPr>
                <w:rFonts w:ascii="Calibri" w:hAnsi="Calibri"/>
                <w:b/>
                <w:i w:val="0"/>
                <w:color w:val="924000"/>
                <w:sz w:val="18"/>
              </w:rPr>
              <w:t>MED</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Integrate MITRE FHIR Pseudonymization or Azure Health Data Services for production de-ID</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PCI-DSS tokenisation vault</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shd w:val="clear" w:color="auto" w:fill="FEF3C7"/>
          </w:tcPr>
          <w:p>
            <w:pPr>
              <w:jc w:val="left"/>
            </w:pPr>
            <w:r>
              <w:rPr>
                <w:rFonts w:ascii="Calibri" w:hAnsi="Calibri"/>
                <w:b/>
                <w:i w:val="0"/>
                <w:color w:val="924000"/>
                <w:sz w:val="18"/>
              </w:rPr>
              <w:t>MED</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Replace simulated tokenisation with Azure Key Vault or HashiCorp Vault for real PAN handling</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Persistent state (Redis / CosmosDB)</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shd w:val="clear" w:color="auto" w:fill="D1FAE5"/>
          </w:tcPr>
          <w:p>
            <w:pPr>
              <w:jc w:val="left"/>
            </w:pPr>
            <w:r>
              <w:rPr>
                <w:rFonts w:ascii="Calibri" w:hAnsi="Calibri"/>
                <w:b/>
                <w:i w:val="0"/>
                <w:color w:val="16532D"/>
                <w:sz w:val="18"/>
              </w:rPr>
              <w:t>LOW</w:t>
            </w:r>
          </w:p>
        </w:tc>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Replace in-memory _state dict with Redis for multi-instance and restart resilience</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Mobile-responsive UI</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shd w:val="clear" w:color="auto" w:fill="D1FAE5"/>
          </w:tcPr>
          <w:p>
            <w:pPr>
              <w:jc w:val="left"/>
            </w:pPr>
            <w:r>
              <w:rPr>
                <w:rFonts w:ascii="Calibri" w:hAnsi="Calibri"/>
                <w:b/>
                <w:i w:val="0"/>
                <w:color w:val="16532D"/>
                <w:sz w:val="18"/>
              </w:rPr>
              <w:t>LOW</w:t>
            </w:r>
          </w:p>
        </w:tc>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Add responsive breakpoints to the React dashboard for tablet/phone presentations</w:t>
            </w:r>
          </w:p>
        </w:tc>
      </w:tr>
    </w:tbl>
    <w:p/>
    <w:p>
      <w:pPr>
        <w:pStyle w:val="Heading1"/>
        <w:jc w:val="left"/>
      </w:pPr>
      <w:r>
        <w:rPr>
          <w:rFonts w:ascii="Calibri" w:hAnsi="Calibri"/>
          <w:b/>
          <w:color w:val="1E406E"/>
          <w:sz w:val="36"/>
        </w:rPr>
        <w:t>Appendix A — Score Progression Reference</w:t>
      </w:r>
    </w:p>
    <w:p>
      <w:pPr>
        <w:spacing w:before="80" w:after="80"/>
        <w:pBdr>
          <w:bottom w:val="single" w:sz="6" w:space="1" w:color="CBD5E1"/>
        </w:pBdr>
      </w:pPr>
    </w:p>
    <w:p>
      <w:pPr>
        <w:spacing w:after="120"/>
      </w:pPr>
      <w:r>
        <w:rPr>
          <w:rFonts w:ascii="Calibri" w:hAnsi="Calibri"/>
          <w:b w:val="0"/>
          <w:i w:val="0"/>
          <w:sz w:val="20"/>
        </w:rPr>
        <w:t>AI Readiness Score (0–100) per table per medallion layer across all three verticals:</w:t>
      </w:r>
    </w:p>
    <w:p>
      <w:pPr>
        <w:pStyle w:val="Heading2"/>
        <w:jc w:val="left"/>
      </w:pPr>
      <w:r>
        <w:rPr>
          <w:rFonts w:ascii="Calibri" w:hAnsi="Calibri"/>
          <w:b/>
          <w:color w:val="2E5D9C"/>
          <w:sz w:val="28"/>
        </w:rPr>
        <w:t>Enterprise ERP</w:t>
      </w:r>
    </w:p>
    <w:tbl>
      <w:tblPr>
        <w:tblW w:type="auto" w:w="0"/>
        <w:jc w:val="left"/>
        <w:tblLook w:firstColumn="1" w:firstRow="1" w:lastColumn="0" w:lastRow="0" w:noHBand="0" w:noVBand="1" w:val="04A0"/>
      </w:tblPr>
      <w:tblGrid>
        <w:gridCol w:w="1560"/>
        <w:gridCol w:w="1560"/>
        <w:gridCol w:w="1560"/>
        <w:gridCol w:w="1560"/>
        <w:gridCol w:w="1560"/>
        <w:gridCol w:w="1560"/>
      </w:tblGrid>
      <w:tr>
        <w:tc>
          <w:tcPr>
            <w:tcW w:type="dxa" w:w="2160"/>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Table</w:t>
            </w:r>
          </w:p>
        </w:tc>
        <w:tc>
          <w:tcPr>
            <w:tcW w:type="dxa" w:w="100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Source</w:t>
            </w:r>
          </w:p>
        </w:tc>
        <w:tc>
          <w:tcPr>
            <w:tcW w:type="dxa" w:w="100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Bronze</w:t>
            </w:r>
          </w:p>
        </w:tc>
        <w:tc>
          <w:tcPr>
            <w:tcW w:type="dxa" w:w="100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Silver</w:t>
            </w:r>
          </w:p>
        </w:tc>
        <w:tc>
          <w:tcPr>
            <w:tcW w:type="dxa" w:w="100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Gold</w:t>
            </w:r>
          </w:p>
        </w:tc>
        <w:tc>
          <w:tcPr>
            <w:tcW w:type="dxa" w:w="1008"/>
            <w:shd w:val="clear" w:color="auto" w:fill="2E5D9C"/>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Platinum</w:t>
            </w:r>
          </w:p>
        </w:tc>
      </w:tr>
      <w:tr>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CUSTOMERS</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48</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52</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76</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91</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96</w:t>
            </w:r>
          </w:p>
        </w:tc>
      </w:tr>
      <w:tr>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ORDERS</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59</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61</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80</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89</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94</w:t>
            </w:r>
          </w:p>
        </w:tc>
      </w:tr>
      <w:tr>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PRODUCTS</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67</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71</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83</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92</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97</w:t>
            </w:r>
          </w:p>
        </w:tc>
      </w:tr>
      <w:tr>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EMPLOYEES</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51</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55</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74</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88</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95</w:t>
            </w:r>
          </w:p>
        </w:tc>
      </w:tr>
      <w:tr>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FINANCIALS</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64</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68</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82</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90</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96</w:t>
            </w:r>
          </w:p>
        </w:tc>
      </w:tr>
      <w:tr>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INVENTORY</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70</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74</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85</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93</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97</w:t>
            </w:r>
          </w:p>
        </w:tc>
      </w:tr>
      <w:tr>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CONTRACTS</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60</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63</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78</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87</w:t>
            </w:r>
          </w:p>
        </w:tc>
        <w:tc>
          <w:tcPr>
            <w:tcW w:type="dxa" w:w="15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93</w:t>
            </w:r>
          </w:p>
        </w:tc>
      </w:tr>
      <w:tr>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1E293B"/>
                <w:sz w:val="18"/>
              </w:rPr>
              <w:t>RISK_EVENTS</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53</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57</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75</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88</w:t>
            </w:r>
          </w:p>
        </w:tc>
        <w:tc>
          <w:tcPr>
            <w:tcW w:type="dxa" w:w="15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94</w:t>
            </w:r>
          </w:p>
        </w:tc>
      </w:tr>
    </w:tbl>
    <w:p/>
    <w:p>
      <w:pPr>
        <w:pStyle w:val="Heading2"/>
        <w:jc w:val="left"/>
      </w:pPr>
      <w:r>
        <w:rPr>
          <w:rFonts w:ascii="Calibri" w:hAnsi="Calibri"/>
          <w:b/>
          <w:color w:val="2E5D9C"/>
          <w:sz w:val="28"/>
        </w:rPr>
        <w:t>Healthcare / HIPAA</w:t>
      </w:r>
    </w:p>
    <w:tbl>
      <w:tblPr>
        <w:tblW w:type="auto" w:w="0"/>
        <w:jc w:val="lef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872"/>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Table</w:t>
            </w:r>
          </w:p>
        </w:tc>
        <w:tc>
          <w:tcPr>
            <w:tcW w:type="dxa" w:w="720"/>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Src</w:t>
            </w:r>
          </w:p>
        </w:tc>
        <w:tc>
          <w:tcPr>
            <w:tcW w:type="dxa" w:w="720"/>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Brnz</w:t>
            </w:r>
          </w:p>
        </w:tc>
        <w:tc>
          <w:tcPr>
            <w:tcW w:type="dxa" w:w="720"/>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Slvr</w:t>
            </w:r>
          </w:p>
        </w:tc>
        <w:tc>
          <w:tcPr>
            <w:tcW w:type="dxa" w:w="720"/>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Gold</w:t>
            </w:r>
          </w:p>
        </w:tc>
        <w:tc>
          <w:tcPr>
            <w:tcW w:type="dxa" w:w="720"/>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Plat</w:t>
            </w:r>
          </w:p>
        </w:tc>
        <w:tc>
          <w:tcPr>
            <w:tcW w:type="dxa" w:w="792"/>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H.Brnz</w:t>
            </w:r>
          </w:p>
        </w:tc>
        <w:tc>
          <w:tcPr>
            <w:tcW w:type="dxa" w:w="792"/>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H.Slvr</w:t>
            </w:r>
          </w:p>
        </w:tc>
        <w:tc>
          <w:tcPr>
            <w:tcW w:type="dxa" w:w="792"/>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H.Gold</w:t>
            </w:r>
          </w:p>
        </w:tc>
        <w:tc>
          <w:tcPr>
            <w:tcW w:type="dxa" w:w="792"/>
            <w:shd w:val="clear" w:color="auto" w:fill="6D28D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H.Plat</w:t>
            </w:r>
          </w:p>
        </w:tc>
      </w:tr>
      <w:tr>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6"/>
              </w:rPr>
              <w:t>PATIENTS</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42</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46</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72</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89</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95</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28</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71</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95</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r>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6"/>
              </w:rPr>
              <w:t>ENCOUNTERS</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55</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58</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76</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88</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94</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52</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79</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96</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r>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6"/>
              </w:rPr>
              <w:t>DIAGNOSES</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48</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51</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74</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91</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96</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60</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82</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97</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r>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6"/>
              </w:rPr>
              <w:t>MEDICATIONS</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50</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54</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75</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89</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95</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55</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78</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95</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r>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6"/>
              </w:rPr>
              <w:t>LAB_RESULTS</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57</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61</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79</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92</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97</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58</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80</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96</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r>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6"/>
              </w:rPr>
              <w:t>PROCEDURES</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53</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57</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77</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90</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95</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60</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81</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96</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r>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6"/>
              </w:rPr>
              <w:t>CLAIMS</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60</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63</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80</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91</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94</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50</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77</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95</w:t>
            </w:r>
          </w:p>
        </w:tc>
        <w:tc>
          <w:tcPr>
            <w:tcW w:type="dxa" w:w="936"/>
            <w:shd w:val="clear" w:color="auto" w:fill="EDE9F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r>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6D28D9"/>
                <w:sz w:val="16"/>
              </w:rPr>
              <w:t>PROVIDERS</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65</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69</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82</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93</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97</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62</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84</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97</w:t>
            </w:r>
          </w:p>
        </w:tc>
        <w:tc>
          <w:tcPr>
            <w:tcW w:type="dxa" w:w="936"/>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bl>
    <w:p/>
    <w:p>
      <w:pPr>
        <w:pStyle w:val="Heading2"/>
        <w:jc w:val="left"/>
      </w:pPr>
      <w:r>
        <w:rPr>
          <w:rFonts w:ascii="Calibri" w:hAnsi="Calibri"/>
          <w:b/>
          <w:color w:val="2E5D9C"/>
          <w:sz w:val="28"/>
        </w:rPr>
        <w:t>Banking / AML</w:t>
      </w:r>
    </w:p>
    <w:tbl>
      <w:tblPr>
        <w:tblW w:type="auto" w:w="0"/>
        <w:jc w:val="lef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1584"/>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Table</w:t>
            </w:r>
          </w:p>
        </w:tc>
        <w:tc>
          <w:tcPr>
            <w:tcW w:type="dxa" w:w="648"/>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Src</w:t>
            </w:r>
          </w:p>
        </w:tc>
        <w:tc>
          <w:tcPr>
            <w:tcW w:type="dxa" w:w="648"/>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Brnz</w:t>
            </w:r>
          </w:p>
        </w:tc>
        <w:tc>
          <w:tcPr>
            <w:tcW w:type="dxa" w:w="648"/>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Slvr</w:t>
            </w:r>
          </w:p>
        </w:tc>
        <w:tc>
          <w:tcPr>
            <w:tcW w:type="dxa" w:w="648"/>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Gold</w:t>
            </w:r>
          </w:p>
        </w:tc>
        <w:tc>
          <w:tcPr>
            <w:tcW w:type="dxa" w:w="648"/>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Plat</w:t>
            </w:r>
          </w:p>
        </w:tc>
        <w:tc>
          <w:tcPr>
            <w:tcW w:type="dxa" w:w="648"/>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C.Src</w:t>
            </w:r>
          </w:p>
        </w:tc>
        <w:tc>
          <w:tcPr>
            <w:tcW w:type="dxa" w:w="648"/>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C.Brnz</w:t>
            </w:r>
          </w:p>
        </w:tc>
        <w:tc>
          <w:tcPr>
            <w:tcW w:type="dxa" w:w="648"/>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C.Slvr</w:t>
            </w:r>
          </w:p>
        </w:tc>
        <w:tc>
          <w:tcPr>
            <w:tcW w:type="dxa" w:w="648"/>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C.Gold</w:t>
            </w:r>
          </w:p>
        </w:tc>
        <w:tc>
          <w:tcPr>
            <w:tcW w:type="dxa" w:w="648"/>
            <w:shd w:val="clear" w:color="auto" w:fill="78350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6"/>
              </w:rPr>
              <w:t>C.Plat</w:t>
            </w:r>
          </w:p>
        </w:tc>
      </w:tr>
      <w:tr>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6"/>
              </w:rPr>
              <w:t>CUSTOMERS</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38</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45</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68</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87</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96</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32</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40</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67</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90</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r>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6"/>
              </w:rPr>
              <w:t>ACCOUNTS</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44</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50</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72</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89</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97</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45</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52</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74</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91</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r>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6"/>
              </w:rPr>
              <w:t>TRANSACTIONS</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35</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42</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66</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85</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95</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28</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36</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61</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87</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98</w:t>
            </w:r>
          </w:p>
        </w:tc>
      </w:tr>
      <w:tr>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6"/>
              </w:rPr>
              <w:t>CARDS</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41</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48</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70</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88</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96</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35</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42</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65</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88</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r>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6"/>
              </w:rPr>
              <w:t>LOANS</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40</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47</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69</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86</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95</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38</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45</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68</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89</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98</w:t>
            </w:r>
          </w:p>
        </w:tc>
      </w:tr>
      <w:tr>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6"/>
              </w:rPr>
              <w:t>BENEFICIARIES</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36</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43</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65</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84</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94</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30</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38</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60</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85</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97</w:t>
            </w:r>
          </w:p>
        </w:tc>
      </w:tr>
      <w:tr>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6"/>
              </w:rPr>
              <w:t>RISK_EVENTS</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30</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38</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62</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83</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95</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22</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30</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55</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82</w:t>
            </w:r>
          </w:p>
        </w:tc>
        <w:tc>
          <w:tcPr>
            <w:tcW w:type="dxa" w:w="851"/>
            <w:shd w:val="clear" w:color="auto" w:fill="FEF3C7"/>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97</w:t>
            </w:r>
          </w:p>
        </w:tc>
      </w:tr>
      <w:tr>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78350F"/>
                <w:sz w:val="16"/>
              </w:rPr>
              <w:t>BRANCHES</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55</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61</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78</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91</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97</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50</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57</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75</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92</w:t>
            </w:r>
          </w:p>
        </w:tc>
        <w:tc>
          <w:tcPr>
            <w:tcW w:type="dxa" w:w="851"/>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6"/>
              </w:rPr>
              <w:t>99</w:t>
            </w:r>
          </w:p>
        </w:tc>
      </w:tr>
    </w:tbl>
    <w:p>
      <w:r>
        <w:rPr>
          <w:b w:val="0"/>
        </w:rPr>
        <w:br w:type="page"/>
      </w:r>
    </w:p>
    <w:p>
      <w:pPr>
        <w:pStyle w:val="Heading1"/>
        <w:jc w:val="left"/>
      </w:pPr>
      <w:r>
        <w:rPr>
          <w:rFonts w:ascii="Calibri" w:hAnsi="Calibri"/>
          <w:b/>
          <w:color w:val="1E406E"/>
          <w:sz w:val="36"/>
        </w:rPr>
        <w:t>15. Data Governance Deep Dive: Oracle → Microsoft Ecosystem</w:t>
      </w:r>
    </w:p>
    <w:p>
      <w:pPr>
        <w:spacing w:before="80" w:after="80"/>
        <w:pBdr>
          <w:bottom w:val="single" w:sz="6" w:space="1" w:color="CBD5E1"/>
        </w:pBdr>
      </w:pPr>
    </w:p>
    <w:p>
      <w:pPr>
        <w:spacing w:after="120"/>
      </w:pPr>
      <w:r>
        <w:rPr>
          <w:rFonts w:ascii="Calibri" w:hAnsi="Calibri"/>
          <w:b w:val="0"/>
          <w:i w:val="0"/>
          <w:sz w:val="20"/>
        </w:rPr>
        <w:t xml:space="preserve">This section analyses the governance capabilities defined in Stage 7 of the pipeline and maps every Oracle governance concept to its Microsoft equivalent. It identifies the specific gaps in the current simulation and defines what must be built to make governance real in the Microsoft ecosystem.</w:t>
      </w:r>
    </w:p>
    <w:p>
      <w:pPr>
        <w:pStyle w:val="Heading2"/>
        <w:jc w:val="left"/>
      </w:pPr>
      <w:r>
        <w:rPr>
          <w:rFonts w:ascii="Calibri" w:hAnsi="Calibri"/>
          <w:b/>
          <w:color w:val="2E5D9C"/>
          <w:sz w:val="28"/>
        </w:rPr>
        <w:t>15.1  What Stage 7 Currently Governs</w:t>
      </w:r>
    </w:p>
    <w:p>
      <w:pPr>
        <w:spacing w:after="120"/>
      </w:pPr>
      <w:r>
        <w:rPr>
          <w:rFonts w:ascii="Calibri" w:hAnsi="Calibri"/>
          <w:b w:val="0"/>
          <w:i w:val="0"/>
          <w:sz w:val="20"/>
        </w:rPr>
        <w:t xml:space="preserve">Stage 7 (Governance) runs across all three verticals. The following is what each vertical’s governance stage defines:</w:t>
      </w:r>
    </w:p>
    <w:p>
      <w:pPr>
        <w:pStyle w:val="Heading3"/>
        <w:jc w:val="left"/>
      </w:pPr>
      <w:r>
        <w:rPr>
          <w:rFonts w:ascii="Calibri" w:hAnsi="Calibri"/>
          <w:b/>
          <w:color w:val="2E5D9C"/>
          <w:sz w:val="24"/>
        </w:rPr>
        <w:t>15.1.1  Enterprise ERP / Oracle Pipeline</w:t>
      </w:r>
    </w:p>
    <w:p>
      <w:pPr>
        <w:pStyle w:val="ListBullet"/>
        <w:spacing w:after="60"/>
        <w:ind w:left="360"/>
      </w:pPr>
      <w:r>
        <w:rPr>
          <w:rFonts w:ascii="Calibri" w:hAnsi="Calibri"/>
          <w:b w:val="0"/>
          <w:i w:val="0"/>
          <w:color w:val="1E293B"/>
          <w:sz w:val="20"/>
        </w:rPr>
        <w:t xml:space="preserve">Microsoft Purview catalog registration per table (log message only — no API call)</w:t>
      </w:r>
    </w:p>
    <w:p>
      <w:pPr>
        <w:pStyle w:val="ListBullet"/>
        <w:spacing w:after="60"/>
        <w:ind w:left="360"/>
      </w:pPr>
      <w:r>
        <w:rPr>
          <w:rFonts w:ascii="Calibri" w:hAnsi="Calibri"/>
          <w:b w:val="0"/>
          <w:i w:val="0"/>
          <w:color w:val="1E293B"/>
          <w:sz w:val="20"/>
        </w:rPr>
        <w:t xml:space="preserve">MIP (Microsoft Information Protection) sensitivity label application to detected PII columns</w:t>
      </w:r>
    </w:p>
    <w:p>
      <w:pPr>
        <w:pStyle w:val="ListBullet"/>
        <w:spacing w:after="60"/>
        <w:ind w:left="360"/>
      </w:pPr>
      <w:r>
        <w:rPr>
          <w:rFonts w:ascii="Calibri" w:hAnsi="Calibri"/>
          <w:b w:val="0"/>
          <w:i w:val="0"/>
          <w:color w:val="1E293B"/>
          <w:sz w:val="20"/>
        </w:rPr>
        <w:t xml:space="preserve">Lineage graph construction: Oracle Source → Bronze → Silver → Gold per table</w:t>
      </w:r>
    </w:p>
    <w:p>
      <w:pPr>
        <w:pStyle w:val="ListBullet"/>
        <w:spacing w:after="60"/>
        <w:ind w:left="360"/>
      </w:pPr>
      <w:r>
        <w:rPr>
          <w:rFonts w:ascii="Calibri" w:hAnsi="Calibri"/>
          <w:b w:val="0"/>
          <w:i w:val="0"/>
          <w:color w:val="1E293B"/>
          <w:sz w:val="20"/>
        </w:rPr>
        <w:t xml:space="preserve">Schema drift detection enabling with downstream impact analysis</w:t>
      </w:r>
    </w:p>
    <w:p>
      <w:pPr>
        <w:pStyle w:val="Heading3"/>
        <w:jc w:val="left"/>
      </w:pPr>
      <w:r>
        <w:rPr>
          <w:rFonts w:ascii="Calibri" w:hAnsi="Calibri"/>
          <w:b/>
          <w:color w:val="2E5D9C"/>
          <w:sz w:val="24"/>
        </w:rPr>
        <w:t>15.1.2  Healthcare / HIPAA Pipeline</w:t>
      </w:r>
    </w:p>
    <w:p>
      <w:pPr>
        <w:pStyle w:val="ListBullet"/>
        <w:spacing w:after="60"/>
        <w:ind w:left="360"/>
      </w:pPr>
      <w:r>
        <w:rPr>
          <w:rFonts w:ascii="Calibri" w:hAnsi="Calibri"/>
          <w:b w:val="0"/>
          <w:i w:val="0"/>
          <w:color w:val="1E293B"/>
          <w:sz w:val="20"/>
        </w:rPr>
        <w:t xml:space="preserve">HIPAA Audit Trail: all PHI access events logged with user, timestamp, and purpose</w:t>
      </w:r>
    </w:p>
    <w:p>
      <w:pPr>
        <w:pStyle w:val="ListBullet"/>
        <w:spacing w:after="60"/>
        <w:ind w:left="360"/>
      </w:pPr>
      <w:r>
        <w:rPr>
          <w:rFonts w:ascii="Calibri" w:hAnsi="Calibri"/>
          <w:b w:val="0"/>
          <w:i w:val="0"/>
          <w:color w:val="1E293B"/>
          <w:sz w:val="20"/>
        </w:rPr>
        <w:t xml:space="preserve">BAA (Business Associate Agreement) verification for all downstream consumers</w:t>
      </w:r>
    </w:p>
    <w:p>
      <w:pPr>
        <w:pStyle w:val="ListBullet"/>
        <w:spacing w:after="60"/>
        <w:ind w:left="360"/>
      </w:pPr>
      <w:r>
        <w:rPr>
          <w:rFonts w:ascii="Calibri" w:hAnsi="Calibri"/>
          <w:b w:val="0"/>
          <w:i w:val="0"/>
          <w:color w:val="1E293B"/>
          <w:sz w:val="20"/>
        </w:rPr>
        <w:t xml:space="preserve">Patient consent registry: consent flags propagated to Silver, Gold, and Platinum layers</w:t>
      </w:r>
    </w:p>
    <w:p>
      <w:pPr>
        <w:pStyle w:val="ListBullet"/>
        <w:spacing w:after="60"/>
        <w:ind w:left="360"/>
      </w:pPr>
      <w:r>
        <w:rPr>
          <w:rFonts w:ascii="Calibri" w:hAnsi="Calibri"/>
          <w:b w:val="0"/>
          <w:i w:val="0"/>
          <w:color w:val="1E293B"/>
          <w:sz w:val="20"/>
        </w:rPr>
        <w:t xml:space="preserve">Minimum Necessary: column-level access controls per clinical role</w:t>
      </w:r>
    </w:p>
    <w:p>
      <w:pPr>
        <w:pStyle w:val="ListBullet"/>
        <w:spacing w:after="60"/>
        <w:ind w:left="360"/>
      </w:pPr>
      <w:r>
        <w:rPr>
          <w:rFonts w:ascii="Calibri" w:hAnsi="Calibri"/>
          <w:b w:val="0"/>
          <w:i w:val="0"/>
          <w:color w:val="1E293B"/>
          <w:sz w:val="20"/>
        </w:rPr>
        <w:t xml:space="preserve">Purview Registration: FHIR R4 resources registered with sensitivity labels</w:t>
      </w:r>
    </w:p>
    <w:p>
      <w:pPr>
        <w:pStyle w:val="ListBullet"/>
        <w:spacing w:after="60"/>
        <w:ind w:left="360"/>
      </w:pPr>
      <w:r>
        <w:rPr>
          <w:rFonts w:ascii="Calibri" w:hAnsi="Calibri"/>
          <w:b w:val="0"/>
          <w:i w:val="0"/>
          <w:color w:val="1E293B"/>
          <w:sz w:val="20"/>
        </w:rPr>
        <w:t xml:space="preserve">Full lineage captured to Platinum (ML layer): Epic Source → Bronze → Silver (de-id) → Gold (FHIR) → Platinum (ML)</w:t>
      </w:r>
    </w:p>
    <w:p>
      <w:pPr>
        <w:pStyle w:val="Heading3"/>
        <w:jc w:val="left"/>
      </w:pPr>
      <w:r>
        <w:rPr>
          <w:rFonts w:ascii="Calibri" w:hAnsi="Calibri"/>
          <w:b/>
          <w:color w:val="2E5D9C"/>
          <w:sz w:val="24"/>
        </w:rPr>
        <w:t>15.1.3  Banking / AML Pipeline</w:t>
      </w:r>
    </w:p>
    <w:p>
      <w:pPr>
        <w:pStyle w:val="ListBullet"/>
        <w:spacing w:after="60"/>
        <w:ind w:left="360"/>
      </w:pPr>
      <w:r>
        <w:rPr>
          <w:rFonts w:ascii="Calibri" w:hAnsi="Calibri"/>
          <w:b w:val="0"/>
          <w:i w:val="0"/>
          <w:color w:val="1E293B"/>
          <w:sz w:val="20"/>
        </w:rPr>
        <w:t xml:space="preserve">BSA/AML program tagging across all transaction flows with AML monitoring profiles</w:t>
      </w:r>
    </w:p>
    <w:p>
      <w:pPr>
        <w:pStyle w:val="ListBullet"/>
        <w:spacing w:after="60"/>
        <w:ind w:left="360"/>
      </w:pPr>
      <w:r>
        <w:rPr>
          <w:rFonts w:ascii="Calibri" w:hAnsi="Calibri"/>
          <w:b w:val="0"/>
          <w:i w:val="0"/>
          <w:color w:val="1E293B"/>
          <w:sz w:val="20"/>
        </w:rPr>
        <w:t xml:space="preserve">PCI-DSS scope reduction: tokenisation confirmed, CHD environment boundary defined</w:t>
      </w:r>
    </w:p>
    <w:p>
      <w:pPr>
        <w:pStyle w:val="ListBullet"/>
        <w:spacing w:after="60"/>
        <w:ind w:left="360"/>
      </w:pPr>
      <w:r>
        <w:rPr>
          <w:rFonts w:ascii="Calibri" w:hAnsi="Calibri"/>
          <w:b w:val="0"/>
          <w:i w:val="0"/>
          <w:color w:val="1E293B"/>
          <w:sz w:val="20"/>
        </w:rPr>
        <w:t xml:space="preserve">OFAC/SDN screening: beneficiaries re-screened; potential hits flagged</w:t>
      </w:r>
    </w:p>
    <w:p>
      <w:pPr>
        <w:pStyle w:val="ListBullet"/>
        <w:spacing w:after="60"/>
        <w:ind w:left="360"/>
      </w:pPr>
      <w:r>
        <w:rPr>
          <w:rFonts w:ascii="Calibri" w:hAnsi="Calibri"/>
          <w:b w:val="0"/>
          <w:i w:val="0"/>
          <w:color w:val="1E293B"/>
          <w:sz w:val="20"/>
        </w:rPr>
        <w:t xml:space="preserve">GLBA data classification: PII fields tagged across CUSTOMERS, LOANS, CARDS</w:t>
      </w:r>
    </w:p>
    <w:p>
      <w:pPr>
        <w:pStyle w:val="ListBullet"/>
        <w:spacing w:after="60"/>
        <w:ind w:left="360"/>
      </w:pPr>
      <w:r>
        <w:rPr>
          <w:rFonts w:ascii="Calibri" w:hAnsi="Calibri"/>
          <w:b w:val="0"/>
          <w:i w:val="0"/>
          <w:color w:val="1E293B"/>
          <w:sz w:val="20"/>
        </w:rPr>
        <w:t xml:space="preserve">SOX controls: financial account data lineage documented for audit trail</w:t>
      </w:r>
    </w:p>
    <w:p>
      <w:pPr>
        <w:pStyle w:val="ListBullet"/>
        <w:spacing w:after="60"/>
        <w:ind w:left="360"/>
      </w:pPr>
      <w:r>
        <w:rPr>
          <w:rFonts w:ascii="Calibri" w:hAnsi="Calibri"/>
          <w:b w:val="0"/>
          <w:i w:val="0"/>
          <w:color w:val="1E293B"/>
          <w:sz w:val="20"/>
        </w:rPr>
        <w:t xml:space="preserve">CRA assessment area mapping: branches linked to FFIEC census tracts</w:t>
      </w:r>
    </w:p>
    <w:p>
      <w:pPr>
        <w:pStyle w:val="ListBullet"/>
        <w:spacing w:after="60"/>
        <w:ind w:left="360"/>
      </w:pPr>
      <w:r>
        <w:rPr>
          <w:rFonts w:ascii="Calibri" w:hAnsi="Calibri"/>
          <w:b w:val="0"/>
          <w:i w:val="0"/>
          <w:color w:val="1E293B"/>
          <w:sz w:val="20"/>
        </w:rPr>
        <w:t xml:space="preserve">Governance catalog: 47 data assets registered, 312 lineage edges (simulated)</w:t>
      </w:r>
    </w:p>
    <w:p>
      <w:pPr>
        <w:spacing w:after="120"/>
        <w:ind w:left="360" w:right="360"/>
        <w:pBdr>
          <w:left w:val="single" w:sz="12" w:space="4" w:color="2E5D9C"/>
        </w:pBdr>
      </w:pPr>
      <w:r>
        <w:rPr>
          <w:rFonts w:ascii="Calibri" w:hAnsi="Calibri"/>
          <w:b/>
          <w:i/>
          <w:color w:val="1E406E"/>
          <w:sz w:val="19"/>
        </w:rPr>
        <w:t xml:space="preserve">Critical Observation: The ERP pipeline (pipeline.py:345) and Healthcare pipeline (health_pipeline.py:332) already name Microsoft Purview and MIP explicitly — but every governance step is a log message or an in-memory dict. No Purview API calls, no MIP label API calls, and no access policy enforcement exist anywhere in the codebase. The Oracle simulation feeds data into a governance layer that has zero real Microsoft connectivity. That is the gap this section defines how to close.</w:t>
      </w:r>
    </w:p>
    <w:p>
      <w:pPr>
        <w:pStyle w:val="Heading2"/>
        <w:jc w:val="left"/>
      </w:pPr>
      <w:r>
        <w:rPr>
          <w:rFonts w:ascii="Calibri" w:hAnsi="Calibri"/>
          <w:b/>
          <w:color w:val="2E5D9C"/>
          <w:sz w:val="28"/>
        </w:rPr>
        <w:t>15.2  Oracle → Microsoft Governance Translation Map</w:t>
      </w:r>
    </w:p>
    <w:p>
      <w:pPr>
        <w:spacing w:after="120"/>
      </w:pPr>
      <w:r>
        <w:rPr>
          <w:rFonts w:ascii="Calibri" w:hAnsi="Calibri"/>
          <w:b w:val="0"/>
          <w:i w:val="0"/>
          <w:sz w:val="20"/>
        </w:rPr>
        <w:t xml:space="preserve">Every Oracle governance primitive exercised in the pipeline has a Microsoft 1:1 equivalent. The table below maps them and identifies the current gap in the codebase.</w:t>
      </w:r>
    </w:p>
    <w:tbl>
      <w:tblPr>
        <w:tblW w:type="dxa" w:w="9360"/>
        <w:jc w:val="left"/>
        <w:tblLook w:firstColumn="1" w:firstRow="1" w:lastColumn="0" w:lastRow="0" w:noHBand="0" w:noVBand="1" w:val="04A0"/>
      </w:tblPr>
      <w:tblGrid>
        <w:gridCol w:w="2160"/>
        <w:gridCol w:w="2100"/>
        <w:gridCol w:w="2700"/>
        <w:gridCol w:w="2400"/>
      </w:tblGrid>
      <w:tr>
        <w:tc>
          <w:tcPr>
            <w:tcW w:type="dxa" w:w="216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 xml:space="preserve">Oracle Ecosystem Capability</w:t>
            </w:r>
          </w:p>
        </w:tc>
        <w:tc>
          <w:tcPr>
            <w:tcW w:type="dxa" w:w="210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 xml:space="preserve">What the POC Simulates</w:t>
            </w:r>
          </w:p>
        </w:tc>
        <w:tc>
          <w:tcPr>
            <w:tcW w:type="dxa" w:w="270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 xml:space="preserve">Microsoft Target</w:t>
            </w:r>
          </w:p>
        </w:tc>
        <w:tc>
          <w:tcPr>
            <w:tcW w:type="dxa" w:w="240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 xml:space="preserve">Current Gap</w:t>
            </w:r>
          </w:p>
        </w:tc>
      </w:tr>
      <w:tr>
        <w:tc>
          <w:tcPr>
            <w:tcW w:type="dxa" w:w="21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Oracle Data Catalog (OCI)</w:t>
            </w:r>
          </w:p>
        </w:tc>
        <w:tc>
          <w:tcPr>
            <w:tcW w:type="dxa" w:w="21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Purview log message per table</w:t>
            </w:r>
          </w:p>
        </w:tc>
        <w:tc>
          <w:tcPr>
            <w:tcW w:type="dxa" w:w="27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Microsoft Purview Data Map — Atlas entity API</w:t>
            </w:r>
          </w:p>
        </w:tc>
        <w:tc>
          <w:tcPr>
            <w:tcW w:type="dxa" w:w="24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No API calls exist</w:t>
            </w:r>
          </w:p>
        </w:tc>
      </w:tr>
      <w:tr>
        <w:tc>
          <w:tcPr>
            <w:tcW w:type="dxa" w:w="21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Oracle GoldenGate CDC lineage</w:t>
            </w:r>
          </w:p>
        </w:tc>
        <w:tc>
          <w:tcPr>
            <w:tcW w:type="dxa" w:w="21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In-memory lineage dict (nodes/edges)</w:t>
            </w:r>
          </w:p>
        </w:tc>
        <w:tc>
          <w:tcPr>
            <w:tcW w:type="dxa" w:w="27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Purview Atlas Lineage API — Source/Process/DataSet entities</w:t>
            </w:r>
          </w:p>
        </w:tc>
        <w:tc>
          <w:tcPr>
            <w:tcW w:type="dxa" w:w="24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Lineage dict never pushed to Purview</w:t>
            </w:r>
          </w:p>
        </w:tc>
      </w:tr>
      <w:tr>
        <w:tc>
          <w:tcPr>
            <w:tcW w:type="dxa" w:w="21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Oracle Label Security / VPD</w:t>
            </w:r>
          </w:p>
        </w:tc>
        <w:tc>
          <w:tcPr>
            <w:tcW w:type="dxa" w:w="21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pii_cols detected, not enforced</w:t>
            </w:r>
          </w:p>
        </w:tc>
        <w:tc>
          <w:tcPr>
            <w:tcW w:type="dxa" w:w="27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Purview Data Policy + Azure RBAC + Fabric row/column security</w:t>
            </w:r>
          </w:p>
        </w:tc>
        <w:tc>
          <w:tcPr>
            <w:tcW w:type="dxa" w:w="24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No enforcement layer built</w:t>
            </w:r>
          </w:p>
        </w:tc>
      </w:tr>
      <w:tr>
        <w:tc>
          <w:tcPr>
            <w:tcW w:type="dxa" w:w="21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Oracle Audit Vault</w:t>
            </w:r>
          </w:p>
        </w:tc>
        <w:tc>
          <w:tcPr>
            <w:tcW w:type="dxa" w:w="21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Log stream to WebSocket only</w:t>
            </w:r>
          </w:p>
        </w:tc>
        <w:tc>
          <w:tcPr>
            <w:tcW w:type="dxa" w:w="27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Azure Monitor Diagnostic Logs + Log Analytics workspace</w:t>
            </w:r>
          </w:p>
        </w:tc>
        <w:tc>
          <w:tcPr>
            <w:tcW w:type="dxa" w:w="24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Audit logs are in-memory; vanish on server restart</w:t>
            </w:r>
          </w:p>
        </w:tc>
      </w:tr>
      <w:tr>
        <w:tc>
          <w:tcPr>
            <w:tcW w:type="dxa" w:w="21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Oracle Information Rights Mgmt</w:t>
            </w:r>
          </w:p>
        </w:tc>
        <w:tc>
          <w:tcPr>
            <w:tcW w:type="dxa" w:w="21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MIP label log message</w:t>
            </w:r>
          </w:p>
        </w:tc>
        <w:tc>
          <w:tcPr>
            <w:tcW w:type="dxa" w:w="27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MIP sensitivity labels from M365 Compliance Center → Purview → Fabric</w:t>
            </w:r>
          </w:p>
        </w:tc>
        <w:tc>
          <w:tcPr>
            <w:tcW w:type="dxa" w:w="24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Labels never applied to actual data</w:t>
            </w:r>
          </w:p>
        </w:tc>
      </w:tr>
      <w:tr>
        <w:tc>
          <w:tcPr>
            <w:tcW w:type="dxa" w:w="21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Oracle VPD / Fine-grained audit</w:t>
            </w:r>
          </w:p>
        </w:tc>
        <w:tc>
          <w:tcPr>
            <w:tcW w:type="dxa" w:w="21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minimum_necessary governance step</w:t>
            </w:r>
          </w:p>
        </w:tc>
        <w:tc>
          <w:tcPr>
            <w:tcW w:type="dxa" w:w="27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Purview Access Policies (preview) + Fabric workspace permissions</w:t>
            </w:r>
          </w:p>
        </w:tc>
        <w:tc>
          <w:tcPr>
            <w:tcW w:type="dxa" w:w="24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Access control is conceptual only</w:t>
            </w:r>
          </w:p>
        </w:tc>
      </w:tr>
      <w:tr>
        <w:tc>
          <w:tcPr>
            <w:tcW w:type="dxa" w:w="21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Epic EHR / Oracle Health</w:t>
            </w:r>
          </w:p>
        </w:tc>
        <w:tc>
          <w:tcPr>
            <w:tcW w:type="dxa" w:w="21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SQLite simulating Epic PHI tables</w:t>
            </w:r>
          </w:p>
        </w:tc>
        <w:tc>
          <w:tcPr>
            <w:tcW w:type="dxa" w:w="27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Azure Health Data Services (FHIR R4 server)</w:t>
            </w:r>
          </w:p>
        </w:tc>
        <w:tc>
          <w:tcPr>
            <w:tcW w:type="dxa" w:w="24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No real FHIR server wired in</w:t>
            </w:r>
          </w:p>
        </w:tc>
      </w:tr>
      <w:tr>
        <w:tc>
          <w:tcPr>
            <w:tcW w:type="dxa" w:w="21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FIS / Fiserv core banking</w:t>
            </w:r>
          </w:p>
        </w:tc>
        <w:tc>
          <w:tcPr>
            <w:tcW w:type="dxa" w:w="21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SQLite simulating FIS transactions</w:t>
            </w:r>
          </w:p>
        </w:tc>
        <w:tc>
          <w:tcPr>
            <w:tcW w:type="dxa" w:w="27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Microsoft Cloud for Financial Services data model</w:t>
            </w:r>
          </w:p>
        </w:tc>
        <w:tc>
          <w:tcPr>
            <w:tcW w:type="dxa" w:w="24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No real connection</w:t>
            </w:r>
          </w:p>
        </w:tc>
      </w:tr>
      <w:tr>
        <w:tc>
          <w:tcPr>
            <w:tcW w:type="dxa" w:w="21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Oracle consent management</w:t>
            </w:r>
          </w:p>
        </w:tc>
        <w:tc>
          <w:tcPr>
            <w:tcW w:type="dxa" w:w="21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consent_registry governance step</w:t>
            </w:r>
          </w:p>
        </w:tc>
        <w:tc>
          <w:tcPr>
            <w:tcW w:type="dxa" w:w="27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Azure Health Data Services consent service or Cosmos DB + Event Grid</w:t>
            </w:r>
          </w:p>
        </w:tc>
        <w:tc>
          <w:tcPr>
            <w:tcW w:type="dxa" w:w="24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Not implemented; no data store</w:t>
            </w:r>
          </w:p>
        </w:tc>
      </w:tr>
      <w:tr>
        <w:tc>
          <w:tcPr>
            <w:tcW w:type="dxa" w:w="21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Oracle OFAC integration</w:t>
            </w:r>
          </w:p>
        </w:tc>
        <w:tc>
          <w:tcPr>
            <w:tcW w:type="dxa" w:w="21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Hardcoded “2 hits flagged” log</w:t>
            </w:r>
          </w:p>
        </w:tc>
        <w:tc>
          <w:tcPr>
            <w:tcW w:type="dxa" w:w="27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Azure API Management → OFAC SDN API (or vendor screen)</w:t>
            </w:r>
          </w:p>
        </w:tc>
        <w:tc>
          <w:tcPr>
            <w:tcW w:type="dxa" w:w="24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Hardcoded simulation only</w:t>
            </w:r>
          </w:p>
        </w:tc>
      </w:tr>
      <w:tr>
        <w:tc>
          <w:tcPr>
            <w:tcW w:type="dxa" w:w="21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Oracle PAN tokenisation</w:t>
            </w:r>
          </w:p>
        </w:tc>
        <w:tc>
          <w:tcPr>
            <w:tcW w:type="dxa" w:w="21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PCI-DSS log message in Stage 5</w:t>
            </w:r>
          </w:p>
        </w:tc>
        <w:tc>
          <w:tcPr>
            <w:tcW w:type="dxa" w:w="27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Azure Key Vault + Confidential Computing</w:t>
            </w:r>
          </w:p>
        </w:tc>
        <w:tc>
          <w:tcPr>
            <w:tcW w:type="dxa" w:w="240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Tokenisation is synthetic</w:t>
            </w:r>
          </w:p>
        </w:tc>
      </w:tr>
      <w:tr>
        <w:tc>
          <w:tcPr>
            <w:tcW w:type="dxa" w:w="21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Oracle DB Vault privileged access</w:t>
            </w:r>
          </w:p>
        </w:tc>
        <w:tc>
          <w:tcPr>
            <w:tcW w:type="dxa" w:w="21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Not simulated</w:t>
            </w:r>
          </w:p>
        </w:tc>
        <w:tc>
          <w:tcPr>
            <w:tcW w:type="dxa" w:w="27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Microsoft Entra Privileged Identity Management (PIM)</w:t>
            </w:r>
          </w:p>
        </w:tc>
        <w:tc>
          <w:tcPr>
            <w:tcW w:type="dxa" w:w="240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Not in scope for POC</w:t>
            </w:r>
          </w:p>
        </w:tc>
      </w:tr>
    </w:tbl>
    <w:p/>
    <w:p>
      <w:pPr>
        <w:pStyle w:val="Heading2"/>
        <w:jc w:val="left"/>
      </w:pPr>
      <w:r>
        <w:rPr>
          <w:rFonts w:ascii="Calibri" w:hAnsi="Calibri"/>
          <w:b/>
          <w:color w:val="2E5D9C"/>
          <w:sz w:val="28"/>
        </w:rPr>
        <w:t>15.3  What Needs to Be Built, by Governance Domain</w:t>
      </w:r>
    </w:p>
    <w:p>
      <w:pPr>
        <w:spacing w:after="120"/>
      </w:pPr>
      <w:r>
        <w:rPr>
          <w:rFonts w:ascii="Calibri" w:hAnsi="Calibri"/>
          <w:b w:val="0"/>
          <w:i w:val="0"/>
          <w:sz w:val="20"/>
        </w:rPr>
        <w:t xml:space="preserve">The following subsections define the concrete build tasks required to translate each simulated governance capability into a real Microsoft implementation.</w:t>
      </w:r>
    </w:p>
    <w:p>
      <w:pPr>
        <w:pStyle w:val="Heading3"/>
        <w:jc w:val="left"/>
      </w:pPr>
      <w:r>
        <w:rPr>
          <w:rFonts w:ascii="Calibri" w:hAnsi="Calibri"/>
          <w:b/>
          <w:color w:val="2E5D9C"/>
          <w:sz w:val="24"/>
        </w:rPr>
        <w:t>15.3.1  Microsoft Purview Data Map Integration (All Verticals)</w:t>
      </w:r>
    </w:p>
    <w:p>
      <w:pPr>
        <w:spacing w:after="120"/>
      </w:pPr>
      <w:r>
        <w:rPr>
          <w:rFonts w:ascii="Calibri" w:hAnsi="Calibri"/>
          <w:b w:val="0"/>
          <w:i w:val="0"/>
          <w:sz w:val="20"/>
        </w:rPr>
        <w:t xml:space="preserve">This is the highest-leverage gap. All three governance stages log “Registering in Purview” but make zero API calls. The in-memory lineage dicts in pipeline.py:362 and health_pipeline.py:358 already have the right shape — nodes, edges, and PII/PHI column lists. They need to drive real Purview Atlas calls.</w:t>
      </w:r>
    </w:p>
    <w:p>
      <w:pPr>
        <w:pStyle w:val="ListBullet"/>
        <w:spacing w:after="60"/>
        <w:ind w:left="360"/>
      </w:pPr>
      <w:r>
        <w:rPr>
          <w:rFonts w:ascii="Calibri" w:hAnsi="Calibri"/>
          <w:b w:val="0"/>
          <w:i w:val="0"/>
          <w:color w:val="1E293B"/>
          <w:sz w:val="20"/>
        </w:rPr>
        <w:t xml:space="preserve">Add azure-purview-catalog Python SDK to all three requirements.txt files</w:t>
      </w:r>
    </w:p>
    <w:p>
      <w:pPr>
        <w:pStyle w:val="ListBullet"/>
        <w:spacing w:after="60"/>
        <w:ind w:left="360"/>
      </w:pPr>
      <w:r>
        <w:rPr>
          <w:rFonts w:ascii="Calibri" w:hAnsi="Calibri"/>
          <w:b w:val="0"/>
          <w:i w:val="0"/>
          <w:color w:val="1E293B"/>
          <w:sz w:val="20"/>
        </w:rPr>
        <w:t xml:space="preserve">Create a shared PurviewGovernanceClient helper class consumed by all three stage_governance() methods</w:t>
      </w:r>
    </w:p>
    <w:p>
      <w:pPr>
        <w:pStyle w:val="ListBullet"/>
        <w:spacing w:after="60"/>
        <w:ind w:left="360"/>
      </w:pPr>
      <w:r>
        <w:rPr>
          <w:rFonts w:ascii="Calibri" w:hAnsi="Calibri"/>
          <w:b w:val="0"/>
          <w:i w:val="0"/>
          <w:color w:val="1E293B"/>
          <w:sz w:val="20"/>
        </w:rPr>
        <w:t xml:space="preserve">Create Source entities per table: type oracle_table, epic_ehr_table, or fis_table depending on vertical</w:t>
      </w:r>
    </w:p>
    <w:p>
      <w:pPr>
        <w:pStyle w:val="ListBullet"/>
        <w:spacing w:after="60"/>
        <w:ind w:left="360"/>
      </w:pPr>
      <w:r>
        <w:rPr>
          <w:rFonts w:ascii="Calibri" w:hAnsi="Calibri"/>
          <w:b w:val="0"/>
          <w:i w:val="0"/>
          <w:color w:val="1E293B"/>
          <w:sz w:val="20"/>
        </w:rPr>
        <w:t xml:space="preserve">Create DataSet entities per medallion layer: bronze_dataset, silver_dataset, gold_dataset, platinum_dataset</w:t>
      </w:r>
    </w:p>
    <w:p>
      <w:pPr>
        <w:pStyle w:val="ListBullet"/>
        <w:spacing w:after="60"/>
        <w:ind w:left="360"/>
      </w:pPr>
      <w:r>
        <w:rPr>
          <w:rFonts w:ascii="Calibri" w:hAnsi="Calibri"/>
          <w:b w:val="0"/>
          <w:i w:val="0"/>
          <w:color w:val="1E293B"/>
          <w:sz w:val="20"/>
        </w:rPr>
        <w:t xml:space="preserve">Create Process entities per transition carrying the transform description (SCD2, PHI de-id, DQ rules applied)</w:t>
      </w:r>
    </w:p>
    <w:p>
      <w:pPr>
        <w:pStyle w:val="ListBullet"/>
        <w:spacing w:after="60"/>
        <w:ind w:left="360"/>
      </w:pPr>
      <w:r>
        <w:rPr>
          <w:rFonts w:ascii="Calibri" w:hAnsi="Calibri"/>
          <w:b w:val="0"/>
          <w:i w:val="0"/>
          <w:color w:val="1E293B"/>
          <w:sz w:val="20"/>
        </w:rPr>
        <w:t xml:space="preserve">Create lineage edges connecting all entities into the full Source → Bronze → Silver → Gold → Platinum graph</w:t>
      </w:r>
    </w:p>
    <w:p>
      <w:pPr>
        <w:pStyle w:val="ListBullet"/>
        <w:spacing w:after="60"/>
        <w:ind w:left="360"/>
      </w:pPr>
      <w:r>
        <w:rPr>
          <w:rFonts w:ascii="Calibri" w:hAnsi="Calibri"/>
          <w:b w:val="0"/>
          <w:i w:val="0"/>
          <w:color w:val="1E293B"/>
          <w:sz w:val="20"/>
        </w:rPr>
        <w:t xml:space="preserve">Map detected pii_cols and phi_cols to Purview system classifications: MICROSOFT.PERSONAL.US.SSN, MICROSOFT.FINANCIAL.CREDIT_CARD_NUMBER, MICROSOFT.PERSONAL.EMAIL, etc.</w:t>
      </w:r>
    </w:p>
    <w:p>
      <w:pPr>
        <w:pStyle w:val="ListBullet"/>
        <w:spacing w:after="60"/>
        <w:ind w:left="360"/>
      </w:pPr>
      <w:r>
        <w:rPr>
          <w:rFonts w:ascii="Calibri" w:hAnsi="Calibri"/>
          <w:b w:val="0"/>
          <w:i w:val="0"/>
          <w:color w:val="1E293B"/>
          <w:sz w:val="20"/>
        </w:rPr>
        <w:t xml:space="preserve">Emit compliance_summary and phi_summary WebSocket events as before, but also POST to Purview in parallel</w:t>
      </w:r>
    </w:p>
    <w:p>
      <w:pPr>
        <w:pStyle w:val="Heading3"/>
        <w:jc w:val="left"/>
      </w:pPr>
      <w:r>
        <w:rPr>
          <w:rFonts w:ascii="Calibri" w:hAnsi="Calibri"/>
          <w:b/>
          <w:color w:val="2E5D9C"/>
          <w:sz w:val="24"/>
        </w:rPr>
        <w:t>15.3.2  MIP Sensitivity Labels (ERP, Healthcare)</w:t>
      </w:r>
    </w:p>
    <w:p>
      <w:pPr>
        <w:spacing w:after="120"/>
      </w:pPr>
      <w:r>
        <w:rPr>
          <w:rFonts w:ascii="Calibri" w:hAnsi="Calibri"/>
          <w:b w:val="0"/>
          <w:i w:val="0"/>
          <w:sz w:val="20"/>
        </w:rPr>
        <w:t xml:space="preserve">The ERP pipeline logs “MIP sensitivity labels applied to PII columns” at pipeline.py:360. No label is applied. Healthcare similarly references Purview sensitivity labels for FHIR resources. Once Purview is connected, MIP labels propagate automatically to Fabric items — this is a free dividend once the API wiring exists.</w:t>
      </w:r>
    </w:p>
    <w:p>
      <w:pPr>
        <w:pStyle w:val="ListBullet"/>
        <w:spacing w:after="60"/>
        <w:ind w:left="360"/>
      </w:pPr>
      <w:r>
        <w:rPr>
          <w:rFonts w:ascii="Calibri" w:hAnsi="Calibri"/>
          <w:b w:val="0"/>
          <w:i w:val="0"/>
          <w:color w:val="1E293B"/>
          <w:sz w:val="20"/>
        </w:rPr>
        <w:t xml:space="preserve">Define label-to-classification mapping: SSN or PHI columns → Highly Confidential; email only → Confidential; public → General</w:t>
      </w:r>
    </w:p>
    <w:p>
      <w:pPr>
        <w:pStyle w:val="ListBullet"/>
        <w:spacing w:after="60"/>
        <w:ind w:left="360"/>
      </w:pPr>
      <w:r>
        <w:rPr>
          <w:rFonts w:ascii="Calibri" w:hAnsi="Calibri"/>
          <w:b w:val="0"/>
          <w:i w:val="0"/>
          <w:color w:val="1E293B"/>
          <w:sz w:val="20"/>
        </w:rPr>
        <w:t xml:space="preserve">Call Microsoft Graph API (/informationProtection/sensitivityLabels) to resolve label GUIDs from the tenant’s M365 Compliance Center</w:t>
      </w:r>
    </w:p>
    <w:p>
      <w:pPr>
        <w:pStyle w:val="ListBullet"/>
        <w:spacing w:after="60"/>
        <w:ind w:left="360"/>
      </w:pPr>
      <w:r>
        <w:rPr>
          <w:rFonts w:ascii="Calibri" w:hAnsi="Calibri"/>
          <w:b w:val="0"/>
          <w:i w:val="0"/>
          <w:color w:val="1E293B"/>
          <w:sz w:val="20"/>
        </w:rPr>
        <w:t xml:space="preserve">Apply label GUIDs on Purview Atlas entities via the labelClassifications attribute during stage_governance()</w:t>
      </w:r>
    </w:p>
    <w:p>
      <w:pPr>
        <w:pStyle w:val="ListBullet"/>
        <w:spacing w:after="60"/>
        <w:ind w:left="360"/>
      </w:pPr>
      <w:r>
        <w:rPr>
          <w:rFonts w:ascii="Calibri" w:hAnsi="Calibri"/>
          <w:b w:val="0"/>
          <w:i w:val="0"/>
          <w:color w:val="1E293B"/>
          <w:sz w:val="20"/>
        </w:rPr>
        <w:t xml:space="preserve">Banking: PCI-DSS scope reduction requires Highly Confidential — PCI on all columns touching PAN data; drive this from the existing PCI_IDENTIFIERS list in bank_pipeline.py</w:t>
      </w:r>
    </w:p>
    <w:p>
      <w:pPr>
        <w:pStyle w:val="ListBullet"/>
        <w:spacing w:after="60"/>
        <w:ind w:left="360"/>
      </w:pPr>
      <w:r>
        <w:rPr>
          <w:rFonts w:ascii="Calibri" w:hAnsi="Calibri"/>
          <w:b w:val="0"/>
          <w:i w:val="0"/>
          <w:color w:val="1E293B"/>
          <w:sz w:val="20"/>
        </w:rPr>
        <w:t xml:space="preserve">With Fabric connected to Purview (one-click in Fabric settings), labels automatically propagate to all OneLake Delta tables</w:t>
      </w:r>
    </w:p>
    <w:p>
      <w:pPr>
        <w:pStyle w:val="Heading3"/>
        <w:jc w:val="left"/>
      </w:pPr>
      <w:r>
        <w:rPr>
          <w:rFonts w:ascii="Calibri" w:hAnsi="Calibri"/>
          <w:b/>
          <w:color w:val="2E5D9C"/>
          <w:sz w:val="24"/>
        </w:rPr>
        <w:t>15.3.3  Access Policy and Column Security (Healthcare, Banking)</w:t>
      </w:r>
    </w:p>
    <w:p>
      <w:pPr>
        <w:spacing w:after="120"/>
      </w:pPr>
      <w:r>
        <w:rPr>
          <w:rFonts w:ascii="Calibri" w:hAnsi="Calibri"/>
          <w:b w:val="0"/>
          <w:i w:val="0"/>
          <w:sz w:val="20"/>
        </w:rPr>
        <w:t xml:space="preserve">Healthcare governance defines “Column-level access controls: only required fields exposed per role.” Banking defines PCI-DSS CHD scope. Both are purely declarative in the current code — nothing enforces them.</w:t>
      </w:r>
    </w:p>
    <w:p>
      <w:pPr>
        <w:pStyle w:val="ListBullet"/>
        <w:spacing w:after="60"/>
        <w:ind w:left="360"/>
      </w:pPr>
      <w:r>
        <w:rPr>
          <w:rFonts w:ascii="Calibri" w:hAnsi="Calibri"/>
          <w:b w:val="0"/>
          <w:i w:val="0"/>
          <w:color w:val="1E293B"/>
          <w:sz w:val="20"/>
        </w:rPr>
        <w:t xml:space="preserve">Microsoft Purview Data Policy (GA 2025): define read policies at the collection/asset level tied to Azure AD groups; attach to Purview collections per vertical (ERP, Healthcare, Banking)</w:t>
      </w:r>
    </w:p>
    <w:p>
      <w:pPr>
        <w:pStyle w:val="ListBullet"/>
        <w:spacing w:after="60"/>
        <w:ind w:left="360"/>
      </w:pPr>
      <w:r>
        <w:rPr>
          <w:rFonts w:ascii="Calibri" w:hAnsi="Calibri"/>
          <w:b w:val="0"/>
          <w:i w:val="0"/>
          <w:color w:val="1E293B"/>
          <w:sz w:val="20"/>
        </w:rPr>
        <w:t xml:space="preserve">Healthcare Minimum Necessary: implement Fabric object-level security on Gold/Platinum warehouse tables — mask PHI columns for analytics roles (e.g. PATIENTS.SSN shown as ***-**-XXXX), full value only for clinical application service principals</w:t>
      </w:r>
    </w:p>
    <w:p>
      <w:pPr>
        <w:pStyle w:val="ListBullet"/>
        <w:spacing w:after="60"/>
        <w:ind w:left="360"/>
      </w:pPr>
      <w:r>
        <w:rPr>
          <w:rFonts w:ascii="Calibri" w:hAnsi="Calibri"/>
          <w:b w:val="0"/>
          <w:i w:val="0"/>
          <w:color w:val="1E293B"/>
          <w:sz w:val="20"/>
        </w:rPr>
        <w:t xml:space="preserve">Banking PCI CHD: Gold CARDS table exposes only last 4 digits of PAN for non-CHD roles — this is PCI-DSS Requirement 3.4 enforced at the data layer, not the application layer</w:t>
      </w:r>
    </w:p>
    <w:p>
      <w:pPr>
        <w:pStyle w:val="ListBullet"/>
        <w:spacing w:after="60"/>
        <w:ind w:left="360"/>
      </w:pPr>
      <w:r>
        <w:rPr>
          <w:rFonts w:ascii="Calibri" w:hAnsi="Calibri"/>
          <w:b w:val="0"/>
          <w:i w:val="0"/>
          <w:color w:val="1E293B"/>
          <w:sz w:val="20"/>
        </w:rPr>
        <w:t xml:space="preserve">Map the SCORE_FACTORS and table metadata already computed in Stage 2 (Assessment) to generate Purview Data Policy rules automatically during Stage 7</w:t>
      </w:r>
    </w:p>
    <w:p>
      <w:pPr>
        <w:pStyle w:val="Heading3"/>
        <w:jc w:val="left"/>
      </w:pPr>
      <w:r>
        <w:rPr>
          <w:rFonts w:ascii="Calibri" w:hAnsi="Calibri"/>
          <w:b/>
          <w:color w:val="2E5D9C"/>
          <w:sz w:val="24"/>
        </w:rPr>
        <w:t>15.3.4  Audit Trail → Azure Monitor / Microsoft Sentinel</w:t>
      </w:r>
    </w:p>
    <w:p>
      <w:pPr>
        <w:spacing w:after="120"/>
      </w:pPr>
      <w:r>
        <w:rPr>
          <w:rFonts w:ascii="Calibri" w:hAnsi="Calibri"/>
          <w:b w:val="0"/>
          <w:i w:val="0"/>
          <w:sz w:val="20"/>
        </w:rPr>
        <w:t xml:space="preserve">Healthcare Stage 7 defines: “All PHI access events logged with user, timestamp, purpose.” Banking defines SOX lineage for audit. Both currently produce WebSocket log strings that are ephemeral — lost on server restart. This conflicts with HIPAA §164.312(b) which requires 6-year audit log retention.</w:t>
      </w:r>
    </w:p>
    <w:p>
      <w:pPr>
        <w:pStyle w:val="ListBullet"/>
        <w:spacing w:after="60"/>
        <w:ind w:left="360"/>
      </w:pPr>
      <w:r>
        <w:rPr>
          <w:rFonts w:ascii="Calibri" w:hAnsi="Calibri"/>
          <w:b w:val="0"/>
          <w:i w:val="0"/>
          <w:color w:val="1E293B"/>
          <w:sz w:val="20"/>
        </w:rPr>
        <w:t xml:space="preserve">Replace await self._log(...) in governance and monitoring stages with dual-channel output: WebSocket (existing behaviour preserved) + Azure Monitor Logs Ingestion API (DCE/DCR pattern)</w:t>
      </w:r>
    </w:p>
    <w:p>
      <w:pPr>
        <w:pStyle w:val="ListBullet"/>
        <w:spacing w:after="60"/>
        <w:ind w:left="360"/>
      </w:pPr>
      <w:r>
        <w:rPr>
          <w:rFonts w:ascii="Calibri" w:hAnsi="Calibri"/>
          <w:b w:val="0"/>
          <w:i w:val="0"/>
          <w:color w:val="1E293B"/>
          <w:sz w:val="20"/>
        </w:rPr>
        <w:t xml:space="preserve">Create a Log Analytics workspace and define a custom table PipelineGovernanceLog_CL with fields: timestamp, vertical, table_name, stage, event_type, user_identity, row_count_affected</w:t>
      </w:r>
    </w:p>
    <w:p>
      <w:pPr>
        <w:pStyle w:val="ListBullet"/>
        <w:spacing w:after="60"/>
        <w:ind w:left="360"/>
      </w:pPr>
      <w:r>
        <w:rPr>
          <w:rFonts w:ascii="Calibri" w:hAnsi="Calibri"/>
          <w:b w:val="0"/>
          <w:i w:val="0"/>
          <w:color w:val="1E293B"/>
          <w:sz w:val="20"/>
        </w:rPr>
        <w:t xml:space="preserve">Healthcare: wire PHI access events to a Microsoft Sentinel analytics rule that fires on more than 5 patient records accessed per minute by the same identity</w:t>
      </w:r>
    </w:p>
    <w:p>
      <w:pPr>
        <w:pStyle w:val="ListBullet"/>
        <w:spacing w:after="60"/>
        <w:ind w:left="360"/>
      </w:pPr>
      <w:r>
        <w:rPr>
          <w:rFonts w:ascii="Calibri" w:hAnsi="Calibri"/>
          <w:b w:val="0"/>
          <w:i w:val="0"/>
          <w:color w:val="1E293B"/>
          <w:sz w:val="20"/>
        </w:rPr>
        <w:t xml:space="preserve">Banking: wire SAR SLA events to a Sentinel scheduled query that alerts when RISK_EVENTS records are open beyond 25 days — currently this monitor exists only as a log message in stage_monitoring()</w:t>
      </w:r>
    </w:p>
    <w:p>
      <w:pPr>
        <w:pStyle w:val="ListBullet"/>
        <w:spacing w:after="60"/>
        <w:ind w:left="360"/>
      </w:pPr>
      <w:r>
        <w:rPr>
          <w:rFonts w:ascii="Calibri" w:hAnsi="Calibri"/>
          <w:b w:val="0"/>
          <w:i w:val="0"/>
          <w:color w:val="1E293B"/>
          <w:sz w:val="20"/>
        </w:rPr>
        <w:t xml:space="preserve">ERP: wire schema drift detection (currently a single log message) to Azure Monitor metric alerts so downstream teams are notified automatically</w:t>
      </w:r>
    </w:p>
    <w:p>
      <w:pPr>
        <w:pStyle w:val="Heading3"/>
        <w:jc w:val="left"/>
      </w:pPr>
      <w:r>
        <w:rPr>
          <w:rFonts w:ascii="Calibri" w:hAnsi="Calibri"/>
          <w:b/>
          <w:color w:val="2E5D9C"/>
          <w:sz w:val="24"/>
        </w:rPr>
        <w:t>15.3.5  OneLake / Microsoft Fabric Storage (All Verticals)</w:t>
      </w:r>
    </w:p>
    <w:p>
      <w:pPr>
        <w:spacing w:after="120"/>
      </w:pPr>
      <w:r>
        <w:rPr>
          <w:rFonts w:ascii="Calibri" w:hAnsi="Calibri"/>
          <w:b w:val="0"/>
          <w:i w:val="0"/>
          <w:sz w:val="20"/>
        </w:rPr>
        <w:t xml:space="preserve">The Next Steps section (14) mentions “Azure Fabric integration: Connect to Microsoft Fabric OneLake; replace in-memory state with Delta Lake tables.” Governance is the hardest part of that migration. The SQLite simulation maps directly to Delta Lake on OneLake and the existing medallion naming convention is already correct.</w:t>
      </w:r>
    </w:p>
    <w:tbl>
      <w:tblPr>
        <w:tblW w:type="dxa" w:w="9360"/>
        <w:jc w:val="left"/>
        <w:tblLook w:firstColumn="1" w:firstRow="1" w:lastColumn="0" w:lastRow="0" w:noHBand="0" w:noVBand="1" w:val="04A0"/>
      </w:tblPr>
      <w:tblGrid>
        <w:gridCol w:w="3120"/>
        <w:gridCol w:w="6240"/>
      </w:tblGrid>
      <w:tr>
        <w:tc>
          <w:tcPr>
            <w:tcW w:type="dxa" w:w="312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 xml:space="preserve">Current SQLite Simulation</w:t>
            </w:r>
          </w:p>
        </w:tc>
        <w:tc>
          <w:tcPr>
            <w:tcW w:type="dxa" w:w="624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 xml:space="preserve">Microsoft Fabric / OneLake Target</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In-memory _state dict (lost on restart)</w:t>
            </w:r>
          </w:p>
        </w:tc>
        <w:tc>
          <w:tcPr>
            <w:tcW w:type="dxa" w:w="62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Fabric Lakehouse tables (Delta Lake, durable, versioned)</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Bronze/Silver/Gold/Platinum as Python dicts</w:t>
            </w:r>
          </w:p>
        </w:tc>
        <w:tc>
          <w:tcPr>
            <w:tcW w:type="dxa" w:w="62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OneLake folder structure: /bronze/, /silver/, /gold/, /platinum/ per vertical</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asyncio.sleep() pipeline engine</w:t>
            </w:r>
          </w:p>
        </w:tc>
        <w:tc>
          <w:tcPr>
            <w:tcW w:type="dxa" w:w="62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Fabric Data Pipeline (ADF-compatible) or Fabric Notebook pipeline</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Per-table AI/compliance scores in memory</w:t>
            </w:r>
          </w:p>
        </w:tc>
        <w:tc>
          <w:tcPr>
            <w:tcW w:type="dxa" w:w="62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Scores stored as Delta table metadata properties + Purview asset custom attributes</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7 custom DQ rules in Python (Stage 6)</w:t>
            </w:r>
          </w:p>
        </w:tc>
        <w:tc>
          <w:tcPr>
            <w:tcW w:type="dxa" w:w="62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Microsoft Purview Data Quality (preview) or dbt + Delta Live Tables expectations</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WebSocket lineage_update event</w:t>
            </w:r>
          </w:p>
        </w:tc>
        <w:tc>
          <w:tcPr>
            <w:tcW w:type="dxa" w:w="62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Fabric native lineage graph — auto-populated when Fabric connects to Purview (one-click)</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SQLite simulating Oracle ERP</w:t>
            </w:r>
          </w:p>
        </w:tc>
        <w:tc>
          <w:tcPr>
            <w:tcW w:type="dxa" w:w="62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Fabric Lakehouse: erp_bronze, erp_silver, erp_gold, erp_platinum schemas</w:t>
            </w:r>
          </w:p>
        </w:tc>
      </w:tr>
      <w:tr>
        <w:tc>
          <w:tcPr>
            <w:tcW w:type="dxa" w:w="312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SQLite simulating Epic EHR</w:t>
            </w:r>
          </w:p>
        </w:tc>
        <w:tc>
          <w:tcPr>
            <w:tcW w:type="dxa" w:w="62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Azure Health Data Services FHIR R4 server → Fabric Healthcare data model</w:t>
            </w:r>
          </w:p>
        </w:tc>
      </w:tr>
      <w:tr>
        <w:tc>
          <w:tcPr>
            <w:tcW w:type="dxa" w:w="312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SQLite simulating FIS core banking</w:t>
            </w:r>
          </w:p>
        </w:tc>
        <w:tc>
          <w:tcPr>
            <w:tcW w:type="dxa" w:w="62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Fabric Lakehouse: banking_bronze → banking_platinum + Key Vault token vault</w:t>
            </w:r>
          </w:p>
        </w:tc>
      </w:tr>
    </w:tbl>
    <w:p/>
    <w:p>
      <w:pPr>
        <w:spacing w:after="120"/>
      </w:pPr>
      <w:r>
        <w:rPr>
          <w:rFonts w:ascii="Calibri" w:hAnsi="Calibri"/>
          <w:b w:val="0"/>
          <w:i w:val="0"/>
          <w:sz w:val="20"/>
        </w:rPr>
        <w:t xml:space="preserve">The key governance dividend with Fabric: once Fabric workspace is connected to Purview, every Delta table in OneLake auto-registers in the Purview Data Map with schema, row count, and pipeline lineage. The lineage_update WebSocket events the pipeline broadcasts would instead be Fabric’s native lineage graph, queryable from the Purview portal.</w:t>
      </w:r>
    </w:p>
    <w:p>
      <w:pPr>
        <w:pStyle w:val="Heading3"/>
        <w:jc w:val="left"/>
      </w:pPr>
      <w:r>
        <w:rPr>
          <w:rFonts w:ascii="Calibri" w:hAnsi="Calibri"/>
          <w:b/>
          <w:color w:val="2E5D9C"/>
          <w:sz w:val="24"/>
        </w:rPr>
        <w:t>15.3.6  Healthcare: Consent Registry → Azure Health Data Services</w:t>
      </w:r>
    </w:p>
    <w:p>
      <w:pPr>
        <w:spacing w:after="120"/>
      </w:pPr>
      <w:r>
        <w:rPr>
          <w:rFonts w:ascii="Calibri" w:hAnsi="Calibri"/>
          <w:b w:val="0"/>
          <w:i w:val="0"/>
          <w:sz w:val="20"/>
        </w:rPr>
        <w:t xml:space="preserve">The healthcare governance step “Consent Registry: Patient consent flags propagated to Silver/Gold/Platinum layers” has no implementation. It is a single log message. This is one of the more complex builds because it requires a running FHIR server and event-driven propagation.</w:t>
      </w:r>
    </w:p>
    <w:p>
      <w:pPr>
        <w:pStyle w:val="ListBullet"/>
        <w:spacing w:after="60"/>
        <w:ind w:left="360"/>
      </w:pPr>
      <w:r>
        <w:rPr>
          <w:rFonts w:ascii="Calibri" w:hAnsi="Calibri"/>
          <w:b w:val="0"/>
          <w:i w:val="0"/>
          <w:color w:val="1E293B"/>
          <w:sz w:val="20"/>
        </w:rPr>
        <w:t xml:space="preserve">Deploy Azure Health Data Services, which includes a managed FHIR R4 server and a native consent service</w:t>
      </w:r>
    </w:p>
    <w:p>
      <w:pPr>
        <w:pStyle w:val="ListBullet"/>
        <w:spacing w:after="60"/>
        <w:ind w:left="360"/>
      </w:pPr>
      <w:r>
        <w:rPr>
          <w:rFonts w:ascii="Calibri" w:hAnsi="Calibri"/>
          <w:b w:val="0"/>
          <w:i w:val="0"/>
          <w:color w:val="1E293B"/>
          <w:sz w:val="20"/>
        </w:rPr>
        <w:t xml:space="preserve">Patient consent is represented as a FHIR Consent resource; the existing consent_registry governance step should query the FHIR server for each patient before promoting records to Silver</w:t>
      </w:r>
    </w:p>
    <w:p>
      <w:pPr>
        <w:pStyle w:val="ListBullet"/>
        <w:spacing w:after="60"/>
        <w:ind w:left="360"/>
      </w:pPr>
      <w:r>
        <w:rPr>
          <w:rFonts w:ascii="Calibri" w:hAnsi="Calibri"/>
          <w:b w:val="0"/>
          <w:i w:val="0"/>
          <w:color w:val="1E293B"/>
          <w:sz w:val="20"/>
        </w:rPr>
        <w:t xml:space="preserve">If a patient’s consent flags opt-out of research use, their record is retained in a restricted Bronze PHI vault but excluded from Silver/Gold analytics layers</w:t>
      </w:r>
    </w:p>
    <w:p>
      <w:pPr>
        <w:pStyle w:val="ListBullet"/>
        <w:spacing w:after="60"/>
        <w:ind w:left="360"/>
      </w:pPr>
      <w:r>
        <w:rPr>
          <w:rFonts w:ascii="Calibri" w:hAnsi="Calibri"/>
          <w:b w:val="0"/>
          <w:i w:val="0"/>
          <w:color w:val="1E293B"/>
          <w:sz w:val="20"/>
        </w:rPr>
        <w:t xml:space="preserve">Propagation: use Azure Event Grid — when a Consent resource changes in the FHIR server, publish an event that triggers a Fabric pipeline to re-evaluate downstream data products for that patient</w:t>
      </w:r>
    </w:p>
    <w:p>
      <w:pPr>
        <w:pStyle w:val="ListBullet"/>
        <w:spacing w:after="60"/>
        <w:ind w:left="360"/>
      </w:pPr>
      <w:r>
        <w:rPr>
          <w:rFonts w:ascii="Calibri" w:hAnsi="Calibri"/>
          <w:b w:val="0"/>
          <w:i w:val="0"/>
          <w:color w:val="1E293B"/>
          <w:sz w:val="20"/>
        </w:rPr>
        <w:t xml:space="preserve">The existing phi_summary WebSocket event (which tracks all 18 PHI identifier categories) maps directly to the FHIR Consent.provision structure — the data model is already aligned</w:t>
      </w:r>
    </w:p>
    <w:p>
      <w:pPr>
        <w:pStyle w:val="ListBullet"/>
        <w:spacing w:after="60"/>
        <w:ind w:left="360"/>
      </w:pPr>
      <w:r>
        <w:rPr>
          <w:rFonts w:ascii="Calibri" w:hAnsi="Calibri"/>
          <w:b w:val="0"/>
          <w:i w:val="0"/>
          <w:color w:val="1E293B"/>
          <w:sz w:val="20"/>
        </w:rPr>
        <w:t xml:space="preserve">BAA Compliance verification (currently a log message) becomes an Azure Policy assignment on the resource group containing the Health Data Services workspace</w:t>
      </w:r>
    </w:p>
    <w:p>
      <w:pPr>
        <w:pStyle w:val="Heading3"/>
        <w:jc w:val="left"/>
      </w:pPr>
      <w:r>
        <w:rPr>
          <w:rFonts w:ascii="Calibri" w:hAnsi="Calibri"/>
          <w:b/>
          <w:color w:val="2E5D9C"/>
          <w:sz w:val="24"/>
        </w:rPr>
        <w:t>15.3.7  Banking: Real OFAC Screening + SOX Lineage</w:t>
      </w:r>
    </w:p>
    <w:p>
      <w:pPr>
        <w:spacing w:after="120"/>
      </w:pPr>
      <w:r>
        <w:rPr>
          <w:rFonts w:ascii="Calibri" w:hAnsi="Calibri"/>
          <w:b w:val="0"/>
          <w:i w:val="0"/>
          <w:sz w:val="20"/>
        </w:rPr>
        <w:t xml:space="preserve">The banking Stage 7 logs “2 potential hits flagged” with a hardcoded count. OFAC screening is entirely simulated. SOX lineage is a single log line. Both require substantive build work for a production engagement.</w:t>
      </w:r>
    </w:p>
    <w:p>
      <w:pPr>
        <w:pStyle w:val="ListBullet"/>
        <w:spacing w:after="60"/>
        <w:ind w:left="360"/>
      </w:pPr>
      <w:r>
        <w:rPr>
          <w:rFonts w:ascii="Calibri" w:hAnsi="Calibri"/>
          <w:b w:val="0"/>
          <w:i w:val="0"/>
          <w:color w:val="1E293B"/>
          <w:sz w:val="20"/>
        </w:rPr>
        <w:t xml:space="preserve">OFAC screening: wrap the OFAC SDN API (or a commercial vendor: Dow Jones Watchlist, LexisNexis Risk) behind Azure API Management; call it from Stage 7 during BENEFICIARIES processing — replace the hardcoded “2 hits” with real response data</w:t>
      </w:r>
    </w:p>
    <w:p>
      <w:pPr>
        <w:pStyle w:val="ListBullet"/>
        <w:spacing w:after="60"/>
        <w:ind w:left="360"/>
      </w:pPr>
      <w:r>
        <w:rPr>
          <w:rFonts w:ascii="Calibri" w:hAnsi="Calibri"/>
          <w:b w:val="0"/>
          <w:i w:val="0"/>
          <w:color w:val="1E293B"/>
          <w:sz w:val="20"/>
        </w:rPr>
        <w:t xml:space="preserve">Real-time screening: wire Stage 9 monitoring to trigger OFAC re-screen on any new beneficiary addition, replacing the current log message “OFAC: real-time screening on all new beneficiary additions”</w:t>
      </w:r>
    </w:p>
    <w:p>
      <w:pPr>
        <w:pStyle w:val="ListBullet"/>
        <w:spacing w:after="60"/>
        <w:ind w:left="360"/>
      </w:pPr>
      <w:r>
        <w:rPr>
          <w:rFonts w:ascii="Calibri" w:hAnsi="Calibri"/>
          <w:b w:val="0"/>
          <w:i w:val="0"/>
          <w:color w:val="1E293B"/>
          <w:sz w:val="20"/>
        </w:rPr>
        <w:t xml:space="preserve">SOX lineage: every financial calculation (balance reconciliation, interest accrual) needs immutable lineage — tag Purview Atlas Process entities with a sox_control_id attribute; these become queryable for auditors via the Purview portal</w:t>
      </w:r>
    </w:p>
    <w:p>
      <w:pPr>
        <w:pStyle w:val="ListBullet"/>
        <w:spacing w:after="60"/>
        <w:ind w:left="360"/>
      </w:pPr>
      <w:r>
        <w:rPr>
          <w:rFonts w:ascii="Calibri" w:hAnsi="Calibri"/>
          <w:b w:val="0"/>
          <w:i w:val="0"/>
          <w:color w:val="1E293B"/>
          <w:sz w:val="20"/>
        </w:rPr>
        <w:t xml:space="preserve">The compliance_summary WebSocket event (emitted in _stage_7_governance) maps to a Purview Insights compliance report — wire it to generate an exportable PDF/CSV for regulatory submissions</w:t>
      </w:r>
    </w:p>
    <w:p>
      <w:pPr>
        <w:pStyle w:val="ListBullet"/>
        <w:spacing w:after="60"/>
        <w:ind w:left="360"/>
      </w:pPr>
      <w:r>
        <w:rPr>
          <w:rFonts w:ascii="Calibri" w:hAnsi="Calibri"/>
          <w:b w:val="0"/>
          <w:i w:val="0"/>
          <w:color w:val="1E293B"/>
          <w:sz w:val="20"/>
        </w:rPr>
        <w:t xml:space="preserve">PAN tokenisation: replace the simulated tokenisation in Stage 5 with Azure Key Vault — store the token-to-PAN mapping in Key Vault secrets; the existing PCI_IDENTIFIERS list in bank_pipeline.py defines the scope precisely</w:t>
      </w:r>
    </w:p>
    <w:p>
      <w:pPr>
        <w:pStyle w:val="Heading2"/>
        <w:jc w:val="left"/>
      </w:pPr>
      <w:r>
        <w:rPr>
          <w:rFonts w:ascii="Calibri" w:hAnsi="Calibri"/>
          <w:b/>
          <w:color w:val="2E5D9C"/>
          <w:sz w:val="28"/>
        </w:rPr>
        <w:t>15.4  Recommended Build Order</w:t>
      </w:r>
    </w:p>
    <w:p>
      <w:pPr>
        <w:spacing w:after="120"/>
      </w:pPr>
      <w:r>
        <w:rPr>
          <w:rFonts w:ascii="Calibri" w:hAnsi="Calibri"/>
          <w:b w:val="0"/>
          <w:i w:val="0"/>
          <w:sz w:val="20"/>
        </w:rPr>
        <w:t xml:space="preserve">The following priority sequence minimises dependency chain risk. Priorities 1 and 2 can be executed in parallel.</w:t>
      </w:r>
    </w:p>
    <w:tbl>
      <w:tblPr>
        <w:tblW w:type="dxa" w:w="9360"/>
        <w:jc w:val="left"/>
        <w:tblLook w:firstColumn="1" w:firstRow="1" w:lastColumn="0" w:lastRow="0" w:noHBand="0" w:noVBand="1" w:val="04A0"/>
      </w:tblPr>
      <w:tblGrid>
        <w:gridCol w:w="1260"/>
        <w:gridCol w:w="4860"/>
        <w:gridCol w:w="3240"/>
      </w:tblGrid>
      <w:tr>
        <w:tc>
          <w:tcPr>
            <w:tcW w:type="dxa" w:w="126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 xml:space="preserve">Priority</w:t>
            </w:r>
          </w:p>
        </w:tc>
        <w:tc>
          <w:tcPr>
            <w:tcW w:type="dxa" w:w="486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 xml:space="preserve">Scope</w:t>
            </w:r>
          </w:p>
        </w:tc>
        <w:tc>
          <w:tcPr>
            <w:tcW w:type="dxa" w:w="3240"/>
            <w:shd w:val="clear" w:color="auto" w:fill="1E406E"/>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i w:val="0"/>
                <w:color w:val="FFFFFF"/>
                <w:sz w:val="18"/>
              </w:rPr>
              <w:t xml:space="preserve">Estimated Effort</w:t>
            </w:r>
          </w:p>
        </w:tc>
      </w:tr>
      <w:tr>
        <w:tc>
          <w:tcPr>
            <w:tcW w:type="dxa" w:w="12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1 — HIGH</w:t>
            </w:r>
          </w:p>
        </w:tc>
        <w:tc>
          <w:tcPr>
            <w:tcW w:type="dxa" w:w="48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Purview Data Map connectivity: PurviewGovernanceClient shared helper; entity + lineage creation in all three stage_governance() calls; classification assignment from detected PII/PHI/PAN column lists</w:t>
            </w:r>
          </w:p>
        </w:tc>
        <w:tc>
          <w:tcPr>
            <w:tcW w:type="dxa" w:w="32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2–3 weeks</w:t>
            </w:r>
          </w:p>
        </w:tc>
      </w:tr>
      <w:tr>
        <w:tc>
          <w:tcPr>
            <w:tcW w:type="dxa" w:w="12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2 — HIGH</w:t>
            </w:r>
          </w:p>
        </w:tc>
        <w:tc>
          <w:tcPr>
            <w:tcW w:type="dxa" w:w="48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OneLake / Fabric storage: replace SQLite with Fabric Lakehouse Delta tables per vertical; connect Fabric workspace to Purview (one-click enables auto-lineage); Bronze/Silver/Gold/Platinum as OneLake folder partitions</w:t>
            </w:r>
          </w:p>
        </w:tc>
        <w:tc>
          <w:tcPr>
            <w:tcW w:type="dxa" w:w="32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2–3 weeks</w:t>
            </w:r>
          </w:p>
        </w:tc>
      </w:tr>
      <w:tr>
        <w:tc>
          <w:tcPr>
            <w:tcW w:type="dxa" w:w="12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3 — MED</w:t>
            </w:r>
          </w:p>
        </w:tc>
        <w:tc>
          <w:tcPr>
            <w:tcW w:type="dxa" w:w="48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MIP sensitivity labels + access policy: label definitions driven by classification results from Priority 1; Fabric column masking for PHI (Healthcare) and PAN (Banking); Purview Data Policy for collection-level access control</w:t>
            </w:r>
          </w:p>
        </w:tc>
        <w:tc>
          <w:tcPr>
            <w:tcW w:type="dxa" w:w="32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1–2 weeks</w:t>
            </w:r>
          </w:p>
        </w:tc>
      </w:tr>
      <w:tr>
        <w:tc>
          <w:tcPr>
            <w:tcW w:type="dxa" w:w="12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4 — MED</w:t>
            </w:r>
          </w:p>
        </w:tc>
        <w:tc>
          <w:tcPr>
            <w:tcW w:type="dxa" w:w="48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Audit trail → Azure Monitor: dual-channel logging (WebSocket + Log Analytics); Microsoft Sentinel analytics rules for PHI anomaly detection and SAR SLA breach; HIPAA §164.312(b) retention compliance</w:t>
            </w:r>
          </w:p>
        </w:tc>
        <w:tc>
          <w:tcPr>
            <w:tcW w:type="dxa" w:w="32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1 week</w:t>
            </w:r>
          </w:p>
        </w:tc>
      </w:tr>
      <w:tr>
        <w:tc>
          <w:tcPr>
            <w:tcW w:type="dxa" w:w="12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5 — MED</w:t>
            </w:r>
          </w:p>
        </w:tc>
        <w:tc>
          <w:tcPr>
            <w:tcW w:type="dxa" w:w="48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Healthcare: Azure Health Data Services FHIR R4 server + consent service + Event Grid propagation; replaces SQLite Epic EHR simulation with real FHIR API</w:t>
            </w:r>
          </w:p>
        </w:tc>
        <w:tc>
          <w:tcPr>
            <w:tcW w:type="dxa" w:w="32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2–3 weeks</w:t>
            </w:r>
          </w:p>
        </w:tc>
      </w:tr>
      <w:tr>
        <w:tc>
          <w:tcPr>
            <w:tcW w:type="dxa" w:w="12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6 — MED</w:t>
            </w:r>
          </w:p>
        </w:tc>
        <w:tc>
          <w:tcPr>
            <w:tcW w:type="dxa" w:w="486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Banking: real OFAC API via Azure API Management; Azure Key Vault PAN tokenisation vault; SOX lineage tagging on Purview Atlas Process entities</w:t>
            </w:r>
          </w:p>
        </w:tc>
        <w:tc>
          <w:tcPr>
            <w:tcW w:type="dxa" w:w="3240"/>
            <w:shd w:val="clear" w:color="auto" w:fill="F1F5F9"/>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2–3 weeks</w:t>
            </w:r>
          </w:p>
        </w:tc>
      </w:tr>
      <w:tr>
        <w:tc>
          <w:tcPr>
            <w:tcW w:type="dxa" w:w="12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7 — LOW</w:t>
            </w:r>
          </w:p>
        </w:tc>
        <w:tc>
          <w:tcPr>
            <w:tcW w:type="dxa" w:w="486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Persistent state: replace in-memory _state dict with Redis Cache or Azure Cosmos DB; enables multi-instance deployment and restart resilience without losing pipeline progress</w:t>
            </w:r>
          </w:p>
        </w:tc>
        <w:tc>
          <w:tcPr>
            <w:tcW w:type="dxa" w:w="3240"/>
            <w:shd w:val="clear" w:color="auto" w:fill="FFFFFF"/>
            <w:tcBorders>
              <w:top w:val="single" w:sz="4" w:space="0" w:color="D1D5DB"/>
              <w:left w:val="single" w:sz="4" w:space="0" w:color="D1D5DB"/>
              <w:bottom w:val="single" w:sz="4" w:space="0" w:color="D1D5DB"/>
              <w:right w:val="single" w:sz="4" w:space="0" w:color="D1D5DB"/>
            </w:tcBorders>
            <w:tcMar>
              <w:top w:w="60" w:type="dxa"/>
              <w:bottom w:w="60" w:type="dxa"/>
              <w:left w:w="100" w:type="dxa"/>
              <w:right w:w="100" w:type="dxa"/>
            </w:tcMar>
          </w:tcPr>
          <w:p>
            <w:pPr>
              <w:jc w:val="left"/>
            </w:pPr>
            <w:r>
              <w:rPr>
                <w:rFonts w:ascii="Calibri" w:hAnsi="Calibri"/>
                <w:b w:val="0"/>
                <w:i w:val="0"/>
                <w:color w:val="1E293B"/>
                <w:sz w:val="18"/>
              </w:rPr>
              <w:t xml:space="preserve">1 week</w:t>
            </w:r>
          </w:p>
        </w:tc>
      </w:tr>
    </w:tbl>
    <w:p/>
    <w:p>
      <w:pPr>
        <w:pStyle w:val="Heading2"/>
        <w:jc w:val="left"/>
      </w:pPr>
      <w:r>
        <w:rPr>
          <w:rFonts w:ascii="Calibri" w:hAnsi="Calibri"/>
          <w:b/>
          <w:color w:val="2E5D9C"/>
          <w:sz w:val="28"/>
        </w:rPr>
        <w:t>15.5  Core Translation Principle</w:t>
      </w:r>
    </w:p>
    <w:p>
      <w:pPr>
        <w:spacing w:after="120"/>
      </w:pPr>
      <w:r>
        <w:rPr>
          <w:rFonts w:ascii="Calibri" w:hAnsi="Calibri"/>
          <w:b w:val="0"/>
          <w:i w:val="0"/>
          <w:sz w:val="20"/>
        </w:rPr>
        <w:t xml:space="preserve">Every Oracle governance primitive in the spec has a Microsoft 1:1, but the binding layer is Microsoft Purview Data Map — it is the connective tissue that does not yet exist in the code. Right now each governance stage is three separate islands: ERP logs, Healthcare logs, Banking logs. In the Microsoft ecosystem, all three verticals register into one unified Purview account as separate collections under a shared root, giving a single control plane for classification, lineage, access policy, and compliance reporting across all three domains.</w:t>
      </w:r>
    </w:p>
    <w:p>
      <w:pPr>
        <w:spacing w:after="120"/>
      </w:pPr>
      <w:r>
        <w:rPr>
          <w:rFonts w:ascii="Calibri" w:hAnsi="Calibri"/>
          <w:b w:val="0"/>
          <w:i w:val="0"/>
          <w:sz w:val="20"/>
        </w:rPr>
        <w:t xml:space="preserve">The in-memory lineage dict, the pii_cols list, the phi_summary, and the compliance_summary WebSocket event already have the correct shape and semantics for this translation. They need to route to Purview Atlas API calls in addition to (not instead of) their WebSocket broadcasts. That single architectural change — adding Purview as a second sink alongside the WebSocket — unlocks the entire Microsoft governance stack: auto-lineage in Fabric, MIP label inheritance, Purview Insights compliance dashboards, and Sentinel analytics rules, all from one connection point.</w:t>
      </w:r>
    </w:p>
    <w:p>
      <w:pPr>
        <w:spacing w:after="120"/>
        <w:ind w:left="360" w:right="360"/>
        <w:pBdr>
          <w:left w:val="single" w:sz="12" w:space="4" w:color="2E5D9C"/>
        </w:pBdr>
      </w:pPr>
      <w:r>
        <w:rPr>
          <w:rFonts w:ascii="Calibri" w:hAnsi="Calibri"/>
          <w:b/>
          <w:i/>
          <w:color w:val="1E406E"/>
          <w:sz w:val="19"/>
        </w:rPr>
        <w:t xml:space="preserve">The POC governance simulation is already Microsoft-native in its terminology and data structures. Closing the gap from simulation to reality is a matter of adding API calls, not redesigning the architecture.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
  <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