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E406E"/>
          <w:sz w:val="72"/>
        </w:rPr>
        <w:t>AI READY DATA</w:t>
      </w:r>
    </w:p>
    <w:p>
      <w:pPr>
        <w:jc w:val="center"/>
      </w:pPr>
      <w:r>
        <w:rPr>
          <w:rFonts w:ascii="Calibri" w:hAnsi="Calibri"/>
          <w:color w:val="2E5D9C"/>
          <w:sz w:val="36"/>
        </w:rPr>
        <w:t>Proof of Concept — Specification Document</w:t>
      </w:r>
    </w:p>
    <w:p/>
    <w:p>
      <w:pPr>
        <w:jc w:val="center"/>
      </w:pPr>
      <w:r>
        <w:rPr>
          <w:rFonts w:ascii="Calibri" w:hAnsi="Calibri"/>
          <w:i/>
          <w:color w:val="64748B"/>
          <w:sz w:val="24"/>
        </w:rPr>
        <w:t>9-Stage Automated Data Pipeline  ·  Enterprise ERP  ·  Healthcare / HIPAA  ·  Banking / AML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20"/>
              </w:rPr>
              <w:t>Version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1.0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20"/>
              </w:rPr>
              <w:t>Date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May 06, 2026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20"/>
              </w:rPr>
              <w:t>Status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Draft — For Review</w:t>
            </w:r>
          </w:p>
        </w:tc>
      </w:tr>
      <w:tr>
        <w:tc>
          <w:tcPr>
            <w:tcW w:type="dxa" w:w="46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20"/>
              </w:rPr>
              <w:t>GitHub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https://github.com/mehertpm/AI-Ready-Data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1. Executive Summary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AI Ready Data is a fully automated, 9-stage data pipeline proof of concept that demonstrates how organisations can transform raw legacy data into AI-ready, governed, and compliance-certified assets. The POC spans three industry verticals — Enterprise ERP, Healthcare / HIPAA, and Banking / AML — each running as a self-contained pipeline with domain-specific data quality rules, compliance scoring, and a live WebSocket dashboard that shows data quality rise in real time from Bronze through to Platinum.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pipeline simulates a realistic legacy source database (Oracle / Epic EHR / FIS core banking), injects representative data quality issues, then automatically moves data through four medallion layers while computing an AI Readiness Score and a domain compliance score (HIPAA or Regulatory) per table at every stage. A dedicated improvement roadmap panel shows exactly what steps are needed to advance each table from its current layer to Platinum.</w:t>
      </w:r>
    </w:p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Key Highlights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Three vertical POCs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Enterprise ERP, Healthcare/HIPAA, and Banking/AML — each with domain-specific rules and compliance scores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9 automated stages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Discovery → Assessment → Architecture → Extraction → Transform → Data Quality → Governance → AI Optimize → Monitoring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Medallion architecture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Bronze → Silver → Gold → Platinum progression with per-table AI Readiness Scores (0–100)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Compliance scoring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HIPAA Safe Harbor de-identification for healthcare; BSA/AML, PCI-DSS, KYC/CDD scoring for banking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Improvement roadmap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Actionable, per-table steps showing exactly what to fix at each layer transition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Live dashboards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Real-time WebSocket streaming of pipeline progress, log events, DQ rule results, and lineage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Self-contained demo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Fully browser-hosted simulation at demo/index.html — no backend required for presentations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~315K simulated rows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90,575 ERP · 137,397 Healthcare · ~125,662 Banking records with injected, realistic DQ issues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2. Scope &amp; Objectives</w:t>
      </w:r>
    </w:p>
    <w:p>
      <w:pPr>
        <w:spacing w:before="80" w:after="80"/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2.1  Purpose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POC was built to demonstrate an end-to-end, fully automated data pipeline that takes raw, quality-degraded data from legacy systems and produces AI-ready, compliance-certified data assets — without requiring cloud credentials, proprietary tools, or a build pipeline. It serves as a compelling sales and technical demonstration for data platform modernisation engagements.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2.2  In Scope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Three vertical POCs: Enterprise ERP, Healthcare / HIPAA, Banking / AML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9-stage pipeline simulation with async WebSocket live updates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Bronze → Silver → Gold → Platinum medallion progression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Dual scoring: AI Readiness Score + domain compliance score per table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7 domain-specific data quality rule types per vertical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Per-table improvement roadmap with actionable steps per layer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Data lineage tracking (source → bronze → silver → gold)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Self-contained browser demo (no server required) with all three verticals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GitHub repository with full source code at https://github.com/mehertpm/AI-Ready-Data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Vercel deployment configuration for the static demo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2.3  Out of Scope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Real cloud connectivity (Azure, AWS, GCP) — simulated locally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Production-grade authentication, secrets management, or encryption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Actual Oracle JDBC / Epic API / FIS API connections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Real HIPAA, PCI-DSS, or BSA certification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Multi-user access control or role-based permissions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3. Architecture Overview</w:t>
      </w:r>
    </w:p>
    <w:p>
      <w:pPr>
        <w:spacing w:before="80" w:after="80"/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3.1  High-Level 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vertical POC is a self-contained application consisting of a FastAPI async backend, a React 18 single-page frontend, and a SQLite database that simulates the legacy source system with pre-injected data quality issues. All three run independently on separate ports and share no state.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POC Vertical</w:t>
            </w:r>
          </w:p>
        </w:tc>
        <w:tc>
          <w:tcPr>
            <w:tcW w:type="dxa" w:w="2016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Directory</w:t>
            </w:r>
          </w:p>
        </w:tc>
        <w:tc>
          <w:tcPr>
            <w:tcW w:type="dxa" w:w="115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21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Simulation</w:t>
            </w:r>
          </w:p>
        </w:tc>
        <w:tc>
          <w:tcPr>
            <w:tcW w:type="dxa" w:w="172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Compliance Focus</w:t>
            </w:r>
          </w:p>
        </w:tc>
      </w:tr>
      <w:tr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Enterprise ERP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backend/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port 8000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SQLite → Oracle ERP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BSA / PII tagging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 / HIPAA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healthcare/backend/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port 8001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SQLite → Epic EHR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HIPAA Safe Harbor / FHIR R4</w:t>
            </w:r>
          </w:p>
        </w:tc>
      </w:tr>
      <w:tr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 / AML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banking/backend/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port 8002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SQLite → FIS/Fiserv</w:t>
            </w:r>
          </w:p>
        </w:tc>
        <w:tc>
          <w:tcPr>
            <w:tcW w:type="dxa" w:w="1872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BSA/AML / PCI-DSS / KYC-CDD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Static Demo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demo/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Vercel CDN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Browser simulation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 three verticals (no backend)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3.2  Technology 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Python 3.9+, FastAPI, Uvicorn, asyncio, WebSockets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Database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SQLite (simulates Oracle 19c / Epic EHR / FIS core banking)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Frontend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React 18 (CDN), Babel Standalone — zero build step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Simulation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Custom async pipeline engine, setTimeout-based browser sim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Deployment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Vercel (static demo), local bash start scripts (live backends)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Dev Tools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Python venv, pip3, git — no Node.js, npm, or cloud CLI required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3.3  Medallion Architecture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All three pipelines use a four-layer Medallion architecture. Every table is individually scored at each layer transition, giving a granular view of data quality progression.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016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AI Score Range</w:t>
            </w:r>
          </w:p>
        </w:tc>
        <w:tc>
          <w:tcPr>
            <w:tcW w:type="dxa" w:w="5904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🔶 Bronze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35–74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Raw ingestion — source fidelity preserved; audit columns added; no transformations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🥈 Silver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62–85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Cleansed — nulls imputed, deduplication (SCD2), formats standardised, PAN tokenised (banking)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🥇 Gold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82–93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Curated — DQ rules applied, failed records quarantined, aggregates computed, compliance enforced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💎 Platinum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93–99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AI-ready — ML feature vectors, embeddings, risk scores, regulatory report inputs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4. The 9-Stage Pipeline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POC executes an identical 9-stage pipeline structure, with domain-specific logic injected per stage for each vertical. Stages run sequentially; within stages, table-level operations run with 8-way concurrency (asyncio.gather with Semaphore(4)).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6984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1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Discovery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Connect to source system, profile all tables (row counts, column stats, nullability, cardinality), detect PII/PHI fields, build FK dependency graph. Emits per-table source-layer scores.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Assessment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Compute AI Readiness Score (0–100) per table from five weighted factors. For healthcare: adds HIPAA compliance score. For banking: adds Regulatory Compliance Score. Identifies critical gaps.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3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Architecture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Auto-generate Bronze/Silver/Gold/Platinum medallion DDL. For banking: generates PCI-DSS tokenisation vault schema. For healthcare: FHIR R4-aligned resource schemas.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Extraction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8-way parallel ROWID-range extraction → Bronze layer. PHI audit log enabled for healthcare; AML audit trail for banking. Dead-letter quarantine for schema-violating rows.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5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Transform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Bronze → Silver: null imputation, SCD2 deduplication, type normalisation. Healthcare: HIPAA Safe Harbor de-identification (18 PHI identifiers). Banking: PAN tokenisation (PCI-DSS Req 3.4), KYC field validation.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6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Data Quality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Apply 7 domain-specific DQ rules per table. Failed rows auto-quarantined. Tables promoted to Gold layer. Pass rates logged per rule with row-level failure counts.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7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Governance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Register all assets in governance catalog. Healthcare: HIPAA audit trail, BAA compliance, consent registry. Banking: OFAC/SDN screening, GLBA classification, SOX lineage. ERP: Purview registration + MIP labels.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8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AI Optimize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Gold → Platinum: generate ML feature stores. Healthcare: readmission risk, LOS prediction, ICD-10 NLP embeddings. Banking: fraud scoring, PD/LGD/EAD, AML network graph. ERP: rolling windows, text chunking (RAG).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9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Monitoring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Activate live monitoring dashboards. Healthcare: patient safety alerts, HIPAA access monitoring. Banking: CTR filing triggers (≥$10K), SAR SLA monitors, OFAC watch. ERP: DQ trend alerts, schema drift detection.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5. Enterprise ERP POC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20" w:after="120"/>
        <w:shd w:val="clear" w:color="auto" w:fill="00B48A"/>
      </w:pPr>
      <w:r>
        <w:rPr>
          <w:rFonts w:ascii="Calibri" w:hAnsi="Calibri"/>
          <w:b/>
          <w:i w:val="0"/>
          <w:color w:val="FFFFFF"/>
          <w:sz w:val="24"/>
        </w:rPr>
        <w:t>🏢 Enterprise ERP</w:t>
      </w:r>
      <w:r>
        <w:rPr>
          <w:rFonts w:ascii="Calibri" w:hAnsi="Calibri"/>
          <w:b w:val="0"/>
          <w:i/>
          <w:color w:val="FFFFFF"/>
          <w:sz w:val="20"/>
        </w:rPr>
        <w:t xml:space="preserve">  —  Oracle Legacy → AI-Ready OneLake  ·  Port 8000  ·  ~90,575 rows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5.1  Source Tables &amp; Data Issues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115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 Count</w:t>
            </w:r>
          </w:p>
        </w:tc>
        <w:tc>
          <w:tcPr>
            <w:tcW w:type="dxa" w:w="21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 (Source→Platinum)</w:t>
            </w:r>
          </w:p>
        </w:tc>
        <w:tc>
          <w:tcPr>
            <w:tcW w:type="dxa" w:w="432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Data Quality Issues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CUSTOMERS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9,507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48 → 96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12% null emails, 5% duplicates, SSN format errors, 18% incomplete addresses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ORDERS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50,000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59 → 94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FK violations to non-existent customers, 3% negative amounts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PRODUCTS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491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67 → 97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 prices, duplicate SKUs, missing category codes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2,000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51 → 95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SSN format errors, orphaned manager FK, 8% null department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FINANCIALS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19,577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64 → 96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Invalid currency codes, duplicate transaction IDs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INVENTORY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3,000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70 → 97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Stale timestamps, FK violations, negative stock levels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CONTRACTS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1,000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60 → 93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Long-text fields for RAG chunking, missing start dates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RISK_EVENTS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5,000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53 → 94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 null resolved flags, missing resolution timestamps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5.2  AI Readiness Score Factors (ERP)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table's AI Readiness Score is computed from five equally-weighted factors: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Factor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619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Completeness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30%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% of required fields populated across all rows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Uniqueness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20%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% of primary key and high-cardinality fields free of duplicates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Freshness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20%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Recency of last update relative to expected cadence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Cardinality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Ratio of distinct values indicating schema health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Referential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% of FK references that resolve to valid parent rows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5.3  DQ Rule Types (ERP — Stage 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7056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Null Check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Threshold auto-set from column profile; rows failing quarantined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Uniqueness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PK and high-cardinality constraint enforcement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Range Check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Min/max derived from P1–P99 percentiles; outliers quarantined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Regex Pattern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Email, phone, SSN, IP address, postal code format validation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Referential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FK integrity check across all parent-child table relationships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Volume Anomaly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Row count vs. historical baseline; &gt;20% deviation flags an alert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Freshness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Timestamp staleness scored against expected update cadence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6. Healthcare / HIPAA POC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20" w:after="120"/>
        <w:shd w:val="clear" w:color="auto" w:fill="6D28D9"/>
      </w:pPr>
      <w:r>
        <w:rPr>
          <w:rFonts w:ascii="Calibri" w:hAnsi="Calibri"/>
          <w:b/>
          <w:i w:val="0"/>
          <w:color w:val="FFFFFF"/>
          <w:sz w:val="24"/>
        </w:rPr>
        <w:t>🏥 Healthcare / HIPAA</w:t>
      </w:r>
      <w:r>
        <w:rPr>
          <w:rFonts w:ascii="Calibri" w:hAnsi="Calibri"/>
          <w:b w:val="0"/>
          <w:i/>
          <w:color w:val="FFFFFF"/>
          <w:sz w:val="20"/>
        </w:rPr>
        <w:t xml:space="preserve">  —  Epic EHR → HIPAA-Compliant OneLake  ·  Port 8001  ·  ~137,397 rows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6.1  FHIR R4 Source Tables &amp; Data Issues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368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108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Rows</w:t>
            </w:r>
          </w:p>
        </w:tc>
        <w:tc>
          <w:tcPr>
            <w:tcW w:type="dxa" w:w="216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AI / HIPAA Score</w:t>
            </w:r>
          </w:p>
        </w:tc>
        <w:tc>
          <w:tcPr>
            <w:tcW w:type="dxa" w:w="144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FHIR R4</w:t>
            </w:r>
          </w:p>
        </w:tc>
        <w:tc>
          <w:tcPr>
            <w:tcW w:type="dxa" w:w="3312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Issues</w:t>
            </w:r>
          </w:p>
        </w:tc>
      </w:tr>
      <w:tr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PATIENTS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5,000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42→95 AI / 28→99 HIPAA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Patient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10% missing PHI fields, 5% duplicate MRNs, 3% date errors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ENCOUNTERS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20,000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55→94 / 52→99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Encounter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5% orphaned patient FKs, 5% date coherence errors</w:t>
            </w:r>
          </w:p>
        </w:tc>
      </w:tr>
      <w:tr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DIAGNOSES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35,000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48→96 / 60→99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Condition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 invalid ICD-10-CM codes, 5% date sequence violations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MEDICATIONS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14,587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50→95 / 55→99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MedicationRequest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12% invalid NDC codes, 8% clinically impossible doses</w:t>
            </w:r>
          </w:p>
        </w:tc>
      </w:tr>
      <w:tr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LAB_RESULTS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40,000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57→97 / 58→99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Observation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10% out-of-reference-range values, 8% invalid LOINC codes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PROCEDURES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12,000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53→95 / 60→99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Procedure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10% invalid CPT codes, 3% date coherence errors</w:t>
            </w:r>
          </w:p>
        </w:tc>
      </w:tr>
      <w:tr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CLAIMS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9,810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60→94 / 50→99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Claim</w:t>
            </w:r>
          </w:p>
        </w:tc>
        <w:tc>
          <w:tcPr>
            <w:tcW w:type="dxa" w:w="1872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8% paid &gt; billed amount anomalies, FK gaps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8"/>
              </w:rPr>
              <w:t>PROVIDERS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65→97 / 62→99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Practitioner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5% invalid NPI numbers, missing DEA numbers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6.2  HIPAA Compliance Scoring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In addition to the AI Readiness Score, each healthcare table carries a separate HIPAA Compliance Score (0–100) computed from five clinical factors. The dual gauge in the dashboard shows both scores simultaneously.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Factor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57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PHI Completeness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25%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 18 Safe Harbor identifier categories screened and handled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Clinical Code Validity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25%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% of ICD-10-CM, CPT, LOINC, NDC, NPI codes passing validation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Temporal Coherence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20%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Date sequences are logically consistent (admit ≤ discharge, etc.)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Referential Integrity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 clinical FK references resolve to valid parent records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De-ID Readiness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Completeness of Safe Harbor de-identification transformations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6.3  HIPAA Safe Harbor De-Identification (Stage 5)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Stage 5 applies all 18 HIPAA Safe Harbor identifier transformations: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Names → replaced with synthetic tokens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Geographic data → 5-digit ZIP generalised to 3-digit prefix; sub-state regions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Dates → shifted by patient-specific random offset; ages &gt;89 grouped to '90+'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Phone, fax numbers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Email addresses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Social Security Numbers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Medical Record Numbers → replaced with surrogate keys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Health plan beneficiary numbers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Account numbers → tokenised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Certificate/license numbers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Vehicle identifiers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Device identifiers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URLs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IP addresses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Biometric identifiers → removed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Full-face photographs → flagged (out of scope for structured pipeline)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18"/>
        </w:rPr>
        <w:t>Any unique identifying number or characteristic → hashed with HMAC-SHA256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6.4  Clinical DQ Rules (Stage 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676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PHI Completeness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 18 HIPAA identifiers screened; missing required fields quarantined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ICD-10-CM Validity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Diagnoses validated against 2024 ICD-10-CM code set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Lab Reference Range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Lab values checked against LOINC-defined clinical reference ranges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Medication Safety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Dose, frequency, and route validated against NDC drug database rules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Claim Integrity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Paid ≤ billed amounts enforced; CPT-diagnosis linkage validated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Date Coherence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Temporal logic: admit ≤ discharge, prescription ≤ fill, birth ≤ service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Patient Dedup (MPI)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Master Patient Index matching on name + DOB + MRN composite key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7. Banking / AML POC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20" w:after="120"/>
        <w:shd w:val="clear" w:color="auto" w:fill="F59E0B"/>
      </w:pPr>
      <w:r>
        <w:rPr>
          <w:rFonts w:ascii="Calibri" w:hAnsi="Calibri"/>
          <w:b/>
          <w:i w:val="0"/>
          <w:color w:val="1E293B"/>
          <w:sz w:val="24"/>
        </w:rPr>
        <w:t>🏦 Banking / AML</w:t>
      </w:r>
      <w:r>
        <w:rPr>
          <w:rFonts w:ascii="Calibri" w:hAnsi="Calibri"/>
          <w:b w:val="0"/>
          <w:i/>
          <w:color w:val="1E293B"/>
          <w:sz w:val="20"/>
        </w:rPr>
        <w:t xml:space="preserve">  —  Core Banking → AML/PCI-Ready OneLake  ·  Port 8002  ·  ~125,662 rows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7.1  Source Tables &amp; Data Issues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1224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Rows</w:t>
            </w:r>
          </w:p>
        </w:tc>
        <w:tc>
          <w:tcPr>
            <w:tcW w:type="dxa" w:w="2160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AI / Compliance Score</w:t>
            </w:r>
          </w:p>
        </w:tc>
        <w:tc>
          <w:tcPr>
            <w:tcW w:type="dxa" w:w="1584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2952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Issues</w:t>
            </w:r>
          </w:p>
        </w:tc>
      </w:tr>
      <w:tr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CUSTOMERS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~5,396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38→96 AI / 32→99 Comp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KYC / CRM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 missing SSN, 20% missing KYC date, 8% duplicates, 12% invalid emails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ACCOUNTS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44→97 / 45→99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Account Management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5% negative balances, 12% missing interest rates, 9% dormant unflagged</w:t>
            </w:r>
          </w:p>
        </w:tc>
      </w:tr>
      <w:tr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TRANSACTIONS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~97,066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35→95 / 28→98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Transaction Ledger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3% duplicate IDs, 10% missing MCC codes, 8% structuring-risk round amounts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CARDS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41→96 / 35→99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Card Services / PCI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 expired cards still Active, 5% Luhn failures, 20% missing CVV hash</w:t>
            </w:r>
          </w:p>
        </w:tc>
      </w:tr>
      <w:tr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LOANS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3,000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40→95 / 38→98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Loan Portfolio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10% missing collateral values, 7% past-due schedules, 9% rate outliers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BENEFICIARIES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4,000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36→94 / 30→97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Payment Beneficiaries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22% missing BIC/SWIFT, 18% unverified, 12% invalid routing numbers</w:t>
            </w:r>
          </w:p>
        </w:tc>
      </w:tr>
      <w:tr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RISK_EVENTS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2,000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30→95 / 22→97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AML / Fraud Risk</w:t>
            </w:r>
          </w:p>
        </w:tc>
        <w:tc>
          <w:tcPr>
            <w:tcW w:type="dxa" w:w="1872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30% alerts open &gt;SLA, 25% missing SAR dates, 35% narratives below min length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8"/>
              </w:rPr>
              <w:t>BRANCHES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200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55→97 / 50→99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Branch Network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5% closed branches still processing, 8% missing manager, 3% expired licenses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7.2  Regulatory Compliance Scoring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Banking tables carry a Regulatory Compliance Score alongside the AI Readiness Score. The compliance score measures adherence across six regulatory frameworks: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Framework</w:t>
            </w:r>
          </w:p>
        </w:tc>
        <w:tc>
          <w:tcPr>
            <w:tcW w:type="dxa" w:w="720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Scope in This POC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BSA / AML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 Secrecy Act anti-money laundering monitoring, CTR/SAR filing readiness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PCI-DSS Level 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Payment Card Industry data security — PAN tokenisation, CHD scope reduction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KYC / CDD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Know Your Customer / Customer Due Diligence completeness per CIP requirements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GLBA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Gramm-Leach-Bliley Act financial privacy — PII classification and access control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HMDA / CRA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Home Mortgage Disclosure Act + Community Reinvestment Act assessment area mapping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FDIC / OCC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Deposit insurance categorisation, national bank examination data readiness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7.3  Banking DQ Rules (Stage 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676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KYC Completeness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 CIP-required fields (name, DOB, address, SSN/TIN) populated for active customers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AML Velocity Check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Transaction velocity within AML thresholds over 24-hour, 7-day, and 30-day windows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Balance Integrity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Account balances reconcile with the sum of credited and debited transaction history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Card Luhn Validity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 Primary Account Numbers (PANs) pass ISO/IEC 7812 Luhn algorithm check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Routing Number Validity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ABA routing numbers validated against Federal Reserve ACH participant directory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SAR Filing Timeliness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Suspicious Activity Reports filed within 30-calendar-day FinCEN SLA requirement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Referential Integrity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All FK references (account→customer, card→account, loan→customer) resolve correctly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8. Improvement Roadmap — Reaching Platinum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 key differentiator of this POC is the per-table, per-transition improvement roadmap. The dashboard's Roadmap panel shows exactly what must be done to advance each table from its current layer to the next. Below is a representative summary by vertical.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8.1  Banking — RISK_EVENTS (currently lowest score)</w:t>
      </w:r>
    </w:p>
    <w:p>
      <w:pPr>
        <w:spacing w:after="120"/>
      </w:pPr>
      <w:r>
        <w:rPr>
          <w:rFonts w:ascii="Calibri" w:hAnsi="Calibri"/>
          <w:b w:val="0"/>
          <w:i w:val="0"/>
          <w:color w:val="78350F"/>
          <w:sz w:val="20"/>
        </w:rPr>
        <w:t>Starting AI Score: 30 (source) → Target: 95 (Platinum)</w:t>
      </w:r>
    </w:p>
    <w:p>
      <w:r>
        <w:rPr>
          <w:rFonts w:ascii="Calibri" w:hAnsi="Calibri"/>
          <w:b/>
          <w:color w:val="78350F"/>
          <w:sz w:val="20"/>
        </w:rPr>
        <w:t xml:space="preserve">  Bronze → Silver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Auto-assign SLA breach flags to all alerts open &gt;30 days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Backfill SAR filing dates from case management system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Enrich narratives to meet FinCEN minimum word-count requirements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Apply rule-based risk scores to all currently unscored events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Populate resolution outcome codes from case closure records</w:t>
      </w:r>
    </w:p>
    <w:p>
      <w:r>
        <w:rPr>
          <w:rFonts w:ascii="Calibri" w:hAnsi="Calibri"/>
          <w:b/>
          <w:color w:val="78350F"/>
          <w:sz w:val="20"/>
        </w:rPr>
        <w:t xml:space="preserve">  Silver → Gold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Build ML alert prioritisation model — target false positive rate &lt;30%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Implement LLM-based SAR narrative generation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Enable real-time alert deduplication via graph entity resolution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Link all SAR filings to BSA E-Filing confirmation numbers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Create typology tags: layering, structuring, smurfing, etc.</w:t>
      </w:r>
    </w:p>
    <w:p>
      <w:r>
        <w:rPr>
          <w:rFonts w:ascii="Calibri" w:hAnsi="Calibri"/>
          <w:b/>
          <w:color w:val="78350F"/>
          <w:sz w:val="20"/>
        </w:rPr>
        <w:t xml:space="preserve">  Gold → Platinum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Network graph analytics for transaction laundering detection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Explainable AI (XAI) on all ML risk scores for regulator review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Automated SAR filing to FinCEN via BSA E-Filing API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Federated AML model sharing across consortium banks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Achieve ACAMS-certified AML program data layer certification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8.2  Healthcare — PATIENTS (lowest HIPAA score at Bronze)</w:t>
      </w:r>
    </w:p>
    <w:p>
      <w:pPr>
        <w:spacing w:after="120"/>
      </w:pPr>
      <w:r>
        <w:rPr>
          <w:rFonts w:ascii="Calibri" w:hAnsi="Calibri"/>
          <w:b w:val="0"/>
          <w:i w:val="0"/>
          <w:color w:val="6D28D9"/>
          <w:sz w:val="20"/>
        </w:rPr>
        <w:t>Bronze HIPAA Score: 28 → Target: 99 (Platinum)</w:t>
      </w:r>
    </w:p>
    <w:p>
      <w:r>
        <w:rPr>
          <w:rFonts w:ascii="Calibri" w:hAnsi="Calibri"/>
          <w:b/>
          <w:color w:val="6D28D9"/>
          <w:sz w:val="20"/>
        </w:rPr>
        <w:t xml:space="preserve">  Bronze → Silver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Apply all 18 HIPAA Safe Harbor transformations (date shift, ZIP generalisation, name removal)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Run Master Patient Index (MPI) de-duplication on name + DOB + MRN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Validate all patient DOBs — flag ages &gt;89 for grouping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Standardise phone to E.164; validate email RFC 5322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Remove all direct identifiers from free-text fields using NLP NER</w:t>
      </w:r>
    </w:p>
    <w:p>
      <w:r>
        <w:rPr>
          <w:rFonts w:ascii="Calibri" w:hAnsi="Calibri"/>
          <w:b/>
          <w:color w:val="6D28D9"/>
          <w:sz w:val="20"/>
        </w:rPr>
        <w:t xml:space="preserve">  Silver → Gold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Achieve 100% KYC-equivalent completeness for CIP-required clinical fields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Apply FHIR R4 resource validation on all patient demographic attributes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Generate patient-level de-identification audit trail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Enable consent registry propagation to downstream consumers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Cross-reference against duplicate detection (probabilistic matching)</w:t>
      </w:r>
    </w:p>
    <w:p>
      <w:r>
        <w:rPr>
          <w:rFonts w:ascii="Calibri" w:hAnsi="Calibri"/>
          <w:b/>
          <w:color w:val="6D28D9"/>
          <w:sz w:val="20"/>
        </w:rPr>
        <w:t xml:space="preserve">  Gold → Platinum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Generate SDOH (Social Determinants of Health) feature vectors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Apply differential privacy on aggregate analytics exports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Enable real-time consent check on every downstream data access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Full HIPAA Security Rule technical safeguards documentation</w:t>
      </w:r>
    </w:p>
    <w:p>
      <w:pPr>
        <w:pStyle w:val="ListBullet"/>
        <w:spacing w:after="60"/>
        <w:ind w:left="648"/>
      </w:pPr>
      <w:r>
        <w:rPr>
          <w:rFonts w:ascii="Calibri" w:hAnsi="Calibri"/>
          <w:b w:val="0"/>
          <w:i w:val="0"/>
          <w:color w:val="1E293B"/>
          <w:sz w:val="18"/>
        </w:rPr>
        <w:t>FHIR Bulk Data export readiness for research and payer integration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9. Dashboard &amp; User Interface</w:t>
      </w:r>
    </w:p>
    <w:p>
      <w:pPr>
        <w:spacing w:before="80" w:after="80"/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9.1  Live Backend Dashboard (per vertical)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backend POC serves a React 18 single-page application that connects to the FastAPI server via WebSocket (/ws). The UI updates in real time as the pipeline runs.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Panel</w:t>
            </w:r>
          </w:p>
        </w:tc>
        <w:tc>
          <w:tcPr>
            <w:tcW w:type="dxa" w:w="676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Stage Sidebar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9-stage list with active/done indicators, progress bars, and run/reset controls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Medallion Cards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Four layer cards (Bronze/Silver/Gold/Platinum) showing average scores and table counts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Table Grid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8-card grid showing per-table: current layer, AI score, compliance score, row count, quarantine count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Dual Gauge (SVG)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Concentric ring gauge: outer = AI score, inner = HIPAA/Compliance score with live animation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Roadmap Panel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Banking: 3-section improvement path (Bronze→Silver, Silver→Gold, Gold→Platinum) per selected table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DQ Rules Panel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 DQ rules per table: pass rate bar, failure count, pass/warn/fail badge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Lineage Panel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Node chain: source → bronze → silver → gold with active node highlighting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Compliance Panel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Banking: 6 regulatory framework cards; Healthcare: 18 PHI identifier grid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Pipeline Log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Live streaming log at bottom: timestamped entries, colour-coded by level (INFO/WARN/SUCCESS)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9.2  Self-Contained Static Demo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file demo/index.html is a fully self-contained HTML page that runs the entire pipeline simulation in the browser using setTimeout-scheduled events. No backend, server, or network connection is required. It contains all three verticals (Enterprise ERP, Healthcare/HIPAA, Banking/AML) as switchable tabs and is deployable to any static host.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File size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~1,200 lines — single HTML file, no dependencies beyond CDN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CDN deps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React 18 production, ReactDOM, Babel Standalone — loaded from unpkg.com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Simulation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buildScript(mode) generates timed event sequence (~22–26s per vertical)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Tab switching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Instant reset and full re-simulation on mode change (gen / hc / bank)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Hosting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Vercel (configured via vercel.json); any static host (GitHub Pages, Netlify, S3)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10. Data Volumes &amp; Injected Quality Issues</w:t>
      </w:r>
    </w:p>
    <w:p>
      <w:pPr>
        <w:spacing w:before="80" w:after="80"/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10.1  Total Simulated Data Volume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1296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Tables</w:t>
            </w:r>
          </w:p>
        </w:tc>
        <w:tc>
          <w:tcPr>
            <w:tcW w:type="dxa" w:w="1296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Rows</w:t>
            </w:r>
          </w:p>
        </w:tc>
        <w:tc>
          <w:tcPr>
            <w:tcW w:type="dxa" w:w="4248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System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Enterprise ERP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 tables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~90,575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Oracle ERP (SQLite simulation)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Healthcare / HIPAA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 tables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~137,397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Epic EHR (SQLite simulation)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Banking / AML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 tables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~125,662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FIS/Fiserv Core Banking (SQLite simulation)</w:t>
            </w:r>
          </w:p>
        </w:tc>
      </w:tr>
      <w:tr>
        <w:tc>
          <w:tcPr>
            <w:tcW w:type="dxa" w:w="2340"/>
            <w:shd w:val="clear" w:color="auto" w:fill="D6E8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406E"/>
                <w:sz w:val="18"/>
              </w:rPr>
              <w:t>TOTAL</w:t>
            </w:r>
          </w:p>
        </w:tc>
        <w:tc>
          <w:tcPr>
            <w:tcW w:type="dxa" w:w="2340"/>
            <w:shd w:val="clear" w:color="auto" w:fill="D6E8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24 tables</w:t>
            </w:r>
          </w:p>
        </w:tc>
        <w:tc>
          <w:tcPr>
            <w:tcW w:type="dxa" w:w="2340"/>
            <w:shd w:val="clear" w:color="auto" w:fill="D6E8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~353,634</w:t>
            </w:r>
          </w:p>
        </w:tc>
        <w:tc>
          <w:tcPr>
            <w:tcW w:type="dxa" w:w="2340"/>
            <w:shd w:val="clear" w:color="auto" w:fill="D6E8F8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Three independent databases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10.2  Representative Injected Issues by Vertical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</w:t>
            </w:r>
          </w:p>
        </w:tc>
        <w:tc>
          <w:tcPr>
            <w:tcW w:type="dxa" w:w="187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Rate</w:t>
            </w:r>
          </w:p>
        </w:tc>
        <w:tc>
          <w:tcPr>
            <w:tcW w:type="dxa" w:w="504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ERP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CUSTOMERS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12%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Null email addresses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ERP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CUSTOMERS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Duplicate customer records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ERP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ORDERS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3%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FK violations (orphaned orders)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ERP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FINANCIALS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~500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Duplicate transaction IDs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DIAGNOSES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Invalid ICD-10-CM codes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PATIENTS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10%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Missing PHI fields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MEDICATIONS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8%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Clinically impossible lab values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CLAIMS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Paid amount &gt; billed amount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TRANSACTIONS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3%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Duplicate transaction IDs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CARDS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Expired cards still showing Active status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CARDS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5%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Card numbers failing Luhn algorithm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RISK_EVENTS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AML/fraud alerts open beyond 30-day SLA</w:t>
            </w:r>
          </w:p>
        </w:tc>
      </w:tr>
      <w:tr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BENEFICIARIES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22%</w:t>
            </w:r>
          </w:p>
        </w:tc>
        <w:tc>
          <w:tcPr>
            <w:tcW w:type="dxa" w:w="234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International beneficiaries missing BIC/SWIFT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11. Deployment &amp; Running the POC</w:t>
      </w:r>
    </w:p>
    <w:p>
      <w:pPr>
        <w:spacing w:before="80" w:after="80"/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11.1  Prerequisites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Python 3.9 or later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pip3 (Python package manager)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Git (to clone the repository)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A modern web browser (Chrome, Firefox, Safari, Edge)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11.2  Quick Start — Individual Verticals</w:t>
      </w:r>
    </w:p>
    <w:p>
      <w:r>
        <w:rPr>
          <w:rFonts w:ascii="Calibri" w:hAnsi="Calibri"/>
          <w:b/>
          <w:color w:val="1E406E"/>
          <w:sz w:val="20"/>
        </w:rPr>
        <w:t>Enterprise ERP  →  http://localhost:8000</w:t>
      </w:r>
    </w:p>
    <w:p>
      <w:pPr>
        <w:spacing w:after="80"/>
        <w:ind w:left="432"/>
      </w:pPr>
      <w:r>
        <w:rPr>
          <w:rFonts w:ascii="Courier New" w:hAnsi="Courier New"/>
          <w:color w:val="16A34A"/>
          <w:sz w:val="18"/>
        </w:rPr>
        <w:t>cd "" &amp;&amp; pip3 install -r backend/requirements.txt &amp;&amp; ./start.sh</w:t>
      </w:r>
    </w:p>
    <w:p>
      <w:r>
        <w:rPr>
          <w:rFonts w:ascii="Calibri" w:hAnsi="Calibri"/>
          <w:b/>
          <w:color w:val="1E406E"/>
          <w:sz w:val="20"/>
        </w:rPr>
        <w:t>Healthcare / HIPAA  →  http://localhost:8001</w:t>
      </w:r>
    </w:p>
    <w:p>
      <w:pPr>
        <w:spacing w:after="80"/>
        <w:ind w:left="432"/>
      </w:pPr>
      <w:r>
        <w:rPr>
          <w:rFonts w:ascii="Courier New" w:hAnsi="Courier New"/>
          <w:color w:val="16A34A"/>
          <w:sz w:val="18"/>
        </w:rPr>
        <w:t>cd "healthcare/" &amp;&amp; pip3 install -r healthcare/backend/requirements.txt &amp;&amp; ./healthcare/start.sh</w:t>
      </w:r>
    </w:p>
    <w:p>
      <w:r>
        <w:rPr>
          <w:rFonts w:ascii="Calibri" w:hAnsi="Calibri"/>
          <w:b/>
          <w:color w:val="1E406E"/>
          <w:sz w:val="20"/>
        </w:rPr>
        <w:t>Banking / AML  →  http://localhost:8002</w:t>
      </w:r>
    </w:p>
    <w:p>
      <w:pPr>
        <w:spacing w:after="80"/>
        <w:ind w:left="432"/>
      </w:pPr>
      <w:r>
        <w:rPr>
          <w:rFonts w:ascii="Courier New" w:hAnsi="Courier New"/>
          <w:color w:val="16A34A"/>
          <w:sz w:val="18"/>
        </w:rPr>
        <w:t>cd "banking/" &amp;&amp; pip3 install -r banking/backend/requirements.txt &amp;&amp; ./banking/start.sh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11.3  Static Demo Deployment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demo/index.html file requires no backend and can be deployed to any static host: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</w:t>
            </w:r>
          </w:p>
        </w:tc>
        <w:tc>
          <w:tcPr>
            <w:tcW w:type="dxa" w:w="7632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Vercel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Connect GitHub repo at vercel.com/new — auto-deploys on every push. vercel.json is pre-configured.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GitHub Pages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Enable Pages on the repository; set root to /demo directory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Netlify Drop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Drag and drop the demo/ folder at app.netlify.com/drop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Local file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Open demo/index.html directly in a browser — no server needed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11.4  Repository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648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backend/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Enterprise ERP FastAPI backend (oracle_sim.py, pipeline.py, main.py)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frontend/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ERP React dashboard (index.html)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healthcare/backend/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Healthcare FastAPI backend (health_oracle_sim.py, health_pipeline.py)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healthcare/frontend/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Healthcare React dashboard with dual HIPAA gauge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banking/backend/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Banking FastAPI backend (bank_oracle_sim.py, bank_pipeline.py)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banking/frontend/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Banking React dashboard with improvement roadmap panel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demo/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Self-contained browser simulation — all 3 verticals, no backend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start.sh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One-command launcher for ERP POC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healthcare/start.sh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One-command launcher for Healthcare POC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banking/start.sh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One-command launcher for Banking POC</w:t>
            </w:r>
          </w:p>
        </w:tc>
      </w:tr>
      <w:tr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vercel.json</w:t>
            </w:r>
          </w:p>
        </w:tc>
        <w:tc>
          <w:tcPr>
            <w:tcW w:type="dxa" w:w="468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Vercel deployment config — serves demo/index.html at root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12. WebSocket Protocol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All three live backend POCs communicate with the frontend via a JSON-over-WebSocket protocol. The server fans out events to all connected clients. State is held in-memory on the server; a new client connecting mid-pipeline receives a full_state snapshot immediately.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 Type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5904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full_state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Complete pipeline state snapshot — sent on connect or after reset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run_pipeline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C→S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Client command: start a new pipeline run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reset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C→S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Client command: reset all state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pipeline_reset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Broadcast: pipeline state cleared, tables reset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stage_start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Stage N has begun; includes stage name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stage_complete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Stage N is done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table_update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Table metadata changed: layer, score, compliance_score, rows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dq_result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DQ rule results for a table: pass rate and failure count per rule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lineage_update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Full lineage map: source → bronze → silver → gold per table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compliance_summary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Banking: PCI identifiers, AML/KYC fields, improvement paths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phi_summary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Healthcare: which of the 18 PHI identifiers were detected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log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Pipeline log entry: level (INFO/WARN/SUCCESS) + message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pipeline_complete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Pipeline finished: duration, total rows, avg scores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error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S→C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Error condition: e.g., pipeline already running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13. Assumptions &amp; Constraints</w:t>
      </w:r>
    </w:p>
    <w:p>
      <w:pPr>
        <w:spacing w:before="80" w:after="80"/>
        <w:pBdr>
          <w:bottom w:val="single" w:sz="6" w:space="1" w:color="CBD5E1"/>
        </w:pBdr>
      </w:pP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13.1  Assumptions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All data is synthetic and randomly generated — no real patient, customer, or financial records are used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Compliance scores are illustrative indicators, not certifications under HIPAA, PCI-DSS, or BSA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The pipeline simulation is deterministic given a fixed random seed (42) for reproducible demos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Backend POCs require a machine with Python 3.9+ and ~200MB disk space for SQLite databases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The static demo requires a browser with JavaScript enabled; CDN resources loaded from unpkg.com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Three ports (8000, 8001, 8002) must be available when running all backends simultaneously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13.2  Known Limitations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No persistent storage — pipeline state is in-memory and resets on server restart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WebSocket backends cannot run on Vercel serverless — only the static demo is Vercel-deployable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Banking pipeline DB creation has a known bug with negative date ranges (fix: delete banking.db and re-run after patch)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Babel Standalone (CDN) adds ~1.5s parse time on first load — acceptable for demo purposes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1E293B"/>
          <w:sz w:val="20"/>
        </w:rPr>
        <w:t>No authentication or multi-user isolation — suitable for single-presenter demo environments only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14. Next Steps &amp; Productionisation Path</w:t>
      </w:r>
    </w:p>
    <w:p>
      <w:pPr>
        <w:spacing w:before="80" w:after="80"/>
        <w:pBdr>
          <w:bottom w:val="single" w:sz="6" w:space="1" w:color="CBD5E1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008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4752"/>
            <w:shd w:val="clear" w:color="auto" w:fill="1E406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Fix banking DB creation bug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E2E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Patch _rnd_date() helper to handle future-date ranges — delete banking.db after fix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Complete Vercel deployment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E2E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Provide Vercel PAT or connect GitHub repo at vercel.com/new to get public demo URL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Add banking tab to demo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3C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924000"/>
                <w:sz w:val="18"/>
              </w:rPr>
              <w:t>MED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Complete demo/index.html banking simulation tab (partially implemented, needs App component update)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Real Oracle / JDBC connection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3C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924000"/>
                <w:sz w:val="18"/>
              </w:rPr>
              <w:t>MED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Replace SQLite simulation with actual Oracle JDBC or cx_Oracle connection for live data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Azure Fabric integration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3C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924000"/>
                <w:sz w:val="18"/>
              </w:rPr>
              <w:t>MED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Connect to Microsoft Fabric OneLake; replace in-memory state with Delta Lake tables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Authentication layer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3C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924000"/>
                <w:sz w:val="18"/>
              </w:rPr>
              <w:t>MED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Add Azure AD / MSAL authentication before exposing to broader audiences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Real HIPAA de-identification audit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3C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924000"/>
                <w:sz w:val="18"/>
              </w:rPr>
              <w:t>MED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Integrate MITRE FHIR Pseudonymization or Azure Health Data Services for production de-ID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PCI-DSS tokenisation vault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EF3C7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924000"/>
                <w:sz w:val="18"/>
              </w:rPr>
              <w:t>MED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Replace simulated tokenisation with Azure Key Vault or HashiCorp Vault for real PAN handling</w:t>
            </w:r>
          </w:p>
        </w:tc>
      </w:tr>
      <w:tr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Persistent state (Redis / CosmosDB)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1FAE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6532D"/>
                <w:sz w:val="18"/>
              </w:rPr>
              <w:t>LOW</w:t>
            </w:r>
          </w:p>
        </w:tc>
        <w:tc>
          <w:tcPr>
            <w:tcW w:type="dxa" w:w="312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Replace in-memory _state dict with Redis for multi-instance and restart resilience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Mobile-responsive UI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1FAE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6532D"/>
                <w:sz w:val="18"/>
              </w:rPr>
              <w:t>LOW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Add responsive breakpoints to the React dashboard for tablet/phone presentations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b/>
          <w:color w:val="1E406E"/>
          <w:sz w:val="36"/>
        </w:rPr>
        <w:t>Appendix A — Score Progression Reference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AI Readiness Score (0–100) per table per medallion layer across all three verticals:</w:t>
      </w:r>
    </w:p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Enterprise ERP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160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Bronze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Silver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Gold</w:t>
            </w:r>
          </w:p>
        </w:tc>
        <w:tc>
          <w:tcPr>
            <w:tcW w:type="dxa" w:w="1008"/>
            <w:shd w:val="clear" w:color="auto" w:fill="2E5D9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Platinum</w:t>
            </w:r>
          </w:p>
        </w:tc>
      </w:tr>
      <w:tr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CUSTOMERS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48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52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76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91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96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ORDERS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59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61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80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89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94</w:t>
            </w:r>
          </w:p>
        </w:tc>
      </w:tr>
      <w:tr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PRODUCTS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67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71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83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92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97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EMPLOYEES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51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55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74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88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95</w:t>
            </w:r>
          </w:p>
        </w:tc>
      </w:tr>
      <w:tr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FINANCIALS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64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68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82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90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96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INVENTORY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70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74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85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93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97</w:t>
            </w:r>
          </w:p>
        </w:tc>
      </w:tr>
      <w:tr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CONTRACTS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60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63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78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87</w:t>
            </w:r>
          </w:p>
        </w:tc>
        <w:tc>
          <w:tcPr>
            <w:tcW w:type="dxa" w:w="1560"/>
            <w:shd w:val="clear" w:color="auto" w:fill="F1F5F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93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RISK_EVENTS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53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57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75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88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94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Healthcare / HIPAA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872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Table</w:t>
            </w:r>
          </w:p>
        </w:tc>
        <w:tc>
          <w:tcPr>
            <w:tcW w:type="dxa" w:w="72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Src</w:t>
            </w:r>
          </w:p>
        </w:tc>
        <w:tc>
          <w:tcPr>
            <w:tcW w:type="dxa" w:w="72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Brnz</w:t>
            </w:r>
          </w:p>
        </w:tc>
        <w:tc>
          <w:tcPr>
            <w:tcW w:type="dxa" w:w="72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Slvr</w:t>
            </w:r>
          </w:p>
        </w:tc>
        <w:tc>
          <w:tcPr>
            <w:tcW w:type="dxa" w:w="72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Gold</w:t>
            </w:r>
          </w:p>
        </w:tc>
        <w:tc>
          <w:tcPr>
            <w:tcW w:type="dxa" w:w="720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Plat</w:t>
            </w:r>
          </w:p>
        </w:tc>
        <w:tc>
          <w:tcPr>
            <w:tcW w:type="dxa" w:w="792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H.Brnz</w:t>
            </w:r>
          </w:p>
        </w:tc>
        <w:tc>
          <w:tcPr>
            <w:tcW w:type="dxa" w:w="792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H.Slvr</w:t>
            </w:r>
          </w:p>
        </w:tc>
        <w:tc>
          <w:tcPr>
            <w:tcW w:type="dxa" w:w="792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H.Gold</w:t>
            </w:r>
          </w:p>
        </w:tc>
        <w:tc>
          <w:tcPr>
            <w:tcW w:type="dxa" w:w="792"/>
            <w:shd w:val="clear" w:color="auto" w:fill="6D28D9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H.Plat</w:t>
            </w:r>
          </w:p>
        </w:tc>
      </w:tr>
      <w:tr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PATIENTS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42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46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72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89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28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71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ENCOUNTERS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58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76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88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94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52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79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96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DIAGNOSES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48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51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74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91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96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60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82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MEDICATIONS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50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54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89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78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LAB_RESULTS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57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61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79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92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58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96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PROCEDURES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53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57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77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90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60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81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96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CLAIMS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60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63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91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94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50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77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936"/>
            <w:shd w:val="clear" w:color="auto" w:fill="EDE9F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6D28D9"/>
                <w:sz w:val="16"/>
              </w:rPr>
              <w:t>PROVIDERS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65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69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82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93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62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84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  <w:tc>
          <w:tcPr>
            <w:tcW w:type="dxa" w:w="93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2E5D9C"/>
          <w:sz w:val="28"/>
        </w:rPr>
        <w:t>Banking / AML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584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Table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Src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Brnz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Slvr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Gold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Plat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C.Src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C.Brnz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C.Slvr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C.Gold</w:t>
            </w:r>
          </w:p>
        </w:tc>
        <w:tc>
          <w:tcPr>
            <w:tcW w:type="dxa" w:w="648"/>
            <w:shd w:val="clear" w:color="auto" w:fill="78350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C.Plat</w:t>
            </w:r>
          </w:p>
        </w:tc>
      </w:tr>
      <w:tr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CUSTOMERS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38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68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87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96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32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40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67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90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ACCOUNTS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44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50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72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89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45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52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74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91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TRANSACTIONS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42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66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28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36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61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87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98</w:t>
            </w:r>
          </w:p>
        </w:tc>
      </w:tr>
      <w:tr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CARDS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41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48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70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88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96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35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42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65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88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  <w:tr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LOANS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40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47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69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86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38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68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89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98</w:t>
            </w:r>
          </w:p>
        </w:tc>
      </w:tr>
      <w:tr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BENEFICIARIES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36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43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65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84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94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30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38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60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85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</w:tr>
      <w:tr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RISK_EVENTS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30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38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62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83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22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30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55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82</w:t>
            </w:r>
          </w:p>
        </w:tc>
        <w:tc>
          <w:tcPr>
            <w:tcW w:type="dxa" w:w="851"/>
            <w:shd w:val="clear" w:color="auto" w:fill="FEF3C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</w:tr>
      <w:tr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8350F"/>
                <w:sz w:val="16"/>
              </w:rPr>
              <w:t>BRANCHES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55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61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78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91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97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50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57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75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92</w:t>
            </w:r>
          </w:p>
        </w:tc>
        <w:tc>
          <w:tcPr>
            <w:tcW w:type="dxa" w:w="8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99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