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pPr>
    </w:p>
    <w:p>
      <w:pPr>
        <w:spacing w:after="240"/>
      </w:pPr>
      <w:r>
        <w:rPr>
          <w:rFonts w:ascii="Segoe UI" w:hAnsi="Segoe UI"/>
          <w:b/>
          <w:color w:val="4F46E5"/>
          <w:sz w:val="64"/>
        </w:rPr>
        <w:t>CampusHub</w:t>
      </w:r>
    </w:p>
    <w:p>
      <w:pPr>
        <w:spacing w:after="4000"/>
      </w:pPr>
      <w:r>
        <w:rPr>
          <w:rFonts w:ascii="Segoe UI" w:hAnsi="Segoe UI"/>
          <w:i/>
          <w:color w:val="64748B"/>
          <w:sz w:val="32"/>
        </w:rPr>
        <w:t>Complete Project Walkthrough Book</w:t>
      </w:r>
    </w:p>
    <w:tbl>
      <w:tblPr>
        <w:tblW w:type="auto" w:w="0"/>
        <w:tblLayout w:type="fixed"/>
        <w:tblLook w:firstColumn="1" w:firstRow="1" w:lastColumn="0" w:lastRow="0" w:noHBand="0" w:noVBand="1" w:val="04A0"/>
      </w:tblPr>
      <w:tblGrid>
        <w:gridCol w:w="2880"/>
        <w:gridCol w:w="6480"/>
      </w:tblGrid>
      <w:tr>
        <w:tc>
          <w:tcPr>
            <w:tcW w:type="dxa" w:w="4680"/>
            <w:tcBorders>
              <w:top w:val="none" w:sz="0" w:space="0" w:color="auto"/>
              <w:left w:val="none" w:sz="0" w:space="0" w:color="auto"/>
              <w:bottom w:val="none" w:sz="0" w:space="0" w:color="auto"/>
              <w:right w:val="none" w:sz="0" w:space="0" w:color="auto"/>
            </w:tcBorders>
          </w:tcPr>
          <w:p>
            <w:pPr>
              <w:spacing w:after="80"/>
            </w:pPr>
            <w:r>
              <w:rPr>
                <w:b/>
                <w:color w:val="64748B"/>
              </w:rPr>
              <w:t>Project Name:</w:t>
            </w:r>
          </w:p>
        </w:tc>
        <w:tc>
          <w:tcPr>
            <w:tcW w:type="dxa" w:w="4680"/>
            <w:tcBorders>
              <w:top w:val="none" w:sz="0" w:space="0" w:color="auto"/>
              <w:left w:val="none" w:sz="0" w:space="0" w:color="auto"/>
              <w:bottom w:val="none" w:sz="0" w:space="0" w:color="auto"/>
              <w:right w:val="none" w:sz="0" w:space="0" w:color="auto"/>
            </w:tcBorders>
          </w:tcPr>
          <w:p>
            <w:pPr>
              <w:spacing w:after="80"/>
            </w:pPr>
            <w:r>
              <w:t>CampusHub: College Activities Portal</w:t>
            </w:r>
          </w:p>
        </w:tc>
      </w:tr>
      <w:tr>
        <w:tc>
          <w:tcPr>
            <w:tcW w:type="dxa" w:w="4680"/>
            <w:tcBorders>
              <w:top w:val="none" w:sz="0" w:space="0" w:color="auto"/>
              <w:left w:val="none" w:sz="0" w:space="0" w:color="auto"/>
              <w:bottom w:val="none" w:sz="0" w:space="0" w:color="auto"/>
              <w:right w:val="none" w:sz="0" w:space="0" w:color="auto"/>
            </w:tcBorders>
          </w:tcPr>
          <w:p>
            <w:pPr>
              <w:spacing w:after="80"/>
            </w:pPr>
            <w:r>
              <w:rPr>
                <w:b/>
                <w:color w:val="64748B"/>
              </w:rPr>
              <w:t>Subject:</w:t>
            </w:r>
          </w:p>
        </w:tc>
        <w:tc>
          <w:tcPr>
            <w:tcW w:type="dxa" w:w="4680"/>
            <w:tcBorders>
              <w:top w:val="none" w:sz="0" w:space="0" w:color="auto"/>
              <w:left w:val="none" w:sz="0" w:space="0" w:color="auto"/>
              <w:bottom w:val="none" w:sz="0" w:space="0" w:color="auto"/>
              <w:right w:val="none" w:sz="0" w:space="0" w:color="auto"/>
            </w:tcBorders>
          </w:tcPr>
          <w:p>
            <w:pPr>
              <w:spacing w:after="80"/>
            </w:pPr>
            <w:r>
              <w:t>Summer Training Project Documentation</w:t>
            </w:r>
          </w:p>
        </w:tc>
      </w:tr>
      <w:tr>
        <w:tc>
          <w:tcPr>
            <w:tcW w:type="dxa" w:w="4680"/>
            <w:tcBorders>
              <w:top w:val="none" w:sz="0" w:space="0" w:color="auto"/>
              <w:left w:val="none" w:sz="0" w:space="0" w:color="auto"/>
              <w:bottom w:val="none" w:sz="0" w:space="0" w:color="auto"/>
              <w:right w:val="none" w:sz="0" w:space="0" w:color="auto"/>
            </w:tcBorders>
          </w:tcPr>
          <w:p>
            <w:pPr>
              <w:spacing w:after="80"/>
            </w:pPr>
            <w:r>
              <w:rPr>
                <w:b/>
                <w:color w:val="64748B"/>
              </w:rPr>
              <w:t>Book 2:</w:t>
            </w:r>
          </w:p>
        </w:tc>
        <w:tc>
          <w:tcPr>
            <w:tcW w:type="dxa" w:w="4680"/>
            <w:tcBorders>
              <w:top w:val="none" w:sz="0" w:space="0" w:color="auto"/>
              <w:left w:val="none" w:sz="0" w:space="0" w:color="auto"/>
              <w:bottom w:val="none" w:sz="0" w:space="0" w:color="auto"/>
              <w:right w:val="none" w:sz="0" w:space="0" w:color="auto"/>
            </w:tcBorders>
          </w:tcPr>
          <w:p>
            <w:pPr>
              <w:spacing w:after="80"/>
            </w:pPr>
            <w:r>
              <w:t>Complete Project Walkthrough &amp; Architecture Manual</w:t>
            </w:r>
          </w:p>
        </w:tc>
      </w:tr>
      <w:tr>
        <w:tc>
          <w:tcPr>
            <w:tcW w:type="dxa" w:w="4680"/>
            <w:tcBorders>
              <w:top w:val="none" w:sz="0" w:space="0" w:color="auto"/>
              <w:left w:val="none" w:sz="0" w:space="0" w:color="auto"/>
              <w:bottom w:val="none" w:sz="0" w:space="0" w:color="auto"/>
              <w:right w:val="none" w:sz="0" w:space="0" w:color="auto"/>
            </w:tcBorders>
          </w:tcPr>
          <w:p>
            <w:pPr>
              <w:spacing w:after="80"/>
            </w:pPr>
            <w:r>
              <w:rPr>
                <w:b/>
                <w:color w:val="64748B"/>
              </w:rPr>
              <w:t>Author:</w:t>
            </w:r>
          </w:p>
        </w:tc>
        <w:tc>
          <w:tcPr>
            <w:tcW w:type="dxa" w:w="4680"/>
            <w:tcBorders>
              <w:top w:val="none" w:sz="0" w:space="0" w:color="auto"/>
              <w:left w:val="none" w:sz="0" w:space="0" w:color="auto"/>
              <w:bottom w:val="none" w:sz="0" w:space="0" w:color="auto"/>
              <w:right w:val="none" w:sz="0" w:space="0" w:color="auto"/>
            </w:tcBorders>
          </w:tcPr>
          <w:p>
            <w:pPr>
              <w:spacing w:after="80"/>
            </w:pPr>
            <w:r>
              <w:t>Himanshu Negi (Club Coordinator / Student Lead)</w:t>
            </w:r>
          </w:p>
        </w:tc>
      </w:tr>
      <w:tr>
        <w:tc>
          <w:tcPr>
            <w:tcW w:type="dxa" w:w="4680"/>
            <w:tcBorders>
              <w:top w:val="none" w:sz="0" w:space="0" w:color="auto"/>
              <w:left w:val="none" w:sz="0" w:space="0" w:color="auto"/>
              <w:bottom w:val="none" w:sz="0" w:space="0" w:color="auto"/>
              <w:right w:val="none" w:sz="0" w:space="0" w:color="auto"/>
            </w:tcBorders>
          </w:tcPr>
          <w:p>
            <w:pPr>
              <w:spacing w:after="80"/>
            </w:pPr>
            <w:r>
              <w:rPr>
                <w:b/>
                <w:color w:val="64748B"/>
              </w:rPr>
              <w:t>Technology:</w:t>
            </w:r>
          </w:p>
        </w:tc>
        <w:tc>
          <w:tcPr>
            <w:tcW w:type="dxa" w:w="4680"/>
            <w:tcBorders>
              <w:top w:val="none" w:sz="0" w:space="0" w:color="auto"/>
              <w:left w:val="none" w:sz="0" w:space="0" w:color="auto"/>
              <w:bottom w:val="none" w:sz="0" w:space="0" w:color="auto"/>
              <w:right w:val="none" w:sz="0" w:space="0" w:color="auto"/>
            </w:tcBorders>
          </w:tcPr>
          <w:p>
            <w:pPr>
              <w:spacing w:after="80"/>
            </w:pPr>
            <w:r>
              <w:t>MERN Stack (MongoDB, Express, React, Node)</w:t>
            </w:r>
          </w:p>
        </w:tc>
      </w:tr>
      <w:tr>
        <w:tc>
          <w:tcPr>
            <w:tcW w:type="dxa" w:w="4680"/>
            <w:tcBorders>
              <w:top w:val="none" w:sz="0" w:space="0" w:color="auto"/>
              <w:left w:val="none" w:sz="0" w:space="0" w:color="auto"/>
              <w:bottom w:val="none" w:sz="0" w:space="0" w:color="auto"/>
              <w:right w:val="none" w:sz="0" w:space="0" w:color="auto"/>
            </w:tcBorders>
          </w:tcPr>
          <w:p>
            <w:pPr>
              <w:spacing w:after="80"/>
            </w:pPr>
            <w:r>
              <w:rPr>
                <w:b/>
                <w:color w:val="64748B"/>
              </w:rPr>
              <w:t>Date:</w:t>
            </w:r>
          </w:p>
        </w:tc>
        <w:tc>
          <w:tcPr>
            <w:tcW w:type="dxa" w:w="4680"/>
            <w:tcBorders>
              <w:top w:val="none" w:sz="0" w:space="0" w:color="auto"/>
              <w:left w:val="none" w:sz="0" w:space="0" w:color="auto"/>
              <w:bottom w:val="none" w:sz="0" w:space="0" w:color="auto"/>
              <w:right w:val="none" w:sz="0" w:space="0" w:color="auto"/>
            </w:tcBorders>
          </w:tcPr>
          <w:p>
            <w:pPr>
              <w:spacing w:after="80"/>
            </w:pPr>
            <w:r>
              <w:t>July 2026</w:t>
            </w:r>
          </w:p>
        </w:tc>
      </w:tr>
    </w:tbl>
    <w:p>
      <w:r>
        <w:br w:type="page"/>
      </w:r>
    </w:p>
    <w:p>
      <w:pPr>
        <w:keepNext/>
        <w:spacing w:before="360" w:after="120"/>
      </w:pPr>
      <w:r>
        <w:rPr>
          <w:rFonts w:ascii="Segoe UI" w:hAnsi="Segoe UI"/>
          <w:b/>
          <w:color w:val="4F46E5"/>
          <w:sz w:val="36"/>
        </w:rPr>
        <w:t>1. OVERALL SYSTEM ARCHITECTURE</w:t>
      </w:r>
    </w:p>
    <w:p>
      <w:r>
        <w:rPr>
          <w:rFonts w:ascii="Calibri" w:hAnsi="Calibri"/>
          <w:b w:val="0"/>
          <w:i w:val="0"/>
          <w:color w:val="1E293B"/>
          <w:sz w:val="22"/>
        </w:rPr>
        <w:t>The CampusHub system follows a client-server architectural pattern, separated into three tiers: the presentation layer (React SPA), the logic layer (Node/Express API gateway), and the data store layer (MongoDB).</w:t>
      </w:r>
    </w:p>
    <w:p>
      <w:pPr>
        <w:keepNext/>
        <w:spacing w:before="280" w:after="80"/>
      </w:pPr>
      <w:r>
        <w:rPr>
          <w:rFonts w:ascii="Segoe UI" w:hAnsi="Segoe UI"/>
          <w:b/>
          <w:color w:val="64748B"/>
          <w:sz w:val="28"/>
        </w:rPr>
        <w:t>Overall System Diagram</w:t>
      </w:r>
    </w:p>
    <w:tbl>
      <w:tblPr>
        <w:tblW w:type="auto" w:w="0"/>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4" w:space="0" w:color="E2E8F0"/>
              <w:left w:val="single" w:sz="4" w:space="0" w:color="E2E8F0"/>
              <w:bottom w:val="single" w:sz="4" w:space="0" w:color="E2E8F0"/>
              <w:right w:val="single" w:sz="4" w:space="0" w:color="E2E8F0"/>
            </w:tcBorders>
          </w:tcPr>
          <w:p>
            <w:pPr>
              <w:spacing w:after="0" w:line="240" w:lineRule="auto"/>
            </w:pPr>
            <w:r>
              <w:rPr>
                <w:rFonts w:ascii="Consolas" w:hAnsi="Consolas"/>
                <w:color w:val="282C34"/>
                <w:sz w:val="18"/>
              </w:rPr>
              <w:t>+--------------------------------------------------+</w:t>
              <w:br/>
              <w:t>|                 PRESENTATION LAYER               |</w:t>
              <w:br/>
              <w:t>|    React client running on user's browser        |</w:t>
              <w:br/>
              <w:t>|    - Handles views: Landing, Register, Dashboards|</w:t>
              <w:br/>
              <w:t>|    - Style variables inside inline structures    |</w:t>
              <w:br/>
              <w:t>+--------------------------------------------------+</w:t>
              <w:br/>
              <w:t xml:space="preserve">                         |  (Axios JSON Requests)</w:t>
              <w:br/>
              <w:t xml:space="preserve">                         v</w:t>
              <w:br/>
              <w:t>+--------------------------------------------------+</w:t>
              <w:br/>
              <w:t>|                 APPLICATION LAYER                |</w:t>
              <w:br/>
              <w:t>|    Node/Express Server (Port 5000 API Gateway)   |</w:t>
              <w:br/>
              <w:t>|    - Intercepts requests with Auth middleware    |</w:t>
              <w:br/>
              <w:t>|    - Directs routes to Controller handlers       |</w:t>
              <w:br/>
              <w:t>+--------------------------------------------------+</w:t>
              <w:br/>
              <w:t xml:space="preserve">                         |  (Mongoose Queries)</w:t>
              <w:br/>
              <w:t xml:space="preserve">                         v</w:t>
              <w:br/>
              <w:t>+--------------------------------------------------+</w:t>
              <w:br/>
              <w:t>|                  DATABASE LAYER                  |</w:t>
              <w:br/>
              <w:t>|    MongoDB database server (Collection schemas)  |</w:t>
              <w:br/>
              <w:t>|    - Normalizes schemas (Events, Participants)    |</w:t>
              <w:br/>
              <w:t>+--------------------------------------------------+</w:t>
            </w:r>
          </w:p>
        </w:tc>
      </w:tr>
    </w:tbl>
    <w:p>
      <w:pPr>
        <w:keepNext/>
        <w:spacing w:before="280" w:after="80"/>
      </w:pPr>
      <w:r>
        <w:rPr>
          <w:rFonts w:ascii="Segoe UI" w:hAnsi="Segoe UI"/>
          <w:b/>
          <w:color w:val="64748B"/>
          <w:sz w:val="28"/>
        </w:rPr>
        <w:t>Frontend Architecture</w:t>
      </w:r>
    </w:p>
    <w:p>
      <w:r>
        <w:rPr>
          <w:rFonts w:ascii="Calibri" w:hAnsi="Calibri"/>
          <w:b w:val="0"/>
          <w:i w:val="0"/>
          <w:color w:val="1E293B"/>
          <w:sz w:val="22"/>
        </w:rPr>
        <w:t>The frontend is built on React as a Single Page Application (SPA), compiled with Vite. Routing is handled client-side by React Router, which serves pages instantly without requesting new HTML documents. State is managed locally using useState hooks, and data synchronization is handled via useEffect calls to the API server.</w:t>
      </w:r>
    </w:p>
    <w:p>
      <w:pPr>
        <w:keepNext/>
        <w:spacing w:before="280" w:after="80"/>
      </w:pPr>
      <w:r>
        <w:rPr>
          <w:rFonts w:ascii="Segoe UI" w:hAnsi="Segoe UI"/>
          <w:b/>
          <w:color w:val="64748B"/>
          <w:sz w:val="28"/>
        </w:rPr>
        <w:t>Backend Architecture</w:t>
      </w:r>
    </w:p>
    <w:p>
      <w:r>
        <w:rPr>
          <w:rFonts w:ascii="Calibri" w:hAnsi="Calibri"/>
          <w:b w:val="0"/>
          <w:i w:val="0"/>
          <w:color w:val="1E293B"/>
          <w:sz w:val="22"/>
        </w:rPr>
        <w:t>The backend is a REST API gateway built on Express.js and Node.js. It processes requests sequentially through CORS checks, body-parsers, and session token verification middleware. Authentication uses a stateful activeSessions object in RAM to authenticate incoming requests.</w:t>
      </w:r>
    </w:p>
    <w:p>
      <w:pPr>
        <w:keepNext/>
        <w:spacing w:before="280" w:after="80"/>
      </w:pPr>
      <w:r>
        <w:rPr>
          <w:rFonts w:ascii="Segoe UI" w:hAnsi="Segoe UI"/>
          <w:b/>
          <w:color w:val="64748B"/>
          <w:sz w:val="28"/>
        </w:rPr>
        <w:t>Database Architecture</w:t>
      </w:r>
    </w:p>
    <w:p>
      <w:r>
        <w:rPr>
          <w:rFonts w:ascii="Calibri" w:hAnsi="Calibri"/>
          <w:b w:val="0"/>
          <w:i w:val="0"/>
          <w:color w:val="1E293B"/>
          <w:sz w:val="22"/>
        </w:rPr>
        <w:t>The data store uses MongoDB, utilizing schemas via Mongoose. Collections are structured into normalized tables: admins, events, event_info, participent, and coordinator profiles. Cascading deletions are handled in controllers to maintain referential integrity.</w:t>
      </w:r>
    </w:p>
    <w:p>
      <w:pPr>
        <w:keepNext/>
        <w:spacing w:before="280" w:after="80"/>
      </w:pPr>
      <w:r>
        <w:rPr>
          <w:rFonts w:ascii="Segoe UI" w:hAnsi="Segoe UI"/>
          <w:b/>
          <w:color w:val="64748B"/>
          <w:sz w:val="28"/>
        </w:rPr>
        <w:t>System Folder Mappings</w:t>
      </w:r>
    </w:p>
    <w:tbl>
      <w:tblPr>
        <w:tblW w:type="auto" w:w="0"/>
        <w:tblLayout w:type="autofit"/>
        <w:tblLook w:firstColumn="1" w:firstRow="1" w:lastColumn="0" w:lastRow="0" w:noHBand="0" w:noVBand="1" w:val="04A0"/>
      </w:tblPr>
      <w:tblGrid>
        <w:gridCol w:w="4680"/>
        <w:gridCol w:w="4680"/>
      </w:tblGrid>
      <w:tr>
        <w:tc>
          <w:tcPr>
            <w:tcW w:type="dxa" w:w="4680"/>
            <w:shd w:fill="4F46E5"/>
            <w:tcMar>
              <w:top w:w="100" w:type="dxa"/>
              <w:bottom w:w="100" w:type="dxa"/>
              <w:left w:w="120" w:type="dxa"/>
              <w:right w:w="120" w:type="dxa"/>
            </w:tcMar>
          </w:tcPr>
          <w:p>
            <w:pPr>
              <w:spacing w:after="0"/>
            </w:pPr>
            <w:r>
              <w:rPr>
                <w:rFonts w:ascii="Segoe UI" w:hAnsi="Segoe UI"/>
                <w:b/>
                <w:color w:val="FFFFFF"/>
                <w:sz w:val="20"/>
              </w:rPr>
              <w:t>Directory Path</w:t>
            </w:r>
          </w:p>
        </w:tc>
        <w:tc>
          <w:tcPr>
            <w:tcW w:type="dxa" w:w="4680"/>
            <w:shd w:fill="4F46E5"/>
            <w:tcMar>
              <w:top w:w="100" w:type="dxa"/>
              <w:bottom w:w="100" w:type="dxa"/>
              <w:left w:w="120" w:type="dxa"/>
              <w:right w:w="120" w:type="dxa"/>
            </w:tcMar>
          </w:tcPr>
          <w:p>
            <w:pPr>
              <w:spacing w:after="0"/>
            </w:pPr>
            <w:r>
              <w:rPr>
                <w:rFonts w:ascii="Segoe UI" w:hAnsi="Segoe UI"/>
                <w:b/>
                <w:color w:val="FFFFFF"/>
                <w:sz w:val="20"/>
              </w:rPr>
              <w:t>Purpose &amp; Architectural Role</w:t>
            </w:r>
          </w:p>
        </w:tc>
      </w:tr>
      <w:tr>
        <w:tc>
          <w:tcPr>
            <w:tcW w:type="dxa" w:w="4680"/>
            <w:shd w:fill="FFFFFF"/>
            <w:tcMar>
              <w:top w:w="80" w:type="dxa"/>
              <w:bottom w:w="80" w:type="dxa"/>
              <w:left w:w="120" w:type="dxa"/>
              <w:right w:w="120" w:type="dxa"/>
            </w:tcMar>
            <w:tcBorders>
              <w:top w:val="single" w:sz="4" w:space="0" w:color="E2E8F0"/>
              <w:left w:val="none" w:sz="0" w:space="0" w:color="auto"/>
              <w:bottom w:val="single" w:sz="4" w:space="0" w:color="E2E8F0"/>
              <w:right w:val="none" w:sz="0" w:space="0" w:color="auto"/>
            </w:tcBorders>
          </w:tcPr>
          <w:p>
            <w:pPr>
              <w:spacing w:after="0"/>
            </w:pPr>
            <w:r>
              <w:rPr>
                <w:rFonts w:ascii="Calibri" w:hAnsi="Calibri"/>
                <w:color w:val="1E293B"/>
                <w:sz w:val="20"/>
              </w:rPr>
              <w:t>backend/config/</w:t>
            </w:r>
          </w:p>
        </w:tc>
        <w:tc>
          <w:tcPr>
            <w:tcW w:type="dxa" w:w="4680"/>
            <w:shd w:fill="FFFFFF"/>
            <w:tcMar>
              <w:top w:w="80" w:type="dxa"/>
              <w:bottom w:w="80" w:type="dxa"/>
              <w:left w:w="120" w:type="dxa"/>
              <w:right w:w="120" w:type="dxa"/>
            </w:tcMar>
            <w:tcBorders>
              <w:top w:val="single" w:sz="4" w:space="0" w:color="E2E8F0"/>
              <w:left w:val="none" w:sz="0" w:space="0" w:color="auto"/>
              <w:bottom w:val="single" w:sz="4" w:space="0" w:color="E2E8F0"/>
              <w:right w:val="none" w:sz="0" w:space="0" w:color="auto"/>
            </w:tcBorders>
          </w:tcPr>
          <w:p>
            <w:pPr>
              <w:spacing w:after="0"/>
            </w:pPr>
            <w:r>
              <w:rPr>
                <w:rFonts w:ascii="Calibri" w:hAnsi="Calibri"/>
                <w:color w:val="1E293B"/>
                <w:sz w:val="20"/>
              </w:rPr>
              <w:t>Database connection scripts linking Mongoose to MongoDB.</w:t>
            </w:r>
          </w:p>
        </w:tc>
      </w:tr>
      <w:tr>
        <w:tc>
          <w:tcPr>
            <w:tcW w:type="dxa" w:w="4680"/>
            <w:shd w:fill="F8FAFC"/>
            <w:tcMar>
              <w:top w:w="80" w:type="dxa"/>
              <w:bottom w:w="80" w:type="dxa"/>
              <w:left w:w="120" w:type="dxa"/>
              <w:right w:w="120" w:type="dxa"/>
            </w:tcMar>
            <w:tcBorders>
              <w:top w:val="single" w:sz="4" w:space="0" w:color="E2E8F0"/>
              <w:left w:val="none" w:sz="0" w:space="0" w:color="auto"/>
              <w:bottom w:val="single" w:sz="4" w:space="0" w:color="E2E8F0"/>
              <w:right w:val="none" w:sz="0" w:space="0" w:color="auto"/>
            </w:tcBorders>
          </w:tcPr>
          <w:p>
            <w:pPr>
              <w:spacing w:after="0"/>
            </w:pPr>
            <w:r>
              <w:rPr>
                <w:rFonts w:ascii="Calibri" w:hAnsi="Calibri"/>
                <w:color w:val="1E293B"/>
                <w:sz w:val="20"/>
              </w:rPr>
              <w:t>backend/controllers/</w:t>
            </w:r>
          </w:p>
        </w:tc>
        <w:tc>
          <w:tcPr>
            <w:tcW w:type="dxa" w:w="4680"/>
            <w:shd w:fill="F8FAFC"/>
            <w:tcMar>
              <w:top w:w="80" w:type="dxa"/>
              <w:bottom w:w="80" w:type="dxa"/>
              <w:left w:w="120" w:type="dxa"/>
              <w:right w:w="120" w:type="dxa"/>
            </w:tcMar>
            <w:tcBorders>
              <w:top w:val="single" w:sz="4" w:space="0" w:color="E2E8F0"/>
              <w:left w:val="none" w:sz="0" w:space="0" w:color="auto"/>
              <w:bottom w:val="single" w:sz="4" w:space="0" w:color="E2E8F0"/>
              <w:right w:val="none" w:sz="0" w:space="0" w:color="auto"/>
            </w:tcBorders>
          </w:tcPr>
          <w:p>
            <w:pPr>
              <w:spacing w:after="0"/>
            </w:pPr>
            <w:r>
              <w:rPr>
                <w:rFonts w:ascii="Calibri" w:hAnsi="Calibri"/>
                <w:color w:val="1E293B"/>
                <w:sz w:val="20"/>
              </w:rPr>
              <w:t>Request handlers, database queries, and response triggers.</w:t>
            </w:r>
          </w:p>
        </w:tc>
      </w:tr>
      <w:tr>
        <w:tc>
          <w:tcPr>
            <w:tcW w:type="dxa" w:w="4680"/>
            <w:shd w:fill="FFFFFF"/>
            <w:tcMar>
              <w:top w:w="80" w:type="dxa"/>
              <w:bottom w:w="80" w:type="dxa"/>
              <w:left w:w="120" w:type="dxa"/>
              <w:right w:w="120" w:type="dxa"/>
            </w:tcMar>
            <w:tcBorders>
              <w:top w:val="single" w:sz="4" w:space="0" w:color="E2E8F0"/>
              <w:left w:val="none" w:sz="0" w:space="0" w:color="auto"/>
              <w:bottom w:val="single" w:sz="4" w:space="0" w:color="E2E8F0"/>
              <w:right w:val="none" w:sz="0" w:space="0" w:color="auto"/>
            </w:tcBorders>
          </w:tcPr>
          <w:p>
            <w:pPr>
              <w:spacing w:after="0"/>
            </w:pPr>
            <w:r>
              <w:rPr>
                <w:rFonts w:ascii="Calibri" w:hAnsi="Calibri"/>
                <w:color w:val="1E293B"/>
                <w:sz w:val="20"/>
              </w:rPr>
              <w:t>backend/middleware/</w:t>
            </w:r>
          </w:p>
        </w:tc>
        <w:tc>
          <w:tcPr>
            <w:tcW w:type="dxa" w:w="4680"/>
            <w:shd w:fill="FFFFFF"/>
            <w:tcMar>
              <w:top w:w="80" w:type="dxa"/>
              <w:bottom w:w="80" w:type="dxa"/>
              <w:left w:w="120" w:type="dxa"/>
              <w:right w:w="120" w:type="dxa"/>
            </w:tcMar>
            <w:tcBorders>
              <w:top w:val="single" w:sz="4" w:space="0" w:color="E2E8F0"/>
              <w:left w:val="none" w:sz="0" w:space="0" w:color="auto"/>
              <w:bottom w:val="single" w:sz="4" w:space="0" w:color="E2E8F0"/>
              <w:right w:val="none" w:sz="0" w:space="0" w:color="auto"/>
            </w:tcBorders>
          </w:tcPr>
          <w:p>
            <w:pPr>
              <w:spacing w:after="0"/>
            </w:pPr>
            <w:r>
              <w:rPr>
                <w:rFonts w:ascii="Calibri" w:hAnsi="Calibri"/>
                <w:color w:val="1E293B"/>
                <w:sz w:val="20"/>
              </w:rPr>
              <w:t>Session verification filters and role guards.</w:t>
            </w:r>
          </w:p>
        </w:tc>
      </w:tr>
      <w:tr>
        <w:tc>
          <w:tcPr>
            <w:tcW w:type="dxa" w:w="4680"/>
            <w:shd w:fill="F8FAFC"/>
            <w:tcMar>
              <w:top w:w="80" w:type="dxa"/>
              <w:bottom w:w="80" w:type="dxa"/>
              <w:left w:w="120" w:type="dxa"/>
              <w:right w:w="120" w:type="dxa"/>
            </w:tcMar>
            <w:tcBorders>
              <w:top w:val="single" w:sz="4" w:space="0" w:color="E2E8F0"/>
              <w:left w:val="none" w:sz="0" w:space="0" w:color="auto"/>
              <w:bottom w:val="single" w:sz="4" w:space="0" w:color="E2E8F0"/>
              <w:right w:val="none" w:sz="0" w:space="0" w:color="auto"/>
            </w:tcBorders>
          </w:tcPr>
          <w:p>
            <w:pPr>
              <w:spacing w:after="0"/>
            </w:pPr>
            <w:r>
              <w:rPr>
                <w:rFonts w:ascii="Calibri" w:hAnsi="Calibri"/>
                <w:color w:val="1E293B"/>
                <w:sz w:val="20"/>
              </w:rPr>
              <w:t>backend/models/</w:t>
            </w:r>
          </w:p>
        </w:tc>
        <w:tc>
          <w:tcPr>
            <w:tcW w:type="dxa" w:w="4680"/>
            <w:shd w:fill="F8FAFC"/>
            <w:tcMar>
              <w:top w:w="80" w:type="dxa"/>
              <w:bottom w:w="80" w:type="dxa"/>
              <w:left w:w="120" w:type="dxa"/>
              <w:right w:w="120" w:type="dxa"/>
            </w:tcMar>
            <w:tcBorders>
              <w:top w:val="single" w:sz="4" w:space="0" w:color="E2E8F0"/>
              <w:left w:val="none" w:sz="0" w:space="0" w:color="auto"/>
              <w:bottom w:val="single" w:sz="4" w:space="0" w:color="E2E8F0"/>
              <w:right w:val="none" w:sz="0" w:space="0" w:color="auto"/>
            </w:tcBorders>
          </w:tcPr>
          <w:p>
            <w:pPr>
              <w:spacing w:after="0"/>
            </w:pPr>
            <w:r>
              <w:rPr>
                <w:rFonts w:ascii="Calibri" w:hAnsi="Calibri"/>
                <w:color w:val="1E293B"/>
                <w:sz w:val="20"/>
              </w:rPr>
              <w:t>Mongoose schemas mapping to MongoDB collections.</w:t>
            </w:r>
          </w:p>
        </w:tc>
      </w:tr>
      <w:tr>
        <w:tc>
          <w:tcPr>
            <w:tcW w:type="dxa" w:w="4680"/>
            <w:shd w:fill="FFFFFF"/>
            <w:tcMar>
              <w:top w:w="80" w:type="dxa"/>
              <w:bottom w:w="80" w:type="dxa"/>
              <w:left w:w="120" w:type="dxa"/>
              <w:right w:w="120" w:type="dxa"/>
            </w:tcMar>
            <w:tcBorders>
              <w:top w:val="single" w:sz="4" w:space="0" w:color="E2E8F0"/>
              <w:left w:val="none" w:sz="0" w:space="0" w:color="auto"/>
              <w:bottom w:val="single" w:sz="4" w:space="0" w:color="E2E8F0"/>
              <w:right w:val="none" w:sz="0" w:space="0" w:color="auto"/>
            </w:tcBorders>
          </w:tcPr>
          <w:p>
            <w:pPr>
              <w:spacing w:after="0"/>
            </w:pPr>
            <w:r>
              <w:rPr>
                <w:rFonts w:ascii="Calibri" w:hAnsi="Calibri"/>
                <w:color w:val="1E293B"/>
                <w:sz w:val="20"/>
              </w:rPr>
              <w:t>backend/routes/</w:t>
            </w:r>
          </w:p>
        </w:tc>
        <w:tc>
          <w:tcPr>
            <w:tcW w:type="dxa" w:w="4680"/>
            <w:shd w:fill="FFFFFF"/>
            <w:tcMar>
              <w:top w:w="80" w:type="dxa"/>
              <w:bottom w:w="80" w:type="dxa"/>
              <w:left w:w="120" w:type="dxa"/>
              <w:right w:w="120" w:type="dxa"/>
            </w:tcMar>
            <w:tcBorders>
              <w:top w:val="single" w:sz="4" w:space="0" w:color="E2E8F0"/>
              <w:left w:val="none" w:sz="0" w:space="0" w:color="auto"/>
              <w:bottom w:val="single" w:sz="4" w:space="0" w:color="E2E8F0"/>
              <w:right w:val="none" w:sz="0" w:space="0" w:color="auto"/>
            </w:tcBorders>
          </w:tcPr>
          <w:p>
            <w:pPr>
              <w:spacing w:after="0"/>
            </w:pPr>
            <w:r>
              <w:rPr>
                <w:rFonts w:ascii="Calibri" w:hAnsi="Calibri"/>
                <w:color w:val="1E293B"/>
                <w:sz w:val="20"/>
              </w:rPr>
              <w:t>Routing maps routing HTTP methods to controllers.</w:t>
            </w:r>
          </w:p>
        </w:tc>
      </w:tr>
      <w:tr>
        <w:tc>
          <w:tcPr>
            <w:tcW w:type="dxa" w:w="4680"/>
            <w:shd w:fill="F8FAFC"/>
            <w:tcMar>
              <w:top w:w="80" w:type="dxa"/>
              <w:bottom w:w="80" w:type="dxa"/>
              <w:left w:w="120" w:type="dxa"/>
              <w:right w:w="120" w:type="dxa"/>
            </w:tcMar>
            <w:tcBorders>
              <w:top w:val="single" w:sz="4" w:space="0" w:color="E2E8F0"/>
              <w:left w:val="none" w:sz="0" w:space="0" w:color="auto"/>
              <w:bottom w:val="single" w:sz="4" w:space="0" w:color="E2E8F0"/>
              <w:right w:val="none" w:sz="0" w:space="0" w:color="auto"/>
            </w:tcBorders>
          </w:tcPr>
          <w:p>
            <w:pPr>
              <w:spacing w:after="0"/>
            </w:pPr>
            <w:r>
              <w:rPr>
                <w:rFonts w:ascii="Calibri" w:hAnsi="Calibri"/>
                <w:color w:val="1E293B"/>
                <w:sz w:val="20"/>
              </w:rPr>
              <w:t>frontend/public/</w:t>
            </w:r>
          </w:p>
        </w:tc>
        <w:tc>
          <w:tcPr>
            <w:tcW w:type="dxa" w:w="4680"/>
            <w:shd w:fill="F8FAFC"/>
            <w:tcMar>
              <w:top w:w="80" w:type="dxa"/>
              <w:bottom w:w="80" w:type="dxa"/>
              <w:left w:w="120" w:type="dxa"/>
              <w:right w:w="120" w:type="dxa"/>
            </w:tcMar>
            <w:tcBorders>
              <w:top w:val="single" w:sz="4" w:space="0" w:color="E2E8F0"/>
              <w:left w:val="none" w:sz="0" w:space="0" w:color="auto"/>
              <w:bottom w:val="single" w:sz="4" w:space="0" w:color="E2E8F0"/>
              <w:right w:val="none" w:sz="0" w:space="0" w:color="auto"/>
            </w:tcBorders>
          </w:tcPr>
          <w:p>
            <w:pPr>
              <w:spacing w:after="0"/>
            </w:pPr>
            <w:r>
              <w:rPr>
                <w:rFonts w:ascii="Calibri" w:hAnsi="Calibri"/>
                <w:color w:val="1E293B"/>
                <w:sz w:val="20"/>
              </w:rPr>
              <w:t>Static files and promotional image uploads.</w:t>
            </w:r>
          </w:p>
        </w:tc>
      </w:tr>
      <w:tr>
        <w:tc>
          <w:tcPr>
            <w:tcW w:type="dxa" w:w="4680"/>
            <w:shd w:fill="FFFFFF"/>
            <w:tcMar>
              <w:top w:w="80" w:type="dxa"/>
              <w:bottom w:w="80" w:type="dxa"/>
              <w:left w:w="120" w:type="dxa"/>
              <w:right w:w="120" w:type="dxa"/>
            </w:tcMar>
            <w:tcBorders>
              <w:top w:val="single" w:sz="4" w:space="0" w:color="E2E8F0"/>
              <w:left w:val="none" w:sz="0" w:space="0" w:color="auto"/>
              <w:bottom w:val="single" w:sz="4" w:space="0" w:color="E2E8F0"/>
              <w:right w:val="none" w:sz="0" w:space="0" w:color="auto"/>
            </w:tcBorders>
          </w:tcPr>
          <w:p>
            <w:pPr>
              <w:spacing w:after="0"/>
            </w:pPr>
            <w:r>
              <w:rPr>
                <w:rFonts w:ascii="Calibri" w:hAnsi="Calibri"/>
                <w:color w:val="1E293B"/>
                <w:sz w:val="20"/>
              </w:rPr>
              <w:t>frontend/src/components/</w:t>
            </w:r>
          </w:p>
        </w:tc>
        <w:tc>
          <w:tcPr>
            <w:tcW w:type="dxa" w:w="4680"/>
            <w:shd w:fill="FFFFFF"/>
            <w:tcMar>
              <w:top w:w="80" w:type="dxa"/>
              <w:bottom w:w="80" w:type="dxa"/>
              <w:left w:w="120" w:type="dxa"/>
              <w:right w:w="120" w:type="dxa"/>
            </w:tcMar>
            <w:tcBorders>
              <w:top w:val="single" w:sz="4" w:space="0" w:color="E2E8F0"/>
              <w:left w:val="none" w:sz="0" w:space="0" w:color="auto"/>
              <w:bottom w:val="single" w:sz="4" w:space="0" w:color="E2E8F0"/>
              <w:right w:val="none" w:sz="0" w:space="0" w:color="auto"/>
            </w:tcBorders>
          </w:tcPr>
          <w:p>
            <w:pPr>
              <w:spacing w:after="0"/>
            </w:pPr>
            <w:r>
              <w:rPr>
                <w:rFonts w:ascii="Calibri" w:hAnsi="Calibri"/>
                <w:color w:val="1E293B"/>
                <w:sz w:val="20"/>
              </w:rPr>
              <w:t>Shared layout headers, footers, and page guards.</w:t>
            </w:r>
          </w:p>
        </w:tc>
      </w:tr>
      <w:tr>
        <w:tc>
          <w:tcPr>
            <w:tcW w:type="dxa" w:w="4680"/>
            <w:shd w:fill="F8FAFC"/>
            <w:tcMar>
              <w:top w:w="80" w:type="dxa"/>
              <w:bottom w:w="80" w:type="dxa"/>
              <w:left w:w="120" w:type="dxa"/>
              <w:right w:w="120" w:type="dxa"/>
            </w:tcMar>
            <w:tcBorders>
              <w:top w:val="single" w:sz="4" w:space="0" w:color="E2E8F0"/>
              <w:left w:val="none" w:sz="0" w:space="0" w:color="auto"/>
              <w:bottom w:val="single" w:sz="4" w:space="0" w:color="E2E8F0"/>
              <w:right w:val="none" w:sz="0" w:space="0" w:color="auto"/>
            </w:tcBorders>
          </w:tcPr>
          <w:p>
            <w:pPr>
              <w:spacing w:after="0"/>
            </w:pPr>
            <w:r>
              <w:rPr>
                <w:rFonts w:ascii="Calibri" w:hAnsi="Calibri"/>
                <w:color w:val="1E293B"/>
                <w:sz w:val="20"/>
              </w:rPr>
              <w:t>frontend/src/pages/</w:t>
            </w:r>
          </w:p>
        </w:tc>
        <w:tc>
          <w:tcPr>
            <w:tcW w:type="dxa" w:w="4680"/>
            <w:shd w:fill="F8FAFC"/>
            <w:tcMar>
              <w:top w:w="80" w:type="dxa"/>
              <w:bottom w:w="80" w:type="dxa"/>
              <w:left w:w="120" w:type="dxa"/>
              <w:right w:w="120" w:type="dxa"/>
            </w:tcMar>
            <w:tcBorders>
              <w:top w:val="single" w:sz="4" w:space="0" w:color="E2E8F0"/>
              <w:left w:val="none" w:sz="0" w:space="0" w:color="auto"/>
              <w:bottom w:val="single" w:sz="4" w:space="0" w:color="E2E8F0"/>
              <w:right w:val="none" w:sz="0" w:space="0" w:color="auto"/>
            </w:tcBorders>
          </w:tcPr>
          <w:p>
            <w:pPr>
              <w:spacing w:after="0"/>
            </w:pPr>
            <w:r>
              <w:rPr>
                <w:rFonts w:ascii="Calibri" w:hAnsi="Calibri"/>
                <w:color w:val="1E293B"/>
                <w:sz w:val="20"/>
              </w:rPr>
              <w:t>Page views mapping to routes in App.jsx.</w:t>
            </w:r>
          </w:p>
        </w:tc>
      </w:tr>
    </w:tbl>
    <w:p/>
    <w:p>
      <w:pPr>
        <w:keepNext/>
        <w:spacing w:before="360" w:after="120"/>
      </w:pPr>
      <w:r>
        <w:rPr>
          <w:rFonts w:ascii="Segoe UI" w:hAnsi="Segoe UI"/>
          <w:b/>
          <w:color w:val="4F46E5"/>
          <w:sz w:val="36"/>
        </w:rPr>
        <w:t>2. DETAILED REQUEST JOURNEYS</w:t>
      </w:r>
    </w:p>
    <w:p>
      <w:pPr>
        <w:keepNext/>
        <w:spacing w:before="280" w:after="80"/>
      </w:pPr>
      <w:r>
        <w:rPr>
          <w:rFonts w:ascii="Segoe UI" w:hAnsi="Segoe UI"/>
          <w:b/>
          <w:color w:val="64748B"/>
          <w:sz w:val="28"/>
        </w:rPr>
        <w:t>Student Registration Request Flow</w:t>
      </w:r>
    </w:p>
    <w:p>
      <w:r>
        <w:rPr>
          <w:rFonts w:ascii="Calibri" w:hAnsi="Calibri"/>
          <w:b w:val="0"/>
          <w:i w:val="0"/>
          <w:color w:val="1E293B"/>
          <w:sz w:val="22"/>
        </w:rPr>
        <w:t>This section charts the journey of a request when a student registers for an event.</w:t>
      </w:r>
    </w:p>
    <w:tbl>
      <w:tblPr>
        <w:tblW w:type="auto" w:w="0"/>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4" w:space="0" w:color="E2E8F0"/>
              <w:left w:val="single" w:sz="4" w:space="0" w:color="E2E8F0"/>
              <w:bottom w:val="single" w:sz="4" w:space="0" w:color="E2E8F0"/>
              <w:right w:val="single" w:sz="4" w:space="0" w:color="E2E8F0"/>
            </w:tcBorders>
          </w:tcPr>
          <w:p>
            <w:pPr>
              <w:spacing w:after="0" w:line="240" w:lineRule="auto"/>
            </w:pPr>
            <w:r>
              <w:rPr>
                <w:rFonts w:ascii="Consolas" w:hAnsi="Consolas"/>
                <w:color w:val="282C34"/>
                <w:sz w:val="18"/>
              </w:rPr>
              <w:t>[Student clicks Confirm Registration]</w:t>
              <w:br/>
              <w:t xml:space="preserve">                 |</w:t>
              <w:br/>
              <w:t xml:space="preserve">                 v</w:t>
              <w:br/>
              <w:t>[React calls RegisterStudent.jsx handleSubmit]</w:t>
              <w:br/>
              <w:t xml:space="preserve">                 |</w:t>
              <w:br/>
              <w:t xml:space="preserve">                 v</w:t>
              <w:br/>
              <w:t>[Axios sends POST /api/participants with payload]</w:t>
              <w:br/>
              <w:t xml:space="preserve">                 |</w:t>
              <w:br/>
              <w:t xml:space="preserve">                 v</w:t>
              <w:br/>
              <w:t>[Express parses JSON body and routes to registerParticipant controller]</w:t>
              <w:br/>
              <w:t xml:space="preserve">                 |</w:t>
              <w:br/>
              <w:t xml:space="preserve">                 v</w:t>
              <w:br/>
              <w:t>[Controller queries event details and verifies transaction IDs]</w:t>
              <w:br/>
              <w:t xml:space="preserve">                 |</w:t>
              <w:br/>
              <w:t xml:space="preserve">                 v</w:t>
              <w:br/>
              <w:t>[Controller calculates next sequential registration ID (CH-XXXX)]</w:t>
              <w:br/>
              <w:t xml:space="preserve">                 |</w:t>
              <w:br/>
              <w:t xml:space="preserve">                 v</w:t>
              <w:br/>
              <w:t>[Participant record is saved in MongoDB collection]</w:t>
              <w:br/>
              <w:t xml:space="preserve">                 |</w:t>
              <w:br/>
              <w:t xml:space="preserve">                 v</w:t>
              <w:br/>
              <w:t>[Express returns success JSON with registration ID]</w:t>
              <w:br/>
              <w:t xml:space="preserve">                 |</w:t>
              <w:br/>
              <w:t xml:space="preserve">                 v</w:t>
              <w:br/>
              <w:t>[React navigates to /success/:regId, updating the UI]</w:t>
            </w:r>
          </w:p>
        </w:tc>
      </w:tr>
    </w:tbl>
    <w:tbl>
      <w:tblPr>
        <w:tblW w:type="auto" w:w="0"/>
        <w:tblLayout w:type="fixed"/>
        <w:tblLook w:firstColumn="1" w:firstRow="1" w:lastColumn="0" w:lastRow="0" w:noHBand="0" w:noVBand="1" w:val="04A0"/>
      </w:tblPr>
      <w:tblGrid>
        <w:gridCol w:w="9360"/>
      </w:tblGrid>
      <w:tr>
        <w:tc>
          <w:tcPr>
            <w:tcW w:type="dxa" w:w="9360"/>
            <w:shd w:fill="F0F9FF"/>
            <w:tcBorders>
              <w:top w:val="none" w:sz="0" w:space="0" w:color="auto"/>
              <w:left w:val="single" w:sz="28" w:space="0" w:color="3B82F6"/>
              <w:bottom w:val="none" w:sz="0" w:space="0" w:color="auto"/>
              <w:right w:val="none" w:sz="0" w:space="0" w:color="auto"/>
            </w:tcBorders>
            <w:tcMar>
              <w:top w:w="140" w:type="dxa"/>
              <w:bottom w:w="140" w:type="dxa"/>
              <w:left w:w="180" w:type="dxa"/>
              <w:right w:w="180" w:type="dxa"/>
            </w:tcMar>
          </w:tcPr>
          <w:p>
            <w:pPr>
              <w:spacing w:after="0"/>
            </w:pPr>
            <w:r>
              <w:rPr>
                <w:rFonts w:ascii="Calibri" w:hAnsi="Calibri"/>
                <w:b/>
                <w:color w:val="1E293B"/>
                <w:sz w:val="21"/>
              </w:rPr>
              <w:t xml:space="preserve">💡 NOTE: </w:t>
            </w:r>
            <w:r>
              <w:rPr>
                <w:rFonts w:ascii="Calibri" w:hAnsi="Calibri"/>
                <w:i/>
                <w:color w:val="1E293B"/>
                <w:sz w:val="21"/>
              </w:rPr>
              <w:t>If the event price is 0, the paymentStatus is automatically marked as 'Verified' and transactionId is null. For paid events, it starts as 'Pending' until approved by an admin or coordinator.</w:t>
            </w:r>
          </w:p>
        </w:tc>
      </w:tr>
    </w:tbl>
    <w:p>
      <w:pPr>
        <w:keepNext/>
        <w:spacing w:before="280" w:after="80"/>
      </w:pPr>
      <w:r>
        <w:rPr>
          <w:rFonts w:ascii="Segoe UI" w:hAnsi="Segoe UI"/>
          <w:b/>
          <w:color w:val="64748B"/>
          <w:sz w:val="28"/>
        </w:rPr>
        <w:t>Authentication &amp; Session Verification Flow</w:t>
      </w:r>
    </w:p>
    <w:p>
      <w:r>
        <w:rPr>
          <w:rFonts w:ascii="Calibri" w:hAnsi="Calibri"/>
          <w:b w:val="0"/>
          <w:i w:val="0"/>
          <w:color w:val="1E293B"/>
          <w:sz w:val="22"/>
        </w:rPr>
        <w:t>When a user logs in, the system checks their credentials and maintains their session state.</w:t>
      </w:r>
    </w:p>
    <w:tbl>
      <w:tblPr>
        <w:tblW w:type="auto" w:w="0"/>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4" w:space="0" w:color="E2E8F0"/>
              <w:left w:val="single" w:sz="4" w:space="0" w:color="E2E8F0"/>
              <w:bottom w:val="single" w:sz="4" w:space="0" w:color="E2E8F0"/>
              <w:right w:val="single" w:sz="4" w:space="0" w:color="E2E8F0"/>
            </w:tcBorders>
          </w:tcPr>
          <w:p>
            <w:pPr>
              <w:spacing w:after="0" w:line="240" w:lineRule="auto"/>
            </w:pPr>
            <w:r>
              <w:rPr>
                <w:rFonts w:ascii="Consolas" w:hAnsi="Consolas"/>
                <w:color w:val="282C34"/>
                <w:sz w:val="18"/>
              </w:rPr>
              <w:t>[User submits credentials at /login]</w:t>
              <w:br/>
              <w:t xml:space="preserve">                 |</w:t>
              <w:br/>
              <w:t xml:space="preserve">                 v</w:t>
              <w:br/>
              <w:t>[POST /api/auth/login queries Admin/Coordinator collections]</w:t>
              <w:br/>
              <w:t xml:space="preserve">                 |</w:t>
              <w:br/>
              <w:t xml:space="preserve">                 v</w:t>
              <w:br/>
              <w:t>[Passwords compared using comparePassword (bcryptjs)]</w:t>
              <w:br/>
              <w:t xml:space="preserve">                 |</w:t>
              <w:br/>
              <w:t xml:space="preserve">                 v</w:t>
              <w:br/>
              <w:t>[Server generates custom token and stores it in activeSessions store]</w:t>
              <w:br/>
              <w:t xml:space="preserve">                 |</w:t>
              <w:br/>
              <w:t xml:space="preserve">                 v</w:t>
              <w:br/>
              <w:t>[JSON returned containing token, email, role, and name]</w:t>
              <w:br/>
              <w:t xml:space="preserve">                 |</w:t>
              <w:br/>
              <w:t xml:space="preserve">                 v</w:t>
              <w:br/>
              <w:t>[Client saves credentials in localStorage]</w:t>
              <w:br/>
              <w:t xml:space="preserve">                 |</w:t>
              <w:br/>
              <w:t xml:space="preserve">                 v</w:t>
              <w:br/>
              <w:t>[On route changes, ProtectedRoute verifies token against /verify-session]</w:t>
              <w:br/>
              <w:t xml:space="preserve">                 |</w:t>
              <w:br/>
              <w:t xml:space="preserve">                 v</w:t>
              <w:br/>
              <w:t>[If valid, renders page. Otherwise, redirects to /login]</w:t>
            </w:r>
          </w:p>
        </w:tc>
      </w:tr>
    </w:tbl>
    <w:p>
      <w:pPr>
        <w:keepNext/>
        <w:spacing w:before="280" w:after="80"/>
      </w:pPr>
      <w:r>
        <w:rPr>
          <w:rFonts w:ascii="Segoe UI" w:hAnsi="Segoe UI"/>
          <w:b/>
          <w:color w:val="64748B"/>
          <w:sz w:val="28"/>
        </w:rPr>
        <w:t>Payment Verification Flow</w:t>
      </w:r>
    </w:p>
    <w:p>
      <w:r>
        <w:rPr>
          <w:rFonts w:ascii="Calibri" w:hAnsi="Calibri"/>
          <w:b w:val="0"/>
          <w:i w:val="0"/>
          <w:color w:val="1E293B"/>
          <w:sz w:val="22"/>
        </w:rPr>
        <w:t>Paid event registrations are verified by coordinators or administrators.</w:t>
      </w:r>
    </w:p>
    <w:tbl>
      <w:tblPr>
        <w:tblW w:type="auto" w:w="0"/>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4" w:space="0" w:color="E2E8F0"/>
              <w:left w:val="single" w:sz="4" w:space="0" w:color="E2E8F0"/>
              <w:bottom w:val="single" w:sz="4" w:space="0" w:color="E2E8F0"/>
              <w:right w:val="single" w:sz="4" w:space="0" w:color="E2E8F0"/>
            </w:tcBorders>
          </w:tcPr>
          <w:p>
            <w:pPr>
              <w:spacing w:after="0" w:line="240" w:lineRule="auto"/>
            </w:pPr>
            <w:r>
              <w:rPr>
                <w:rFonts w:ascii="Consolas" w:hAnsi="Consolas"/>
                <w:color w:val="282C34"/>
                <w:sz w:val="18"/>
              </w:rPr>
              <w:t>[Coordinator goes to payment verification page]</w:t>
              <w:br/>
              <w:t xml:space="preserve">                 |</w:t>
              <w:br/>
              <w:t xml:space="preserve">                 v</w:t>
              <w:br/>
              <w:t>[GET /api/participants/payments fetches registrations for their events]</w:t>
              <w:br/>
              <w:t xml:space="preserve">                 |</w:t>
              <w:br/>
              <w:t xml:space="preserve">                 v</w:t>
              <w:br/>
              <w:t>[Coordinator reviews transaction ID and clicks Verify]</w:t>
              <w:br/>
              <w:t xml:space="preserve">                 |</w:t>
              <w:br/>
              <w:t xml:space="preserve">                 v</w:t>
              <w:br/>
              <w:t>[PUT /api/participants/payments/:id/status sends 'Verified']</w:t>
              <w:br/>
              <w:t xml:space="preserve">                 |</w:t>
              <w:br/>
              <w:t xml:space="preserve">                 v</w:t>
              <w:br/>
              <w:t>[Server verifies ownership of the event and updates database]</w:t>
              <w:br/>
              <w:t xml:space="preserve">                 |</w:t>
              <w:br/>
              <w:t xml:space="preserve">                 v</w:t>
              <w:br/>
              <w:t>[UI updates state to show Verified badge]</w:t>
            </w:r>
          </w:p>
        </w:tc>
      </w:tr>
    </w:tbl>
    <w:p>
      <w:pPr>
        <w:keepNext/>
        <w:spacing w:before="280" w:after="80"/>
      </w:pPr>
      <w:r>
        <w:rPr>
          <w:rFonts w:ascii="Segoe UI" w:hAnsi="Segoe UI"/>
          <w:b/>
          <w:color w:val="64748B"/>
          <w:sz w:val="28"/>
        </w:rPr>
        <w:t>Coordinator Request &amp; Approval Flow</w:t>
      </w:r>
    </w:p>
    <w:p>
      <w:r>
        <w:rPr>
          <w:rFonts w:ascii="Calibri" w:hAnsi="Calibri"/>
          <w:b w:val="0"/>
          <w:i w:val="0"/>
          <w:color w:val="1E293B"/>
          <w:sz w:val="22"/>
        </w:rPr>
        <w:t>Coordinator applications must be approved by an administrator.</w:t>
      </w:r>
    </w:p>
    <w:tbl>
      <w:tblPr>
        <w:tblW w:type="auto" w:w="0"/>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4" w:space="0" w:color="E2E8F0"/>
              <w:left w:val="single" w:sz="4" w:space="0" w:color="E2E8F0"/>
              <w:bottom w:val="single" w:sz="4" w:space="0" w:color="E2E8F0"/>
              <w:right w:val="single" w:sz="4" w:space="0" w:color="E2E8F0"/>
            </w:tcBorders>
          </w:tcPr>
          <w:p>
            <w:pPr>
              <w:spacing w:after="0" w:line="240" w:lineRule="auto"/>
            </w:pPr>
            <w:r>
              <w:rPr>
                <w:rFonts w:ascii="Consolas" w:hAnsi="Consolas"/>
                <w:color w:val="282C34"/>
                <w:sz w:val="18"/>
              </w:rPr>
              <w:t>[Student/Faculty submits application at /become-coordinator]</w:t>
              <w:br/>
              <w:t xml:space="preserve">                 |</w:t>
              <w:br/>
              <w:t xml:space="preserve">                 v</w:t>
              <w:br/>
              <w:t>[POST /api/club-coordinators/request inserts record in coordinator_requests]</w:t>
              <w:br/>
              <w:t xml:space="preserve">                 |</w:t>
              <w:br/>
              <w:t xml:space="preserve">                 v</w:t>
              <w:br/>
              <w:t>[Admin logs in and goes to Requests tab]</w:t>
              <w:br/>
              <w:t xml:space="preserve">                 |</w:t>
              <w:br/>
              <w:t xml:space="preserve">                 v</w:t>
              <w:br/>
              <w:t>[GET /api/club-coordinators/requests lists pending requests]</w:t>
              <w:br/>
              <w:t xml:space="preserve">                 |</w:t>
              <w:br/>
              <w:t xml:space="preserve">                 v</w:t>
              <w:br/>
              <w:t>[Admin clicks Approve to activate coordinator account]</w:t>
              <w:br/>
              <w:t xml:space="preserve">                 |</w:t>
              <w:br/>
              <w:t xml:space="preserve">                 v</w:t>
              <w:br/>
              <w:t>[POST /requests/:id/approve creates coordinator profile and updates status]</w:t>
            </w:r>
          </w:p>
        </w:tc>
      </w:tr>
    </w:tbl>
    <w:tbl>
      <w:tblPr>
        <w:tblW w:type="auto" w:w="0"/>
        <w:tblLayout w:type="fixed"/>
        <w:tblLook w:firstColumn="1" w:firstRow="1" w:lastColumn="0" w:lastRow="0" w:noHBand="0" w:noVBand="1" w:val="04A0"/>
      </w:tblPr>
      <w:tblGrid>
        <w:gridCol w:w="9360"/>
      </w:tblGrid>
      <w:tr>
        <w:tc>
          <w:tcPr>
            <w:tcW w:type="dxa" w:w="9360"/>
            <w:shd w:fill="FFFBEB"/>
            <w:tcBorders>
              <w:top w:val="none" w:sz="0" w:space="0" w:color="auto"/>
              <w:left w:val="single" w:sz="28" w:space="0" w:color="F59E0B"/>
              <w:bottom w:val="none" w:sz="0" w:space="0" w:color="auto"/>
              <w:right w:val="none" w:sz="0" w:space="0" w:color="auto"/>
            </w:tcBorders>
            <w:tcMar>
              <w:top w:w="140" w:type="dxa"/>
              <w:bottom w:w="140" w:type="dxa"/>
              <w:left w:w="180" w:type="dxa"/>
              <w:right w:w="180" w:type="dxa"/>
            </w:tcMar>
          </w:tcPr>
          <w:p>
            <w:pPr>
              <w:spacing w:after="0"/>
            </w:pPr>
            <w:r>
              <w:rPr>
                <w:rFonts w:ascii="Calibri" w:hAnsi="Calibri"/>
                <w:b/>
                <w:color w:val="1E293B"/>
                <w:sz w:val="21"/>
              </w:rPr>
              <w:t xml:space="preserve">🎓 VIVA QUESTION CHANNELS: </w:t>
            </w:r>
            <w:r>
              <w:rPr>
                <w:rFonts w:ascii="Calibri" w:hAnsi="Calibri"/>
                <w:i/>
                <w:color w:val="1E293B"/>
                <w:sz w:val="21"/>
              </w:rPr>
              <w:t>Approving a request creates an entry in the club_coordinators collection, allowing them to log in to the coordinator portal.</w:t>
            </w:r>
          </w:p>
        </w:tc>
      </w:tr>
    </w:tbl>
    <w:p>
      <w:pPr>
        <w:keepNext/>
        <w:spacing w:before="280" w:after="80"/>
      </w:pPr>
      <w:r>
        <w:rPr>
          <w:rFonts w:ascii="Segoe UI" w:hAnsi="Segoe UI"/>
          <w:b/>
          <w:color w:val="64748B"/>
          <w:sz w:val="28"/>
        </w:rPr>
        <w:t>Event CRUD Flow (Cascading Mutations)</w:t>
      </w:r>
    </w:p>
    <w:p>
      <w:r>
        <w:rPr>
          <w:rFonts w:ascii="Calibri" w:hAnsi="Calibri"/>
          <w:b w:val="0"/>
          <w:i w:val="0"/>
          <w:color w:val="1E293B"/>
          <w:sz w:val="22"/>
        </w:rPr>
        <w:t>Creating, updating, and deleting events modifies multiple collections.</w:t>
      </w:r>
    </w:p>
    <w:tbl>
      <w:tblPr>
        <w:tblW w:type="auto" w:w="0"/>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4" w:space="0" w:color="E2E8F0"/>
              <w:left w:val="single" w:sz="4" w:space="0" w:color="E2E8F0"/>
              <w:bottom w:val="single" w:sz="4" w:space="0" w:color="E2E8F0"/>
              <w:right w:val="single" w:sz="4" w:space="0" w:color="E2E8F0"/>
            </w:tcBorders>
          </w:tcPr>
          <w:p>
            <w:pPr>
              <w:spacing w:after="0" w:line="240" w:lineRule="auto"/>
            </w:pPr>
            <w:r>
              <w:rPr>
                <w:rFonts w:ascii="Consolas" w:hAnsi="Consolas"/>
                <w:color w:val="282C34"/>
                <w:sz w:val="18"/>
              </w:rPr>
              <w:t>[Admin/Coordinator submits event details]</w:t>
              <w:br/>
              <w:t xml:space="preserve">                 |</w:t>
              <w:br/>
              <w:t xml:space="preserve">                 v</w:t>
              <w:br/>
              <w:t>[POST /api/events inserts event and schedules]</w:t>
              <w:br/>
              <w:t xml:space="preserve">                 |</w:t>
              <w:br/>
              <w:t xml:space="preserve">                 v</w:t>
              <w:br/>
              <w:t>[On deletion, DELETE /api/events/:id triggers cascading cleanup]</w:t>
              <w:br/>
              <w:t xml:space="preserve">                 |</w:t>
              <w:br/>
              <w:t xml:space="preserve">                 v</w:t>
              <w:br/>
              <w:t>[Event, EventInfo, Coordinators, and Registrations are deleted]</w:t>
            </w:r>
          </w:p>
        </w:tc>
      </w:tr>
    </w:tbl>
    <w:p>
      <w:pPr>
        <w:keepNext/>
        <w:spacing w:before="280" w:after="80"/>
      </w:pPr>
      <w:r>
        <w:rPr>
          <w:rFonts w:ascii="Segoe UI" w:hAnsi="Segoe UI"/>
          <w:b/>
          <w:color w:val="64748B"/>
          <w:sz w:val="28"/>
        </w:rPr>
        <w:t>Deployment Workflow</w:t>
      </w:r>
    </w:p>
    <w:p>
      <w:r>
        <w:rPr>
          <w:rFonts w:ascii="Calibri" w:hAnsi="Calibri"/>
          <w:b w:val="0"/>
          <w:i w:val="0"/>
          <w:color w:val="1E293B"/>
          <w:sz w:val="22"/>
        </w:rPr>
        <w:t>The deployment pipeline for hosting the CampusHub MERN application on Render and Vercel.</w:t>
      </w:r>
    </w:p>
    <w:tbl>
      <w:tblPr>
        <w:tblW w:type="auto" w:w="0"/>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4" w:space="0" w:color="E2E8F0"/>
              <w:left w:val="single" w:sz="4" w:space="0" w:color="E2E8F0"/>
              <w:bottom w:val="single" w:sz="4" w:space="0" w:color="E2E8F0"/>
              <w:right w:val="single" w:sz="4" w:space="0" w:color="E2E8F0"/>
            </w:tcBorders>
          </w:tcPr>
          <w:p>
            <w:pPr>
              <w:spacing w:after="0" w:line="240" w:lineRule="auto"/>
            </w:pPr>
            <w:r>
              <w:rPr>
                <w:rFonts w:ascii="Consolas" w:hAnsi="Consolas"/>
                <w:color w:val="282C34"/>
                <w:sz w:val="18"/>
              </w:rPr>
              <w:t>[Code merged into GitHub repository]</w:t>
              <w:br/>
              <w:t xml:space="preserve">        |                    |</w:t>
              <w:br/>
              <w:t xml:space="preserve">        v                    v</w:t>
              <w:br/>
              <w:t>[Render Backend]       [Vite Frontend]</w:t>
              <w:br/>
              <w:t xml:space="preserve">  - Installs npm deps    - Runs 'npm run build'</w:t>
              <w:br/>
              <w:t xml:space="preserve">  - Connects to MongoURI  - Generates 'dist' static directory</w:t>
              <w:br/>
              <w:t xml:space="preserve">  - Starts server.js     - Hosted on Vercel/Render static CDN</w:t>
            </w:r>
          </w:p>
        </w:tc>
      </w:tr>
    </w:tbl>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9"/>
      </w:rPr>
      <w:t xml:space="preserve">CampusHub Study Guide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