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0E4B85"/>
          <w:sz w:val="36"/>
        </w:rPr>
        <w:t>Module 10: Limitations &amp; Future Scope</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provides an honest, mature engineering assessment of Polar Grid. It clearly outlines the real-world boundary conditions and limitations of the current prototype and details the concrete roadmap required to transition from a hackathon decision-support software to an industrial microgrid deployment.</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Judges in hackathons are experienced engineers and researchers. If a team claims their prototype is 100% flawless, production-ready, and has zero limitations, the judges immediately know the team does not understand real-world engineering. Transparently explaining your limitations and future development path builds immense credibility and earns top marks.</w:t>
      </w:r>
    </w:p>
    <w:p>
      <w:pPr>
        <w:pStyle w:val="Heading2"/>
        <w:spacing w:before="240" w:after="60"/>
      </w:pPr>
      <w:r>
        <w:rPr>
          <w:rFonts w:ascii="Calibri" w:hAnsi="Calibri"/>
          <w:b/>
          <w:color w:val="0284C7"/>
          <w:sz w:val="28"/>
        </w:rPr>
        <w:t>3. Current System Limitations</w:t>
      </w:r>
    </w:p>
    <w:p>
      <w:pPr>
        <w:pStyle w:val="Heading3"/>
        <w:spacing w:before="160" w:after="40"/>
      </w:pPr>
      <w:r>
        <w:rPr>
          <w:rFonts w:ascii="Calibri" w:hAnsi="Calibri"/>
          <w:b/>
          <w:color w:val="283C50"/>
          <w:sz w:val="23"/>
        </w:rPr>
        <w:t>A. Data Resolution &amp; Provenance Limitations</w:t>
      </w:r>
    </w:p>
    <w:p>
      <w:pPr>
        <w:pStyle w:val="ListNumber"/>
        <w:spacing w:after="40" w:line="276" w:lineRule="auto"/>
      </w:pPr>
      <w:r>
        <w:rPr>
          <w:rFonts w:ascii="Calibri" w:hAnsi="Calibri"/>
          <w:sz w:val="21"/>
        </w:rPr>
        <w:t xml:space="preserve">1. </w:t>
      </w:r>
      <w:r>
        <w:rPr>
          <w:rFonts w:ascii="Calibri" w:hAnsi="Calibri"/>
          <w:b/>
          <w:sz w:val="21"/>
        </w:rPr>
        <w:t>Monthly to Hourly Load Modeling</w:t>
      </w:r>
      <w:r>
        <w:rPr>
          <w:rFonts w:ascii="Calibri" w:hAnsi="Calibri"/>
          <w:sz w:val="21"/>
        </w:rPr>
        <w:t>:</w:t>
      </w:r>
    </w:p>
    <w:p>
      <w:pPr>
        <w:spacing w:after="80" w:line="276" w:lineRule="auto"/>
      </w:pPr>
      <w:r>
        <w:rPr>
          <w:rFonts w:ascii="Calibri" w:hAnsi="Calibri"/>
          <w:sz w:val="21"/>
        </w:rPr>
        <w:t xml:space="preserve">   - *Limitation*: The Australian Antarctic Data Centre publishes official station electricity data at monthly resolution (</w:t>
      </w:r>
      <w:r>
        <w:rPr>
          <w:rFonts w:ascii="Consolas" w:hAnsi="Consolas"/>
          <w:color w:val="B42828"/>
          <w:sz w:val="19"/>
        </w:rPr>
        <w:t>indicator_59.csv</w:t>
      </w:r>
      <w:r>
        <w:rPr>
          <w:rFonts w:ascii="Calibri" w:hAnsi="Calibri"/>
          <w:sz w:val="21"/>
        </w:rPr>
        <w:t>).</w:t>
      </w:r>
    </w:p>
    <w:p>
      <w:pPr>
        <w:spacing w:after="80" w:line="276" w:lineRule="auto"/>
      </w:pPr>
      <w:r>
        <w:rPr>
          <w:rFonts w:ascii="Calibri" w:hAnsi="Calibri"/>
          <w:sz w:val="21"/>
        </w:rPr>
        <w:t xml:space="preserve">   - *Our Implementation*: We modeled the hourly load curve using thermodynamics and diurnal station occupancy, calibrated so that monthly sums equal real historical data.</w:t>
      </w:r>
    </w:p>
    <w:p>
      <w:pPr>
        <w:spacing w:after="80" w:line="276" w:lineRule="auto"/>
      </w:pPr>
      <w:r>
        <w:rPr>
          <w:rFonts w:ascii="Calibri" w:hAnsi="Calibri"/>
          <w:sz w:val="21"/>
        </w:rPr>
        <w:t xml:space="preserve">   - *Constraint*: We do not have real sub-minute electrical sensor traces from individual station buildings.</w:t>
      </w:r>
    </w:p>
    <w:p>
      <w:pPr>
        <w:pStyle w:val="ListNumber"/>
        <w:spacing w:after="40" w:line="276" w:lineRule="auto"/>
      </w:pPr>
      <w:r>
        <w:rPr>
          <w:rFonts w:ascii="Calibri" w:hAnsi="Calibri"/>
          <w:sz w:val="21"/>
        </w:rPr>
        <w:t xml:space="preserve">2. </w:t>
      </w:r>
      <w:r>
        <w:rPr>
          <w:rFonts w:ascii="Calibri" w:hAnsi="Calibri"/>
          <w:b/>
          <w:sz w:val="21"/>
        </w:rPr>
        <w:t>External Weather Model Dependency</w:t>
      </w:r>
      <w:r>
        <w:rPr>
          <w:rFonts w:ascii="Calibri" w:hAnsi="Calibri"/>
          <w:sz w:val="21"/>
        </w:rPr>
        <w:t>:</w:t>
      </w:r>
    </w:p>
    <w:p>
      <w:pPr>
        <w:spacing w:after="80" w:line="276" w:lineRule="auto"/>
      </w:pPr>
      <w:r>
        <w:rPr>
          <w:rFonts w:ascii="Calibri" w:hAnsi="Calibri"/>
          <w:sz w:val="21"/>
        </w:rPr>
        <w:t xml:space="preserve">   - *Limitation*: Polar Grid ingests ECMWF IFS weather forecasts via Open-Meteo.</w:t>
      </w:r>
    </w:p>
    <w:p>
      <w:pPr>
        <w:spacing w:after="80" w:line="276" w:lineRule="auto"/>
      </w:pPr>
      <w:r>
        <w:rPr>
          <w:rFonts w:ascii="Calibri" w:hAnsi="Calibri"/>
          <w:sz w:val="21"/>
        </w:rPr>
        <w:t xml:space="preserve">   - *Constraint*: If a sudden, highly localized micro-climate storm develops between satellite passes, the numerical forecast may experience latency.</w:t>
      </w:r>
    </w:p>
    <w:p>
      <w:pPr>
        <w:pStyle w:val="Heading3"/>
        <w:spacing w:before="160" w:after="40"/>
      </w:pPr>
      <w:r>
        <w:rPr>
          <w:rFonts w:ascii="Calibri" w:hAnsi="Calibri"/>
          <w:b/>
          <w:color w:val="283C50"/>
          <w:sz w:val="23"/>
        </w:rPr>
        <w:t>B. Microgrid &amp; Physical Equipment Constraints</w:t>
      </w:r>
    </w:p>
    <w:p>
      <w:pPr>
        <w:pStyle w:val="ListNumber"/>
        <w:spacing w:after="40" w:line="276" w:lineRule="auto"/>
      </w:pPr>
      <w:r>
        <w:rPr>
          <w:rFonts w:ascii="Calibri" w:hAnsi="Calibri"/>
          <w:sz w:val="21"/>
        </w:rPr>
        <w:t xml:space="preserve">3. </w:t>
      </w:r>
      <w:r>
        <w:rPr>
          <w:rFonts w:ascii="Calibri" w:hAnsi="Calibri"/>
          <w:b/>
          <w:sz w:val="21"/>
        </w:rPr>
        <w:t>Simplified Thermal Inertia</w:t>
      </w:r>
      <w:r>
        <w:rPr>
          <w:rFonts w:ascii="Calibri" w:hAnsi="Calibri"/>
          <w:sz w:val="21"/>
        </w:rPr>
        <w:t>:</w:t>
      </w:r>
    </w:p>
    <w:p>
      <w:pPr>
        <w:spacing w:after="80" w:line="276" w:lineRule="auto"/>
      </w:pPr>
      <w:r>
        <w:rPr>
          <w:rFonts w:ascii="Calibri" w:hAnsi="Calibri"/>
          <w:sz w:val="21"/>
        </w:rPr>
        <w:t xml:space="preserve">   - *Limitation*: Building thermal capacitance (the hours it takes for concrete and steel buildings to cool down) is currently modeled through linear heating coefficients rather than full finite-element thermodynamic building simulation.</w:t>
      </w:r>
    </w:p>
    <w:p>
      <w:pPr>
        <w:pStyle w:val="ListNumber"/>
        <w:spacing w:after="40" w:line="276" w:lineRule="auto"/>
      </w:pPr>
      <w:r>
        <w:rPr>
          <w:rFonts w:ascii="Calibri" w:hAnsi="Calibri"/>
          <w:sz w:val="21"/>
        </w:rPr>
        <w:t xml:space="preserve">4. </w:t>
      </w:r>
      <w:r>
        <w:rPr>
          <w:rFonts w:ascii="Calibri" w:hAnsi="Calibri"/>
          <w:b/>
          <w:sz w:val="21"/>
        </w:rPr>
        <w:t>Generator Ramp Constraints</w:t>
      </w:r>
      <w:r>
        <w:rPr>
          <w:rFonts w:ascii="Calibri" w:hAnsi="Calibri"/>
          <w:sz w:val="21"/>
        </w:rPr>
        <w:t>:</w:t>
      </w:r>
    </w:p>
    <w:p>
      <w:pPr>
        <w:spacing w:after="80" w:line="276" w:lineRule="auto"/>
      </w:pPr>
      <w:r>
        <w:rPr>
          <w:rFonts w:ascii="Calibri" w:hAnsi="Calibri"/>
          <w:sz w:val="21"/>
        </w:rPr>
        <w:t xml:space="preserve">   - *Limitation*: The linear programming model enforces generator capacity ($\le 375 \text{ kW}$) and fuel curves, but models generator startup as continuous rather than requiring Mixed-Integer Linear Programming (MILP) with 15-minute minimum run-time locks.</w:t>
      </w:r>
    </w:p>
    <w:p>
      <w:pPr>
        <w:pStyle w:val="ListNumber"/>
        <w:spacing w:after="40" w:line="276" w:lineRule="auto"/>
      </w:pPr>
      <w:r>
        <w:rPr>
          <w:rFonts w:ascii="Calibri" w:hAnsi="Calibri"/>
          <w:sz w:val="21"/>
        </w:rPr>
        <w:t xml:space="preserve">5. </w:t>
      </w:r>
      <w:r>
        <w:rPr>
          <w:rFonts w:ascii="Calibri" w:hAnsi="Calibri"/>
          <w:b/>
          <w:sz w:val="21"/>
        </w:rPr>
        <w:t>No Direct Hardware Actuation</w:t>
      </w:r>
      <w:r>
        <w:rPr>
          <w:rFonts w:ascii="Calibri" w:hAnsi="Calibri"/>
          <w:sz w:val="21"/>
        </w:rPr>
        <w:t>:</w:t>
      </w:r>
    </w:p>
    <w:p>
      <w:pPr>
        <w:spacing w:after="80" w:line="276" w:lineRule="auto"/>
      </w:pPr>
      <w:r>
        <w:rPr>
          <w:rFonts w:ascii="Calibri" w:hAnsi="Calibri"/>
          <w:sz w:val="21"/>
        </w:rPr>
        <w:t xml:space="preserve">   - *Limitation*: Polar Grid is currently a Decision Support System (advisory software). It does not send direct Modbus/DNP3 control signals to physical circuit breakers in Antarctica.</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CURRENT PROTOTYPE VS INDUSTRIAL ROADMAP                       |</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CURRENT POLAR GRID PROTOTYPE:                                                     |</w:t>
      </w:r>
    </w:p>
    <w:p>
      <w:pPr>
        <w:spacing w:after="20" w:before="20"/>
        <w:ind w:left="432"/>
      </w:pPr>
      <w:r>
        <w:rPr>
          <w:rFonts w:ascii="Consolas" w:hAnsi="Consolas"/>
          <w:color w:val="282828"/>
          <w:sz w:val="18"/>
        </w:rPr>
        <w:t>|   [ Calibrated Monthly AADC Load ] ---&gt; [ HistGradientBoosting ML ]              |</w:t>
      </w:r>
    </w:p>
    <w:p>
      <w:pPr>
        <w:spacing w:after="20" w:before="20"/>
        <w:ind w:left="432"/>
      </w:pPr>
      <w:r>
        <w:rPr>
          <w:rFonts w:ascii="Consolas" w:hAnsi="Consolas"/>
          <w:color w:val="282828"/>
          <w:sz w:val="18"/>
        </w:rPr>
        <w:t>|   [ Live ECMWF Weather via API   ] ---&gt; [ Physics &amp; HiGHS LP Solver]              |</w:t>
      </w:r>
    </w:p>
    <w:p>
      <w:pPr>
        <w:spacing w:after="20" w:before="20"/>
        <w:ind w:left="432"/>
      </w:pPr>
      <w:r>
        <w:rPr>
          <w:rFonts w:ascii="Consolas" w:hAnsi="Consolas"/>
          <w:color w:val="282828"/>
          <w:sz w:val="18"/>
        </w:rPr>
        <w:t>|   [ Web Decision-Support Console ] ---&gt; [ Advisory Operator Recommendations ]     |</w:t>
      </w:r>
    </w:p>
    <w:p>
      <w:pPr>
        <w:spacing w:after="20" w:before="20"/>
        <w:ind w:left="432"/>
      </w:pPr>
      <w:r>
        <w:rPr>
          <w:rFonts w:ascii="Consolas" w:hAnsi="Consolas"/>
          <w:color w:val="282828"/>
          <w:sz w:val="18"/>
        </w:rPr>
        <w:t>|                                                                                   |</w:t>
      </w:r>
    </w:p>
    <w:p>
      <w:pPr>
        <w:spacing w:after="20" w:before="20"/>
        <w:ind w:left="432"/>
      </w:pPr>
      <w:r>
        <w:rPr>
          <w:rFonts w:ascii="Consolas" w:hAnsi="Consolas"/>
          <w:color w:val="282828"/>
          <w:sz w:val="18"/>
        </w:rPr>
        <w:t>| FUTURE INDUSTRIAL DEPLOYMENT:                                                     |</w:t>
      </w:r>
    </w:p>
    <w:p>
      <w:pPr>
        <w:spacing w:after="20" w:before="20"/>
        <w:ind w:left="432"/>
      </w:pPr>
      <w:r>
        <w:rPr>
          <w:rFonts w:ascii="Consolas" w:hAnsi="Consolas"/>
          <w:color w:val="282828"/>
          <w:sz w:val="18"/>
        </w:rPr>
        <w:t>|   [ Sub-second IoT Smart Meters  ] ---&gt; [ Real-time Telemetry Ingestion ]          |</w:t>
      </w:r>
    </w:p>
    <w:p>
      <w:pPr>
        <w:spacing w:after="20" w:before="20"/>
        <w:ind w:left="432"/>
      </w:pPr>
      <w:r>
        <w:rPr>
          <w:rFonts w:ascii="Consolas" w:hAnsi="Consolas"/>
          <w:color w:val="282828"/>
          <w:sz w:val="18"/>
        </w:rPr>
        <w:t>|   [ On-site Micro-Doppler Radar  ] ---&gt; [ Local Gust &amp; Cloud Nowcasting ]         |</w:t>
      </w:r>
    </w:p>
    <w:p>
      <w:pPr>
        <w:spacing w:after="20" w:before="20"/>
        <w:ind w:left="432"/>
      </w:pPr>
      <w:r>
        <w:rPr>
          <w:rFonts w:ascii="Consolas" w:hAnsi="Consolas"/>
          <w:color w:val="282828"/>
          <w:sz w:val="18"/>
        </w:rPr>
        <w:t>|   [ Modbus / DNP3 Industrial PLC ] ---&gt; [ Automated Generator Start / Stop ]      |</w:t>
      </w:r>
    </w:p>
    <w:p>
      <w:pPr>
        <w:spacing w:after="20" w:before="20"/>
        <w:ind w:left="432"/>
      </w:pPr>
      <w:r>
        <w:rPr>
          <w:rFonts w:ascii="Consolas" w:hAnsi="Consolas"/>
          <w:color w:val="282828"/>
          <w:sz w:val="18"/>
        </w:rPr>
        <w:t>+-----------------------------------------------------------------------------------+</w:t>
      </w:r>
    </w:p>
    <w:p>
      <w:pPr>
        <w:pStyle w:val="Heading2"/>
        <w:spacing w:before="240" w:after="60"/>
      </w:pPr>
      <w:r>
        <w:rPr>
          <w:rFonts w:ascii="Calibri" w:hAnsi="Calibri"/>
          <w:b/>
          <w:color w:val="0284C7"/>
          <w:sz w:val="28"/>
        </w:rPr>
        <w:t>4. Concrete Future Scope &amp; Roadmap</w:t>
      </w:r>
    </w:p>
    <w:p>
      <w:pPr>
        <w:pStyle w:val="Heading3"/>
        <w:spacing w:before="160" w:after="40"/>
      </w:pPr>
      <w:r>
        <w:rPr>
          <w:rFonts w:ascii="Calibri" w:hAnsi="Calibri"/>
          <w:b/>
          <w:color w:val="283C50"/>
          <w:sz w:val="23"/>
        </w:rPr>
        <w:t>1. On-Site Hardware Integration (Modbus &amp; DNP3)</w:t>
      </w:r>
    </w:p>
    <w:p>
      <w:pPr>
        <w:pStyle w:val="ListBullet"/>
        <w:spacing w:after="40" w:line="276" w:lineRule="auto"/>
      </w:pPr>
      <w:r>
        <w:rPr>
          <w:rFonts w:ascii="Calibri" w:hAnsi="Calibri"/>
          <w:sz w:val="21"/>
        </w:rPr>
        <w:t>Connect Polar Grid backend directly to station Programmable Logic Controllers (PLCs) and Supervisory Control and Data Acquisition (SCADA) systems.</w:t>
      </w:r>
    </w:p>
    <w:p>
      <w:pPr>
        <w:pStyle w:val="ListBullet"/>
        <w:spacing w:after="40" w:line="276" w:lineRule="auto"/>
      </w:pPr>
      <w:r>
        <w:rPr>
          <w:rFonts w:ascii="Calibri" w:hAnsi="Calibri"/>
          <w:sz w:val="21"/>
        </w:rPr>
        <w:t>Automatically trigger diesel generator auto-start contacts and battery inverter setpoints.</w:t>
      </w:r>
    </w:p>
    <w:p>
      <w:pPr>
        <w:pStyle w:val="Heading3"/>
        <w:spacing w:before="160" w:after="40"/>
      </w:pPr>
      <w:r>
        <w:rPr>
          <w:rFonts w:ascii="Calibri" w:hAnsi="Calibri"/>
          <w:b/>
          <w:color w:val="283C50"/>
          <w:sz w:val="23"/>
        </w:rPr>
        <w:t>2. Micro-Nowcasting with Local Sensors</w:t>
      </w:r>
    </w:p>
    <w:p>
      <w:pPr>
        <w:pStyle w:val="ListBullet"/>
        <w:spacing w:after="40" w:line="276" w:lineRule="auto"/>
      </w:pPr>
      <w:r>
        <w:rPr>
          <w:rFonts w:ascii="Calibri" w:hAnsi="Calibri"/>
          <w:sz w:val="21"/>
        </w:rPr>
        <w:t>Supplement ECMWF regional forecasts with local station instruments (sonic anemometers, sky cameras, and ceilometers) to detect cloud edges and katabatic wind gusts 15 minutes before they reach the turbines.</w:t>
      </w:r>
    </w:p>
    <w:p>
      <w:pPr>
        <w:pStyle w:val="Heading3"/>
        <w:spacing w:before="160" w:after="40"/>
      </w:pPr>
      <w:r>
        <w:rPr>
          <w:rFonts w:ascii="Calibri" w:hAnsi="Calibri"/>
          <w:b/>
          <w:color w:val="283C50"/>
          <w:sz w:val="23"/>
        </w:rPr>
        <w:t>3. Mixed-Integer Linear Programming (MILP) &amp; Reserve Margins</w:t>
      </w:r>
    </w:p>
    <w:p>
      <w:pPr>
        <w:pStyle w:val="ListBullet"/>
        <w:spacing w:after="40" w:line="276" w:lineRule="auto"/>
      </w:pPr>
      <w:r>
        <w:rPr>
          <w:rFonts w:ascii="Calibri" w:hAnsi="Calibri"/>
          <w:sz w:val="21"/>
        </w:rPr>
        <w:t>Upgrade from continuous LP to Mixed-Integer Linear Programming to model discrete generator on/off states, engine warm-up cycles, and spinning reserve margins.</w:t>
      </w:r>
    </w:p>
    <w:p>
      <w:pPr>
        <w:pStyle w:val="Heading3"/>
        <w:spacing w:before="160" w:after="40"/>
      </w:pPr>
      <w:r>
        <w:rPr>
          <w:rFonts w:ascii="Calibri" w:hAnsi="Calibri"/>
          <w:b/>
          <w:color w:val="283C50"/>
          <w:sz w:val="23"/>
        </w:rPr>
        <w:t>4. Demand-Side Management &amp; Thermal Storage</w:t>
      </w:r>
    </w:p>
    <w:p>
      <w:pPr>
        <w:pStyle w:val="ListBullet"/>
        <w:spacing w:after="40" w:line="276" w:lineRule="auto"/>
      </w:pPr>
      <w:r>
        <w:rPr>
          <w:rFonts w:ascii="Calibri" w:hAnsi="Calibri"/>
          <w:sz w:val="21"/>
        </w:rPr>
        <w:t>Antarctica uses substantial power for electric water heaters and snow melters. When surplus renewable energy is available, Polar Grid can dump excess power into thermal hot-water storage tanks rather than curtailing it.</w:t>
      </w:r>
    </w:p>
    <w:p>
      <w:pPr>
        <w:pStyle w:val="Heading3"/>
        <w:spacing w:before="160" w:after="40"/>
      </w:pPr>
      <w:r>
        <w:rPr>
          <w:rFonts w:ascii="Calibri" w:hAnsi="Calibri"/>
          <w:b/>
          <w:color w:val="283C50"/>
          <w:sz w:val="23"/>
        </w:rPr>
        <w:t>5. Multi-Station Expansion</w:t>
      </w:r>
    </w:p>
    <w:p>
      <w:pPr>
        <w:pStyle w:val="ListBullet"/>
        <w:spacing w:after="40" w:line="276" w:lineRule="auto"/>
      </w:pPr>
      <w:r>
        <w:rPr>
          <w:rFonts w:ascii="Calibri" w:hAnsi="Calibri"/>
          <w:sz w:val="21"/>
        </w:rPr>
        <w:t>Deploy Polar Grid configurations for other polar research bases, such as Australia's Davis and Casey stations, India's Bharati and Maitri stations, and the US McMurdo station.</w:t>
      </w:r>
    </w:p>
    <w:p>
      <w:pPr>
        <w:pStyle w:val="Heading2"/>
        <w:spacing w:before="240" w:after="60"/>
      </w:pPr>
      <w:r>
        <w:rPr>
          <w:rFonts w:ascii="Calibri" w:hAnsi="Calibri"/>
          <w:b/>
          <w:color w:val="0284C7"/>
          <w:sz w:val="28"/>
        </w:rPr>
        <w:t>5. What should I say to a judge?</w:t>
      </w:r>
    </w:p>
    <w:p>
      <w:pPr>
        <w:spacing w:after="60" w:line="276" w:lineRule="auto" w:before="60"/>
        <w:ind w:left="576"/>
      </w:pPr>
      <w:r>
        <w:rPr>
          <w:rFonts w:ascii="Calibri" w:hAnsi="Calibri"/>
          <w:i/>
          <w:color w:val="464646"/>
          <w:sz w:val="21"/>
        </w:rPr>
        <w:t>*"Judges, we take engineering honesty seriously. Our primary limitation is data resolution: official Antarctic electricity records are published monthly, so our hourly load profile is physically derived and calibrated to those monthly sums. In addition, Polar Grid is currently an advisory decision-support system rather than an automated hardware controller. Our roadmap includes integrating Modbus protocols for direct PLC actuation, adding local ceilometers for 15-minute nowcasting, and expanding our configuration to other research bases like India's Bharati Station."*</w:t>
      </w:r>
    </w:p>
    <w:p>
      <w:pPr>
        <w:pStyle w:val="Heading2"/>
        <w:spacing w:before="240" w:after="60"/>
      </w:pPr>
      <w:r>
        <w:rPr>
          <w:rFonts w:ascii="Calibri" w:hAnsi="Calibri"/>
          <w:b/>
          <w:color w:val="0284C7"/>
          <w:sz w:val="28"/>
        </w:rPr>
        <w:t>6. Common Judge Questions</w:t>
      </w:r>
    </w:p>
    <w:p>
      <w:pPr>
        <w:pStyle w:val="ListNumber"/>
        <w:spacing w:after="40" w:line="276" w:lineRule="auto"/>
      </w:pPr>
      <w:r>
        <w:rPr>
          <w:rFonts w:ascii="Calibri" w:hAnsi="Calibri"/>
          <w:sz w:val="21"/>
        </w:rPr>
        <w:t xml:space="preserve">1. </w:t>
      </w:r>
      <w:r>
        <w:rPr>
          <w:rFonts w:ascii="Calibri" w:hAnsi="Calibri"/>
          <w:b/>
          <w:sz w:val="21"/>
        </w:rPr>
        <w:t>Q: What is your single biggest limitation right now?</w:t>
      </w:r>
    </w:p>
    <w:p>
      <w:pPr>
        <w:spacing w:after="80" w:line="276" w:lineRule="auto"/>
      </w:pPr>
      <w:r>
        <w:rPr>
          <w:rFonts w:ascii="Calibri" w:hAnsi="Calibri"/>
          <w:sz w:val="21"/>
        </w:rPr>
        <w:t xml:space="preserve">   *A: The absence of live, open-access sub-minute smart meter telemetry from Antarctica. We solved this responsibly by using physically grounded thermodynamics calibrated against genuine monthly records, but on-site deployment would replace this with real-time meter feeds.*</w:t>
      </w:r>
    </w:p>
    <w:p>
      <w:pPr>
        <w:pStyle w:val="ListNumber"/>
        <w:spacing w:after="40" w:line="276" w:lineRule="auto"/>
      </w:pPr>
      <w:r>
        <w:rPr>
          <w:rFonts w:ascii="Calibri" w:hAnsi="Calibri"/>
          <w:sz w:val="21"/>
        </w:rPr>
        <w:t xml:space="preserve">2. </w:t>
      </w:r>
      <w:r>
        <w:rPr>
          <w:rFonts w:ascii="Calibri" w:hAnsi="Calibri"/>
          <w:b/>
          <w:sz w:val="21"/>
        </w:rPr>
        <w:t>Q: Can your software cause a blackout if the forecast is wrong?</w:t>
      </w:r>
    </w:p>
    <w:p>
      <w:pPr>
        <w:spacing w:after="80" w:line="276" w:lineRule="auto"/>
      </w:pPr>
      <w:r>
        <w:rPr>
          <w:rFonts w:ascii="Calibri" w:hAnsi="Calibri"/>
          <w:sz w:val="21"/>
        </w:rPr>
        <w:t xml:space="preserve">   *A: No. Polar Grid is an advisory tool that provides forward schedules, while local station generator switchboards retain autonomous hardware safety relays that trip diesel generators immediately if bus voltage drops.*</w:t>
      </w:r>
    </w:p>
    <w:p>
      <w:pPr>
        <w:pStyle w:val="ListNumber"/>
        <w:spacing w:after="40" w:line="276" w:lineRule="auto"/>
      </w:pPr>
      <w:r>
        <w:rPr>
          <w:rFonts w:ascii="Calibri" w:hAnsi="Calibri"/>
          <w:sz w:val="21"/>
        </w:rPr>
        <w:t xml:space="preserve">3. </w:t>
      </w:r>
      <w:r>
        <w:rPr>
          <w:rFonts w:ascii="Calibri" w:hAnsi="Calibri"/>
          <w:b/>
          <w:sz w:val="21"/>
        </w:rPr>
        <w:t>Q: How would you connect this to real generators?</w:t>
      </w:r>
    </w:p>
    <w:p>
      <w:pPr>
        <w:spacing w:after="80" w:line="276" w:lineRule="auto"/>
      </w:pPr>
      <w:r>
        <w:rPr>
          <w:rFonts w:ascii="Calibri" w:hAnsi="Calibri"/>
          <w:sz w:val="21"/>
        </w:rPr>
        <w:t xml:space="preserve">   *A: Industrial diesel generators (like Cat 3306 or Cummins) use digital engine control modules (ECMs) that communicate via Modbus TCP or CANbus J1939. Our backend is designed to publish dispatch setpoints over industrial APIs.*</w:t>
      </w:r>
    </w:p>
    <w:p>
      <w:pPr>
        <w:pStyle w:val="ListNumber"/>
        <w:spacing w:after="40" w:line="276" w:lineRule="auto"/>
      </w:pPr>
      <w:r>
        <w:rPr>
          <w:rFonts w:ascii="Calibri" w:hAnsi="Calibri"/>
          <w:sz w:val="21"/>
        </w:rPr>
        <w:t xml:space="preserve">4. </w:t>
      </w:r>
      <w:r>
        <w:rPr>
          <w:rFonts w:ascii="Calibri" w:hAnsi="Calibri"/>
          <w:b/>
          <w:sz w:val="21"/>
        </w:rPr>
        <w:t>Q: Can this be used for non-polar microgrids like Himalayan military posts or remote islands?</w:t>
      </w:r>
    </w:p>
    <w:p>
      <w:pPr>
        <w:spacing w:after="80" w:line="276" w:lineRule="auto"/>
      </w:pPr>
      <w:r>
        <w:rPr>
          <w:rFonts w:ascii="Calibri" w:hAnsi="Calibri"/>
          <w:sz w:val="21"/>
        </w:rPr>
        <w:t xml:space="preserve">   *A: Absolutely. The mathematical framework—weather forecasting, demand prediction, renewable physics, and HiGHS linear programming—is universally applicable to any isolated microgrid relying on diesel and renewables, such as Ladakh border posts or Andaman islands.*</w:t>
      </w:r>
    </w:p>
    <w:p>
      <w:pPr>
        <w:pStyle w:val="ListNumber"/>
        <w:spacing w:after="40" w:line="276" w:lineRule="auto"/>
      </w:pPr>
      <w:r>
        <w:rPr>
          <w:rFonts w:ascii="Calibri" w:hAnsi="Calibri"/>
          <w:sz w:val="21"/>
        </w:rPr>
        <w:t xml:space="preserve">5. </w:t>
      </w:r>
      <w:r>
        <w:rPr>
          <w:rFonts w:ascii="Calibri" w:hAnsi="Calibri"/>
          <w:b/>
          <w:sz w:val="21"/>
        </w:rPr>
        <w:t>Q: What about battery degradation over 10 years?</w:t>
      </w:r>
    </w:p>
    <w:p>
      <w:pPr>
        <w:spacing w:after="80" w:line="276" w:lineRule="auto"/>
      </w:pPr>
      <w:r>
        <w:rPr>
          <w:rFonts w:ascii="Calibri" w:hAnsi="Calibri"/>
          <w:sz w:val="21"/>
        </w:rPr>
        <w:t xml:space="preserve">   *A: Currently we model a fixed 20% to 95% State-of-Charge window. In future iterations, we will incorporate empirical cycle-life aging models to dynamically restrict charge rates as battery capacity fades.*</w:t>
      </w:r>
    </w:p>
    <w:p>
      <w:pPr>
        <w:pStyle w:val="Heading2"/>
        <w:spacing w:before="240" w:after="60"/>
      </w:pPr>
      <w:r>
        <w:rPr>
          <w:rFonts w:ascii="Calibri" w:hAnsi="Calibri"/>
          <w:b/>
          <w:color w:val="0284C7"/>
          <w:sz w:val="28"/>
        </w:rPr>
        <w:t>7. Important Things NOT to Claim</w:t>
      </w:r>
    </w:p>
    <w:p>
      <w:pPr>
        <w:pStyle w:val="ListBullet"/>
        <w:spacing w:after="40" w:line="276" w:lineRule="auto"/>
      </w:pPr>
      <w:r>
        <w:rPr>
          <w:rFonts w:ascii="Calibri" w:hAnsi="Calibri"/>
          <w:b/>
          <w:sz w:val="21"/>
        </w:rPr>
        <w:t>DO NOT claim</w:t>
      </w:r>
      <w:r>
        <w:rPr>
          <w:rFonts w:ascii="Calibri" w:hAnsi="Calibri"/>
          <w:sz w:val="21"/>
        </w:rPr>
        <w:t xml:space="preserve"> the system already has Modbus/SCADA hardware integration (it is on our future roadmap).</w:t>
      </w:r>
    </w:p>
    <w:p>
      <w:pPr>
        <w:pStyle w:val="ListBullet"/>
        <w:spacing w:after="40" w:line="276" w:lineRule="auto"/>
      </w:pPr>
      <w:r>
        <w:rPr>
          <w:rFonts w:ascii="Calibri" w:hAnsi="Calibri"/>
          <w:b/>
          <w:sz w:val="21"/>
        </w:rPr>
        <w:t>DO NOT claim</w:t>
      </w:r>
      <w:r>
        <w:rPr>
          <w:rFonts w:ascii="Calibri" w:hAnsi="Calibri"/>
          <w:sz w:val="21"/>
        </w:rPr>
        <w:t xml:space="preserve"> the system has zero limitations.</w:t>
      </w:r>
    </w:p>
    <w:p>
      <w:pPr>
        <w:pStyle w:val="ListBullet"/>
        <w:spacing w:after="40" w:line="276" w:lineRule="auto"/>
      </w:pPr>
      <w:r>
        <w:rPr>
          <w:rFonts w:ascii="Calibri" w:hAnsi="Calibri"/>
          <w:b/>
          <w:sz w:val="21"/>
        </w:rPr>
        <w:t>DO NOT claim</w:t>
      </w:r>
      <w:r>
        <w:rPr>
          <w:rFonts w:ascii="Calibri" w:hAnsi="Calibri"/>
          <w:sz w:val="21"/>
        </w:rPr>
        <w:t xml:space="preserve"> you have already deployed Polar Grid to physical Antarctic stations.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 Smart India Hackathon (SIH) Official Team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Polar Grid — SIH Notes | Mawson Station, Antarctica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