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9E4" w:rsidRDefault="00786D79" w:rsidP="00985B1A">
      <w:pPr>
        <w:pStyle w:val="Heading1"/>
        <w:spacing w:line="240" w:lineRule="auto"/>
        <w:jc w:val="center"/>
      </w:pPr>
      <w:r>
        <w:t>Anomaly detection</w:t>
      </w:r>
    </w:p>
    <w:p w:rsidR="00786D79" w:rsidRDefault="00786D79" w:rsidP="00985B1A">
      <w:pPr>
        <w:pStyle w:val="Heading2"/>
        <w:spacing w:line="240" w:lineRule="auto"/>
      </w:pPr>
      <w:r>
        <w:t>Preprocessing</w:t>
      </w:r>
    </w:p>
    <w:p w:rsidR="00786D79" w:rsidRDefault="00786D79" w:rsidP="00985B1A">
      <w:pPr>
        <w:spacing w:line="240" w:lineRule="auto"/>
        <w:jc w:val="both"/>
      </w:pPr>
      <w:r>
        <w:t xml:space="preserve">The given dataset has 1567 examples and 591 features. Ratio between normal examples and anomalies is 1:14. All variables are numeric. </w:t>
      </w:r>
      <w:r w:rsidR="009E7A04">
        <w:t>Firstly, missing values have been filled with mean value for each feature. Secondly</w:t>
      </w:r>
      <w:r>
        <w:t>, it's important to reduce dimensionality. I've found about hundred features with constant values for every example. I have also dropped every feature with variance lower than 0.03</w:t>
      </w:r>
      <w:r w:rsidR="009E7A04">
        <w:t xml:space="preserve"> and only 53 features remained. </w:t>
      </w:r>
    </w:p>
    <w:p w:rsidR="009E7A04" w:rsidRDefault="009E7A04" w:rsidP="00985B1A">
      <w:pPr>
        <w:pStyle w:val="Heading2"/>
        <w:spacing w:line="240" w:lineRule="auto"/>
        <w:jc w:val="both"/>
      </w:pPr>
      <w:r>
        <w:t>Anomaly detection system</w:t>
      </w:r>
    </w:p>
    <w:p w:rsidR="009E7A04" w:rsidRDefault="009E7A04" w:rsidP="00985B1A">
      <w:pPr>
        <w:spacing w:line="240" w:lineRule="auto"/>
        <w:jc w:val="both"/>
      </w:pPr>
      <w:r>
        <w:t xml:space="preserve">There are lots of anomaly detecion techniques, such as: classification based, NN based, clustering based, etc. Firstly, I chose algorithm from clustering based technique called DBSCAN. It's very powerful density-based algorithm but it didn't perform well on my dataset. The results were poor so I had to change the algorithm. </w:t>
      </w:r>
      <w:r w:rsidR="009471A5">
        <w:t>The much better results were after applying One-class SVM algorithm. It's important to note that accuarcy is not a good measure. The most important measure for this problem is recall for anomalies because it's important to detect the fault in a timely manner. Classification reports for these two implemented algorithms are shown in next two tables (table 1 and table 2).</w:t>
      </w:r>
    </w:p>
    <w:p w:rsidR="009471A5" w:rsidRDefault="009471A5" w:rsidP="00985B1A">
      <w:pPr>
        <w:pStyle w:val="Caption"/>
        <w:keepNext/>
      </w:pPr>
      <w:r>
        <w:t xml:space="preserve">Table </w:t>
      </w:r>
      <w:fldSimple w:instr=" SEQ Table \* ARABIC ">
        <w:r w:rsidR="00D04CCD">
          <w:rPr>
            <w:noProof/>
          </w:rPr>
          <w:t>1</w:t>
        </w:r>
      </w:fldSimple>
      <w:r>
        <w:t xml:space="preserve"> – Classification report for DBSCAN algorithm</w:t>
      </w:r>
    </w:p>
    <w:tbl>
      <w:tblPr>
        <w:tblStyle w:val="GridTabl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818"/>
        <w:gridCol w:w="1806"/>
        <w:gridCol w:w="1803"/>
        <w:gridCol w:w="1815"/>
      </w:tblGrid>
      <w:tr w:rsidR="009471A5" w:rsidTr="009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71A5" w:rsidRDefault="009471A5" w:rsidP="00985B1A">
            <w:pPr>
              <w:jc w:val="both"/>
            </w:pPr>
          </w:p>
        </w:tc>
        <w:tc>
          <w:tcPr>
            <w:tcW w:w="18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1A5" w:rsidRDefault="009471A5" w:rsidP="00985B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1A5" w:rsidRDefault="009471A5" w:rsidP="00985B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1A5" w:rsidRDefault="009471A5" w:rsidP="00985B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  <w:tc>
          <w:tcPr>
            <w:tcW w:w="18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71A5" w:rsidRDefault="009471A5" w:rsidP="00985B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</w:tr>
      <w:tr w:rsidR="009471A5" w:rsidTr="009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9471A5" w:rsidRDefault="009471A5" w:rsidP="00985B1A">
            <w:pPr>
              <w:jc w:val="both"/>
            </w:pPr>
            <w:r>
              <w:t>Outlier</w:t>
            </w:r>
          </w:p>
        </w:tc>
        <w:tc>
          <w:tcPr>
            <w:tcW w:w="1857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</w:tr>
      <w:tr w:rsidR="009471A5" w:rsidTr="009471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9471A5" w:rsidRDefault="009471A5" w:rsidP="00985B1A">
            <w:pPr>
              <w:jc w:val="both"/>
            </w:pPr>
            <w:r>
              <w:t>Not outlier</w:t>
            </w:r>
          </w:p>
        </w:tc>
        <w:tc>
          <w:tcPr>
            <w:tcW w:w="1857" w:type="dxa"/>
          </w:tcPr>
          <w:p w:rsidR="009471A5" w:rsidRDefault="009471A5" w:rsidP="00985B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0.54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1463</w:t>
            </w:r>
          </w:p>
        </w:tc>
      </w:tr>
      <w:tr w:rsidR="009471A5" w:rsidTr="009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9471A5" w:rsidRDefault="009471A5" w:rsidP="00985B1A">
            <w:pPr>
              <w:jc w:val="both"/>
            </w:pPr>
            <w:r>
              <w:t>Avg/total</w:t>
            </w:r>
          </w:p>
        </w:tc>
        <w:tc>
          <w:tcPr>
            <w:tcW w:w="1857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0.54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1567</w:t>
            </w:r>
          </w:p>
        </w:tc>
      </w:tr>
    </w:tbl>
    <w:p w:rsidR="009471A5" w:rsidRDefault="009471A5" w:rsidP="00985B1A">
      <w:pPr>
        <w:spacing w:line="240" w:lineRule="auto"/>
        <w:jc w:val="both"/>
      </w:pPr>
    </w:p>
    <w:p w:rsidR="009471A5" w:rsidRDefault="009471A5" w:rsidP="00985B1A">
      <w:pPr>
        <w:pStyle w:val="Caption"/>
        <w:keepNext/>
      </w:pPr>
      <w:r>
        <w:t xml:space="preserve">Table </w:t>
      </w:r>
      <w:fldSimple w:instr=" SEQ Table \* ARABIC ">
        <w:r w:rsidR="00D04CCD">
          <w:rPr>
            <w:noProof/>
          </w:rPr>
          <w:t>2</w:t>
        </w:r>
      </w:fldSimple>
      <w:r>
        <w:t xml:space="preserve"> – Classification report for One-class SVM algorithm</w:t>
      </w:r>
    </w:p>
    <w:tbl>
      <w:tblPr>
        <w:tblStyle w:val="GridTabl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818"/>
        <w:gridCol w:w="1806"/>
        <w:gridCol w:w="1803"/>
        <w:gridCol w:w="1815"/>
      </w:tblGrid>
      <w:tr w:rsidR="009471A5" w:rsidTr="009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71A5" w:rsidRDefault="009471A5" w:rsidP="00985B1A">
            <w:pPr>
              <w:jc w:val="both"/>
            </w:pPr>
          </w:p>
        </w:tc>
        <w:tc>
          <w:tcPr>
            <w:tcW w:w="18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1A5" w:rsidRDefault="009471A5" w:rsidP="00985B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1A5" w:rsidRDefault="009471A5" w:rsidP="00985B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1A5" w:rsidRDefault="009471A5" w:rsidP="00985B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  <w:tc>
          <w:tcPr>
            <w:tcW w:w="18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71A5" w:rsidRDefault="009471A5" w:rsidP="00985B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</w:tr>
      <w:tr w:rsidR="009471A5" w:rsidTr="00CC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9471A5" w:rsidRDefault="009471A5" w:rsidP="00985B1A">
            <w:pPr>
              <w:jc w:val="both"/>
            </w:pPr>
            <w:r>
              <w:t>Outlier</w:t>
            </w:r>
          </w:p>
        </w:tc>
        <w:tc>
          <w:tcPr>
            <w:tcW w:w="1857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58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74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</w:tr>
      <w:tr w:rsidR="009471A5" w:rsidTr="00CC1D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9471A5" w:rsidRDefault="009471A5" w:rsidP="00985B1A">
            <w:pPr>
              <w:jc w:val="both"/>
            </w:pPr>
            <w:r>
              <w:t>Not outlier</w:t>
            </w:r>
          </w:p>
        </w:tc>
        <w:tc>
          <w:tcPr>
            <w:tcW w:w="1857" w:type="dxa"/>
          </w:tcPr>
          <w:p w:rsidR="009471A5" w:rsidRDefault="009471A5" w:rsidP="00985B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95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97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1463</w:t>
            </w:r>
          </w:p>
        </w:tc>
      </w:tr>
      <w:tr w:rsidR="009471A5" w:rsidTr="00CC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9471A5" w:rsidRDefault="009471A5" w:rsidP="00985B1A">
            <w:pPr>
              <w:jc w:val="both"/>
            </w:pPr>
            <w:r>
              <w:t>Avg/total</w:t>
            </w:r>
          </w:p>
        </w:tc>
        <w:tc>
          <w:tcPr>
            <w:tcW w:w="1857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97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95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96</w:t>
            </w:r>
          </w:p>
        </w:tc>
        <w:tc>
          <w:tcPr>
            <w:tcW w:w="1858" w:type="dxa"/>
          </w:tcPr>
          <w:p w:rsidR="009471A5" w:rsidRDefault="009471A5" w:rsidP="00985B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1567</w:t>
            </w:r>
          </w:p>
        </w:tc>
      </w:tr>
    </w:tbl>
    <w:p w:rsidR="009471A5" w:rsidRPr="009E7A04" w:rsidRDefault="009471A5" w:rsidP="00985B1A">
      <w:pPr>
        <w:spacing w:line="240" w:lineRule="auto"/>
        <w:jc w:val="both"/>
      </w:pPr>
    </w:p>
    <w:p w:rsidR="009E7A04" w:rsidRPr="00786D79" w:rsidRDefault="006A36B7" w:rsidP="00985B1A">
      <w:pPr>
        <w:spacing w:line="240" w:lineRule="auto"/>
        <w:jc w:val="both"/>
        <w:rPr>
          <w:lang w:val="en-US"/>
        </w:rPr>
      </w:pPr>
      <w:r>
        <w:rPr>
          <w:lang w:val="en-US"/>
        </w:rPr>
        <w:t>Providing the normal training data, One-class SVM algorithm creates a model of this data. If new example is too different from oth</w:t>
      </w:r>
      <w:bookmarkStart w:id="0" w:name="_GoBack"/>
      <w:bookmarkEnd w:id="0"/>
      <w:r>
        <w:rPr>
          <w:lang w:val="en-US"/>
        </w:rPr>
        <w:t xml:space="preserve">er (training) examples, model will label this new example as </w:t>
      </w:r>
      <w:r w:rsidRPr="006A36B7">
        <w:rPr>
          <w:lang w:val="en-US"/>
        </w:rPr>
        <w:t>anomaly</w:t>
      </w:r>
      <w:r>
        <w:rPr>
          <w:lang w:val="en-US"/>
        </w:rPr>
        <w:t xml:space="preserve">. </w:t>
      </w:r>
    </w:p>
    <w:sectPr w:rsidR="009E7A04" w:rsidRPr="00786D7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B88" w:rsidRDefault="00315B88" w:rsidP="00786D79">
      <w:pPr>
        <w:spacing w:after="0" w:line="240" w:lineRule="auto"/>
      </w:pPr>
      <w:r>
        <w:separator/>
      </w:r>
    </w:p>
  </w:endnote>
  <w:endnote w:type="continuationSeparator" w:id="0">
    <w:p w:rsidR="00315B88" w:rsidRDefault="00315B88" w:rsidP="00786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B88" w:rsidRDefault="00315B88" w:rsidP="00786D79">
      <w:pPr>
        <w:spacing w:after="0" w:line="240" w:lineRule="auto"/>
      </w:pPr>
      <w:r>
        <w:separator/>
      </w:r>
    </w:p>
  </w:footnote>
  <w:footnote w:type="continuationSeparator" w:id="0">
    <w:p w:rsidR="00315B88" w:rsidRDefault="00315B88" w:rsidP="00786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D79" w:rsidRDefault="00786D79">
    <w:pPr>
      <w:pStyle w:val="Header"/>
    </w:pPr>
    <w:r>
      <w:t>Atlantbh, Internship, Data Science project, Month 1, Task 3</w:t>
    </w:r>
  </w:p>
  <w:p w:rsidR="00786D79" w:rsidRDefault="00786D79">
    <w:pPr>
      <w:pStyle w:val="Header"/>
    </w:pPr>
    <w:r>
      <w:t>Mehmed Kadrić</w:t>
    </w:r>
  </w:p>
  <w:p w:rsidR="00786D79" w:rsidRDefault="00786D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79"/>
    <w:rsid w:val="00315B88"/>
    <w:rsid w:val="0034704E"/>
    <w:rsid w:val="006A36B7"/>
    <w:rsid w:val="00786D79"/>
    <w:rsid w:val="009471A5"/>
    <w:rsid w:val="00985B1A"/>
    <w:rsid w:val="009E7A04"/>
    <w:rsid w:val="00A539E4"/>
    <w:rsid w:val="00BC1DDE"/>
    <w:rsid w:val="00D0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5A9D"/>
  <w15:chartTrackingRefBased/>
  <w15:docId w15:val="{5B3ABBAC-661A-49EC-B328-E14DE09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79"/>
  </w:style>
  <w:style w:type="paragraph" w:styleId="Footer">
    <w:name w:val="footer"/>
    <w:basedOn w:val="Normal"/>
    <w:link w:val="FooterChar"/>
    <w:uiPriority w:val="99"/>
    <w:unhideWhenUsed/>
    <w:rsid w:val="00786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79"/>
  </w:style>
  <w:style w:type="character" w:customStyle="1" w:styleId="Heading1Char">
    <w:name w:val="Heading 1 Char"/>
    <w:basedOn w:val="DefaultParagraphFont"/>
    <w:link w:val="Heading1"/>
    <w:uiPriority w:val="9"/>
    <w:rsid w:val="00786D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D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4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471A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71A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471A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eBrand</dc:creator>
  <cp:keywords/>
  <dc:description/>
  <cp:lastModifiedBy>eBrand</cp:lastModifiedBy>
  <cp:revision>2</cp:revision>
  <cp:lastPrinted>2018-03-07T10:21:00Z</cp:lastPrinted>
  <dcterms:created xsi:type="dcterms:W3CDTF">2018-03-07T09:33:00Z</dcterms:created>
  <dcterms:modified xsi:type="dcterms:W3CDTF">2018-03-07T12:32:00Z</dcterms:modified>
</cp:coreProperties>
</file>