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4F72"/>
          <w:sz w:val="32"/>
          <w:szCs w:val="32"/>
        </w:rPr>
        <w:t xml:space="preserve">Methodology: TMS-EEG Perturbational Complexity Analysis</w:t>
      </w:r>
    </w:p>
    <w:p>
      <w:pPr>
        <w:spacing w:after="240"/>
        <w:jc w:val="center"/>
      </w:pPr>
      <w:r>
        <w:rPr>
          <w:rFonts w:ascii="Arial" w:cs="Arial" w:eastAsia="Arial" w:hAnsi="Arial"/>
          <w:i/>
          <w:iCs/>
          <w:color w:val="666666"/>
          <w:sz w:val="22"/>
          <w:szCs w:val="22"/>
        </w:rPr>
        <w:t xml:space="preserve">Dual-metric approach: LZ-PCI (Casali et al. 2013) + PCIst (Comolatti et al. 2019)</w:t>
      </w:r>
    </w:p>
    <w:p>
      <w:pPr>
        <w:pStyle w:val="Heading1"/>
        <w:spacing w:after="120" w:before="360"/>
      </w:pPr>
      <w:r>
        <w:rPr>
          <w:rFonts w:ascii="Arial" w:cs="Arial" w:eastAsia="Arial" w:hAnsi="Arial"/>
          <w:b/>
          <w:bCs/>
          <w:color w:val="1B4F72"/>
          <w:sz w:val="28"/>
          <w:szCs w:val="28"/>
        </w:rPr>
        <w:t xml:space="preserve">1. Perturbational Complexity Index</w:t>
      </w:r>
    </w:p>
    <w:p>
      <w:pPr>
        <w:spacing w:after="80"/>
        <w:jc w:val="left"/>
      </w:pPr>
      <w:r>
        <w:rPr>
          <w:rFonts w:ascii="Arial" w:cs="Arial" w:eastAsia="Arial" w:hAnsi="Arial"/>
          <w:b w:val="false"/>
          <w:bCs w:val="false"/>
          <w:i w:val="false"/>
          <w:iCs w:val="false"/>
          <w:color w:val="1A1A1A"/>
          <w:sz w:val="21"/>
          <w:szCs w:val="21"/>
        </w:rPr>
        <w:t xml:space="preserve">The Perturbational Complexity Index (PCI) quantifies the spatiotemporal complexity of cortical responses to transcranial magnetic stimulation (TMS), providing a theory-grounded metric of the brain's capacity for information integration and differentiation — the two hallmarks of consciousness according to Integrated Information Theory (Tononi, 2004).</w:t>
      </w:r>
    </w:p>
    <w:p>
      <w:pPr>
        <w:spacing w:after="80"/>
        <w:jc w:val="left"/>
      </w:pPr>
      <w:r>
        <w:rPr>
          <w:rFonts w:ascii="Arial" w:cs="Arial" w:eastAsia="Arial" w:hAnsi="Arial"/>
          <w:b w:val="false"/>
          <w:bCs w:val="false"/>
          <w:i w:val="false"/>
          <w:iCs w:val="false"/>
          <w:color w:val="1A1A1A"/>
          <w:sz w:val="21"/>
          <w:szCs w:val="21"/>
        </w:rPr>
        <w:t xml:space="preserve">Our analysis pipeline implements two complementary PCI algorithms:</w:t>
      </w:r>
    </w:p>
    <w:p>
      <w:pPr>
        <w:spacing w:after="80"/>
      </w:pPr>
      <w:r>
        <w:rPr>
          <w:rFonts w:ascii="Arial" w:cs="Arial" w:eastAsia="Arial" w:hAnsi="Arial"/>
          <w:b/>
          <w:bCs/>
          <w:i w:val="false"/>
          <w:iCs w:val="false"/>
          <w:color w:val="1A1A1A"/>
          <w:sz w:val="21"/>
          <w:szCs w:val="21"/>
        </w:rPr>
        <w:t xml:space="preserve">LZ-PCI </w:t>
      </w:r>
      <w:r>
        <w:rPr>
          <w:rFonts w:ascii="Arial" w:cs="Arial" w:eastAsia="Arial" w:hAnsi="Arial"/>
          <w:b w:val="false"/>
          <w:bCs w:val="false"/>
          <w:i w:val="false"/>
          <w:iCs w:val="false"/>
          <w:color w:val="1A1A1A"/>
          <w:sz w:val="21"/>
          <w:szCs w:val="21"/>
        </w:rPr>
        <w:t xml:space="preserve">(Casali et al., 2013): Uses bootstrap significance testing, source sorting, and Lempel-Ziv compression of the binary significance matrix. Requires source reconstruction for published cutoff calibration.</w:t>
      </w:r>
    </w:p>
    <w:p>
      <w:pPr>
        <w:spacing w:after="80"/>
      </w:pPr>
      <w:r>
        <w:rPr>
          <w:rFonts w:ascii="Arial" w:cs="Arial" w:eastAsia="Arial" w:hAnsi="Arial"/>
          <w:b/>
          <w:bCs/>
          <w:i w:val="false"/>
          <w:iCs w:val="false"/>
          <w:color w:val="1A1A1A"/>
          <w:sz w:val="21"/>
          <w:szCs w:val="21"/>
        </w:rPr>
        <w:t xml:space="preserve">PCIst </w:t>
      </w:r>
      <w:r>
        <w:rPr>
          <w:rFonts w:ascii="Arial" w:cs="Arial" w:eastAsia="Arial" w:hAnsi="Arial"/>
          <w:b w:val="false"/>
          <w:bCs w:val="false"/>
          <w:i w:val="false"/>
          <w:iCs w:val="false"/>
          <w:color w:val="1A1A1A"/>
          <w:sz w:val="21"/>
          <w:szCs w:val="21"/>
        </w:rPr>
        <w:t xml:space="preserve">(Comolatti et al., 2019): Uses SVD dimensionality reduction and state transition quantification via recurrence analysis. Validated at sensor level with &lt;1 second computation time. This is our primary metric.</w:t>
      </w:r>
    </w:p>
    <w:p>
      <w:pPr>
        <w:pStyle w:val="Heading1"/>
        <w:spacing w:after="120" w:before="360"/>
      </w:pPr>
      <w:r>
        <w:rPr>
          <w:rFonts w:ascii="Arial" w:cs="Arial" w:eastAsia="Arial" w:hAnsi="Arial"/>
          <w:b/>
          <w:bCs/>
          <w:color w:val="1B4F72"/>
          <w:sz w:val="28"/>
          <w:szCs w:val="28"/>
        </w:rPr>
        <w:t xml:space="preserve">2. Data Acquisition</w:t>
      </w:r>
    </w:p>
    <w:p>
      <w:pPr>
        <w:spacing w:after="80"/>
        <w:jc w:val="left"/>
      </w:pPr>
      <w:r>
        <w:rPr>
          <w:rFonts w:ascii="Arial" w:cs="Arial" w:eastAsia="Arial" w:hAnsi="Arial"/>
          <w:b w:val="false"/>
          <w:bCs w:val="false"/>
          <w:i w:val="false"/>
          <w:iCs w:val="false"/>
          <w:color w:val="1A1A1A"/>
          <w:sz w:val="21"/>
          <w:szCs w:val="21"/>
        </w:rPr>
        <w:t xml:space="preserve">TMS-EEG recordings were acquired using a [SYSTEM] TMS stimulator coupled with a [AMPLIFIER] EEG system (XX channels, 5000 Hz sampling rate). Single-pulse TMS was delivered over [SITES] with a figure-of-eight coil. [N] pulses per session with an inter-stimulus interval of approximately [ISI] seconds were applied. Electrode impedances were maintained below [Z] kΩ throughout the recording.</w:t>
      </w:r>
    </w:p>
    <w:p>
      <w:pPr>
        <w:spacing w:after="80"/>
        <w:jc w:val="left"/>
      </w:pPr>
      <w:r>
        <w:rPr>
          <w:rFonts w:ascii="Arial" w:cs="Arial" w:eastAsia="Arial" w:hAnsi="Arial"/>
          <w:b w:val="false"/>
          <w:bCs w:val="false"/>
          <w:i/>
          <w:iCs/>
          <w:color w:val="C0392B"/>
          <w:sz w:val="21"/>
          <w:szCs w:val="21"/>
        </w:rPr>
        <w:t xml:space="preserve">[PI: Please fill in the bracketed values above with the actual experimental parameters.]</w:t>
      </w:r>
    </w:p>
    <w:p>
      <w:pPr>
        <w:pStyle w:val="Heading1"/>
        <w:spacing w:after="120" w:before="360"/>
      </w:pPr>
      <w:r>
        <w:rPr>
          <w:rFonts w:ascii="Arial" w:cs="Arial" w:eastAsia="Arial" w:hAnsi="Arial"/>
          <w:b/>
          <w:bCs/>
          <w:color w:val="1B4F72"/>
          <w:sz w:val="28"/>
          <w:szCs w:val="28"/>
        </w:rPr>
        <w:t xml:space="preserve">3. Preprocessing Pipeline</w:t>
      </w:r>
    </w:p>
    <w:p>
      <w:pPr>
        <w:spacing w:after="80"/>
        <w:jc w:val="left"/>
      </w:pPr>
      <w:r>
        <w:rPr>
          <w:rFonts w:ascii="Arial" w:cs="Arial" w:eastAsia="Arial" w:hAnsi="Arial"/>
          <w:b w:val="false"/>
          <w:bCs w:val="false"/>
          <w:i w:val="false"/>
          <w:iCs w:val="false"/>
          <w:color w:val="1A1A1A"/>
          <w:sz w:val="21"/>
          <w:szCs w:val="21"/>
        </w:rPr>
        <w:t xml:space="preserve">All preprocessing was performed using a custom Python pipeline (numpy-based, no MNE dependency for the core computation). The processing steps follow the 2023 Brain Stimulation consensus recommendations for TMS-EEG data analysis:</w:t>
      </w:r>
    </w:p>
    <w:p>
      <w:pPr>
        <w:pStyle w:val="Heading2"/>
        <w:spacing w:after="80" w:before="240"/>
      </w:pPr>
      <w:r>
        <w:rPr>
          <w:rFonts w:ascii="Arial" w:cs="Arial" w:eastAsia="Arial" w:hAnsi="Arial"/>
          <w:b/>
          <w:bCs/>
          <w:color w:val="2C3E50"/>
          <w:sz w:val="24"/>
          <w:szCs w:val="24"/>
        </w:rPr>
        <w:t xml:space="preserve">3.1 TMS Artifact Removal</w:t>
      </w:r>
    </w:p>
    <w:p>
      <w:pPr>
        <w:spacing w:after="80"/>
        <w:jc w:val="left"/>
      </w:pPr>
      <w:r>
        <w:rPr>
          <w:rFonts w:ascii="Arial" w:cs="Arial" w:eastAsia="Arial" w:hAnsi="Arial"/>
          <w:b w:val="false"/>
          <w:bCs w:val="false"/>
          <w:i w:val="false"/>
          <w:iCs w:val="false"/>
          <w:color w:val="1A1A1A"/>
          <w:sz w:val="21"/>
          <w:szCs w:val="21"/>
        </w:rPr>
        <w:t xml:space="preserve">The TMS pulse artifact was removed by cubic spline interpolation over a window of [−2, +10] ms relative to the TMS trigger. Four boundary samples on each side of the interpolation window were used to fit the cubic spline, preserving the continuity of the signal.</w:t>
      </w:r>
    </w:p>
    <w:p>
      <w:pPr>
        <w:pStyle w:val="Heading2"/>
        <w:spacing w:after="80" w:before="240"/>
      </w:pPr>
      <w:r>
        <w:rPr>
          <w:rFonts w:ascii="Arial" w:cs="Arial" w:eastAsia="Arial" w:hAnsi="Arial"/>
          <w:b/>
          <w:bCs/>
          <w:color w:val="2C3E50"/>
          <w:sz w:val="24"/>
          <w:szCs w:val="24"/>
        </w:rPr>
        <w:t xml:space="preserve">3.2 Downsampling</w:t>
      </w:r>
    </w:p>
    <w:p>
      <w:pPr>
        <w:spacing w:after="80"/>
        <w:jc w:val="left"/>
      </w:pPr>
      <w:r>
        <w:rPr>
          <w:rFonts w:ascii="Arial" w:cs="Arial" w:eastAsia="Arial" w:hAnsi="Arial"/>
          <w:b w:val="false"/>
          <w:bCs w:val="false"/>
          <w:i w:val="false"/>
          <w:iCs w:val="false"/>
          <w:color w:val="1A1A1A"/>
          <w:sz w:val="21"/>
          <w:szCs w:val="21"/>
        </w:rPr>
        <w:t xml:space="preserve">Data were downsampled from 5000 Hz to 1000 Hz (factor 5) using a zero-phase anti-alias filter (FFT-based, cosine rolloff at 0.7–0.9 × Nyquist) followed by integer decimation. The 1000 Hz sampling rate preserves all relevant TEP frequencies (0.1–45 Hz) while reducing computational load.</w:t>
      </w:r>
    </w:p>
    <w:p>
      <w:pPr>
        <w:pStyle w:val="Heading2"/>
        <w:spacing w:after="80" w:before="240"/>
      </w:pPr>
      <w:r>
        <w:rPr>
          <w:rFonts w:ascii="Arial" w:cs="Arial" w:eastAsia="Arial" w:hAnsi="Arial"/>
          <w:b/>
          <w:bCs/>
          <w:color w:val="2C3E50"/>
          <w:sz w:val="24"/>
          <w:szCs w:val="24"/>
        </w:rPr>
        <w:t xml:space="preserve">3.3 Bad Channel Detection</w:t>
      </w:r>
    </w:p>
    <w:p>
      <w:pPr>
        <w:spacing w:after="80"/>
        <w:jc w:val="left"/>
      </w:pPr>
      <w:r>
        <w:rPr>
          <w:rFonts w:ascii="Arial" w:cs="Arial" w:eastAsia="Arial" w:hAnsi="Arial"/>
          <w:b w:val="false"/>
          <w:bCs w:val="false"/>
          <w:i w:val="false"/>
          <w:iCs w:val="false"/>
          <w:color w:val="1A1A1A"/>
          <w:sz w:val="21"/>
          <w:szCs w:val="21"/>
        </w:rPr>
        <w:t xml:space="preserve">Noisy channels were identified automatically prior to re-referencing by comparing per-channel variance against the median variance across all channels. Channels exceeding 5× the median variance were excluded. This step prevents noisy channels from contaminating the common average reference.</w:t>
      </w:r>
    </w:p>
    <w:p>
      <w:pPr>
        <w:pStyle w:val="Heading2"/>
        <w:spacing w:after="80" w:before="240"/>
      </w:pPr>
      <w:r>
        <w:rPr>
          <w:rFonts w:ascii="Arial" w:cs="Arial" w:eastAsia="Arial" w:hAnsi="Arial"/>
          <w:b/>
          <w:bCs/>
          <w:color w:val="2C3E50"/>
          <w:sz w:val="24"/>
          <w:szCs w:val="24"/>
        </w:rPr>
        <w:t xml:space="preserve">3.4 Re-referencing</w:t>
      </w:r>
    </w:p>
    <w:p>
      <w:pPr>
        <w:spacing w:after="80"/>
        <w:jc w:val="left"/>
      </w:pPr>
      <w:r>
        <w:rPr>
          <w:rFonts w:ascii="Arial" w:cs="Arial" w:eastAsia="Arial" w:hAnsi="Arial"/>
          <w:b w:val="false"/>
          <w:bCs w:val="false"/>
          <w:i w:val="false"/>
          <w:iCs w:val="false"/>
          <w:color w:val="1A1A1A"/>
          <w:sz w:val="21"/>
          <w:szCs w:val="21"/>
        </w:rPr>
        <w:t xml:space="preserve">A common average reference (CAR) was applied across all remaining EEG channels, consistent with the reference scheme used in Casali et al. (2013) and Comolatti et al. (2019).</w:t>
      </w:r>
    </w:p>
    <w:p>
      <w:pPr>
        <w:pStyle w:val="Heading2"/>
        <w:spacing w:after="80" w:before="240"/>
      </w:pPr>
      <w:r>
        <w:rPr>
          <w:rFonts w:ascii="Arial" w:cs="Arial" w:eastAsia="Arial" w:hAnsi="Arial"/>
          <w:b/>
          <w:bCs/>
          <w:color w:val="2C3E50"/>
          <w:sz w:val="24"/>
          <w:szCs w:val="24"/>
        </w:rPr>
        <w:t xml:space="preserve">3.5 Bandpass Filtering</w:t>
      </w:r>
    </w:p>
    <w:p>
      <w:pPr>
        <w:spacing w:after="80"/>
        <w:jc w:val="left"/>
      </w:pPr>
      <w:r>
        <w:rPr>
          <w:rFonts w:ascii="Arial" w:cs="Arial" w:eastAsia="Arial" w:hAnsi="Arial"/>
          <w:b w:val="false"/>
          <w:bCs w:val="false"/>
          <w:i w:val="false"/>
          <w:iCs w:val="false"/>
          <w:color w:val="1A1A1A"/>
          <w:sz w:val="21"/>
          <w:szCs w:val="21"/>
        </w:rPr>
        <w:t xml:space="preserve">Data were bandpass filtered between 0.1 and 45 Hz using a zero-phase forward-backward FFT filter. The zero-phase design prevents latency shifts in TMS-evoked potential (TEP) components, which is critical for accurate PCI computation.</w:t>
      </w:r>
    </w:p>
    <w:p>
      <w:pPr>
        <w:pStyle w:val="Heading2"/>
        <w:spacing w:after="80" w:before="240"/>
      </w:pPr>
      <w:r>
        <w:rPr>
          <w:rFonts w:ascii="Arial" w:cs="Arial" w:eastAsia="Arial" w:hAnsi="Arial"/>
          <w:b/>
          <w:bCs/>
          <w:color w:val="2C3E50"/>
          <w:sz w:val="24"/>
          <w:szCs w:val="24"/>
        </w:rPr>
        <w:t xml:space="preserve">3.6 Epoching and Artifact Rejection</w:t>
      </w:r>
    </w:p>
    <w:p>
      <w:pPr>
        <w:spacing w:after="80"/>
        <w:jc w:val="left"/>
      </w:pPr>
      <w:r>
        <w:rPr>
          <w:rFonts w:ascii="Arial" w:cs="Arial" w:eastAsia="Arial" w:hAnsi="Arial"/>
          <w:b w:val="false"/>
          <w:bCs w:val="false"/>
          <w:i w:val="false"/>
          <w:iCs w:val="false"/>
          <w:color w:val="1A1A1A"/>
          <w:sz w:val="21"/>
          <w:szCs w:val="21"/>
        </w:rPr>
        <w:t xml:space="preserve">Data were segmented into epochs from −500 ms to +350 ms relative to the TMS pulse. Epochs containing peak-to-peak amplitude exceeding 150 µV in any channel were rejected. The remaining epochs were averaged to obtain the TMS-evoked potential (TEP).</w:t>
      </w:r>
    </w:p>
    <w:p>
      <w:pPr>
        <w:pStyle w:val="Heading1"/>
        <w:spacing w:after="120" w:before="360"/>
      </w:pPr>
      <w:r>
        <w:rPr>
          <w:rFonts w:ascii="Arial" w:cs="Arial" w:eastAsia="Arial" w:hAnsi="Arial"/>
          <w:b/>
          <w:bCs/>
          <w:color w:val="1B4F72"/>
          <w:sz w:val="28"/>
          <w:szCs w:val="28"/>
        </w:rPr>
        <w:t xml:space="preserve">4. LZ-PCI Computation (Casali et al. 2013)</w:t>
      </w:r>
    </w:p>
    <w:p>
      <w:pPr>
        <w:spacing w:after="80"/>
        <w:jc w:val="left"/>
      </w:pPr>
      <w:r>
        <w:rPr>
          <w:rFonts w:ascii="Arial" w:cs="Arial" w:eastAsia="Arial" w:hAnsi="Arial"/>
          <w:b w:val="false"/>
          <w:bCs w:val="false"/>
          <w:i w:val="false"/>
          <w:iCs w:val="false"/>
          <w:color w:val="1A1A1A"/>
          <w:sz w:val="21"/>
          <w:szCs w:val="21"/>
        </w:rPr>
        <w:t xml:space="preserve">The Lempel-Ziv PCI was computed following Casali et al. (2013) with the following steps:</w:t>
      </w:r>
    </w:p>
    <w:p>
      <w:pPr>
        <w:pStyle w:val="Heading2"/>
        <w:spacing w:after="80" w:before="240"/>
      </w:pPr>
      <w:r>
        <w:rPr>
          <w:rFonts w:ascii="Arial" w:cs="Arial" w:eastAsia="Arial" w:hAnsi="Arial"/>
          <w:b/>
          <w:bCs/>
          <w:color w:val="2C3E50"/>
          <w:sz w:val="24"/>
          <w:szCs w:val="24"/>
        </w:rPr>
        <w:t xml:space="preserve">4.1 Bootstrap Significance Matrix</w:t>
      </w:r>
    </w:p>
    <w:p>
      <w:pPr>
        <w:spacing w:after="80"/>
        <w:jc w:val="left"/>
      </w:pPr>
      <w:r>
        <w:rPr>
          <w:rFonts w:ascii="Arial" w:cs="Arial" w:eastAsia="Arial" w:hAnsi="Arial"/>
          <w:b w:val="false"/>
          <w:bCs w:val="false"/>
          <w:i w:val="false"/>
          <w:iCs w:val="false"/>
          <w:color w:val="1A1A1A"/>
          <w:sz w:val="21"/>
          <w:szCs w:val="21"/>
        </w:rPr>
        <w:t xml:space="preserve">For each channel, the evoked response in the post-stimulus window [+10, +300] ms was z-scored against the pre-stimulus baseline [−500, −1] ms. A non-parametric bootstrap procedure (N = 500 iterations) with spatially correlated resampling (Global Maximum Statistics; Nichols &amp; Holmes, 2002) was used to determine a single significance threshold. The same random time indices were used across all channels in each bootstrap iteration, preserving the spatial correlation structure. The binary significance matrix SS(x, t) was constructed by marking entries where |z| exceeded the bootstrap threshold (α = 0.01).</w:t>
      </w:r>
    </w:p>
    <w:p>
      <w:pPr>
        <w:pStyle w:val="Heading2"/>
        <w:spacing w:after="80" w:before="240"/>
      </w:pPr>
      <w:r>
        <w:rPr>
          <w:rFonts w:ascii="Arial" w:cs="Arial" w:eastAsia="Arial" w:hAnsi="Arial"/>
          <w:b/>
          <w:bCs/>
          <w:color w:val="2C3E50"/>
          <w:sz w:val="24"/>
          <w:szCs w:val="24"/>
        </w:rPr>
        <w:t xml:space="preserve">4.2 Quality Gates</w:t>
      </w:r>
    </w:p>
    <w:p>
      <w:pPr>
        <w:spacing w:after="80"/>
        <w:jc w:val="left"/>
      </w:pPr>
      <w:r>
        <w:rPr>
          <w:rFonts w:ascii="Arial" w:cs="Arial" w:eastAsia="Arial" w:hAnsi="Arial"/>
          <w:b w:val="false"/>
          <w:bCs w:val="false"/>
          <w:i w:val="false"/>
          <w:iCs w:val="false"/>
          <w:color w:val="1A1A1A"/>
          <w:sz w:val="21"/>
          <w:szCs w:val="21"/>
        </w:rPr>
        <w:t xml:space="preserve">Sessions were subject to three quality gates (Casali et al. 2013, Supplementary §3.3):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SNR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Signal-to-noise ratio ≥ threshold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Excludes sessions with insufficient TMS response</w:t>
            </w:r>
          </w:p>
        </w:tc>
      </w:tr>
      <w:tr>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Entropy</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H(L) ≥ min_entropy</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0.08</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Rejects trivially empty or full matrices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Active fraction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p₁ ≥ min_p1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0.01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Ensures activation exceeds false-positive rate α</w:t>
            </w:r>
          </w:p>
        </w:tc>
      </w:tr>
    </w:tbl>
    <w:p>
      <w:pPr>
        <w:pStyle w:val="Heading2"/>
        <w:spacing w:after="80" w:before="240"/>
      </w:pPr>
      <w:r>
        <w:rPr>
          <w:rFonts w:ascii="Arial" w:cs="Arial" w:eastAsia="Arial" w:hAnsi="Arial"/>
          <w:b/>
          <w:bCs/>
          <w:color w:val="2C3E50"/>
          <w:sz w:val="24"/>
          <w:szCs w:val="24"/>
        </w:rPr>
        <w:t xml:space="preserve">4.3 Source Sorting and Compression</w:t>
      </w:r>
    </w:p>
    <w:p>
      <w:pPr>
        <w:spacing w:after="80"/>
        <w:jc w:val="left"/>
      </w:pPr>
      <w:r>
        <w:rPr>
          <w:rFonts w:ascii="Arial" w:cs="Arial" w:eastAsia="Arial" w:hAnsi="Arial"/>
          <w:b w:val="false"/>
          <w:bCs w:val="false"/>
          <w:i w:val="false"/>
          <w:iCs w:val="false"/>
          <w:color w:val="1A1A1A"/>
          <w:sz w:val="21"/>
          <w:szCs w:val="21"/>
        </w:rPr>
        <w:t xml:space="preserve">Channels in the significance matrix were sorted in descending order of total activation, with ties broken deterministically by binary row value. The sorted matrix was flattened column-wise and compressed using the Lempel-Ziv 1976 (LZ76) algorithm.</w:t>
      </w:r>
    </w:p>
    <w:p>
      <w:pPr>
        <w:pStyle w:val="Heading2"/>
        <w:spacing w:after="80" w:before="240"/>
      </w:pPr>
      <w:r>
        <w:rPr>
          <w:rFonts w:ascii="Arial" w:cs="Arial" w:eastAsia="Arial" w:hAnsi="Arial"/>
          <w:b/>
          <w:bCs/>
          <w:color w:val="2C3E50"/>
          <w:sz w:val="24"/>
          <w:szCs w:val="24"/>
        </w:rPr>
        <w:t xml:space="preserve">4.4 Normalisation</w:t>
      </w:r>
    </w:p>
    <w:p>
      <w:pPr>
        <w:spacing w:after="80"/>
        <w:jc w:val="left"/>
      </w:pPr>
      <w:r>
        <w:rPr>
          <w:rFonts w:ascii="Arial" w:cs="Arial" w:eastAsia="Arial" w:hAnsi="Arial"/>
          <w:b w:val="false"/>
          <w:bCs w:val="false"/>
          <w:i w:val="false"/>
          <w:iCs w:val="false"/>
          <w:color w:val="1A1A1A"/>
          <w:sz w:val="21"/>
          <w:szCs w:val="21"/>
        </w:rPr>
        <w:t xml:space="preserve">PCI was computed as: PCI = c_L × log₂(L) / [L × H(L)], where c_L is the LZ complexity, L is the total number of spatiotemporal samples, and H(L) is the binary source entropy.</w:t>
      </w:r>
    </w:p>
    <w:p>
      <w:pPr>
        <w:pStyle w:val="Heading2"/>
        <w:spacing w:after="80" w:before="240"/>
      </w:pPr>
      <w:r>
        <w:rPr>
          <w:rFonts w:ascii="Arial" w:cs="Arial" w:eastAsia="Arial" w:hAnsi="Arial"/>
          <w:b/>
          <w:bCs/>
          <w:color w:val="2C3E50"/>
          <w:sz w:val="24"/>
          <w:szCs w:val="24"/>
        </w:rPr>
        <w:t xml:space="preserve">4.5 Important Caveat: Sensor-Level LZ-PCI</w:t>
      </w:r>
    </w:p>
    <w:p>
      <w:pPr>
        <w:spacing w:after="80"/>
        <w:jc w:val="left"/>
      </w:pPr>
      <w:r>
        <w:rPr>
          <w:rFonts w:ascii="Arial" w:cs="Arial" w:eastAsia="Arial" w:hAnsi="Arial"/>
          <w:b w:val="false"/>
          <w:bCs w:val="false"/>
          <w:i/>
          <w:iCs/>
          <w:color w:val="1A1A1A"/>
          <w:sz w:val="21"/>
          <w:szCs w:val="21"/>
        </w:rPr>
        <w:t xml:space="preserve">Our LZ-PCI implementation operates at the sensor (electrode) level using CSD/CAR rather than full source reconstruction. The original Casali et al. (2013) method used a 3-sphere BERG forward model with ~5000 cortical dipoles obtained via inverse solution. The published consciousness/unconsciousness cutoff (PCI* = 0.31, Casarotto et al. 2016) was calibrated on source-reconstructed data and should not be directly applied to sensor-level PCI values. We report LZ-PCI values alongside PCIst, which is validated at sensor level.</w:t>
      </w:r>
    </w:p>
    <w:p>
      <w:pPr>
        <w:pStyle w:val="Heading1"/>
        <w:spacing w:after="120" w:before="360"/>
      </w:pPr>
      <w:r>
        <w:rPr>
          <w:rFonts w:ascii="Arial" w:cs="Arial" w:eastAsia="Arial" w:hAnsi="Arial"/>
          <w:b/>
          <w:bCs/>
          <w:color w:val="1B4F72"/>
          <w:sz w:val="28"/>
          <w:szCs w:val="28"/>
        </w:rPr>
        <w:t xml:space="preserve">5. PCIst Computation (Comolatti et al. 2019)</w:t>
      </w:r>
    </w:p>
    <w:p>
      <w:pPr>
        <w:spacing w:after="80"/>
        <w:jc w:val="left"/>
      </w:pPr>
      <w:r>
        <w:rPr>
          <w:rFonts w:ascii="Arial" w:cs="Arial" w:eastAsia="Arial" w:hAnsi="Arial"/>
          <w:b w:val="false"/>
          <w:bCs w:val="false"/>
          <w:i w:val="false"/>
          <w:iCs w:val="false"/>
          <w:color w:val="1A1A1A"/>
          <w:sz w:val="21"/>
          <w:szCs w:val="21"/>
        </w:rPr>
        <w:t xml:space="preserve">PCIst was computed as the primary complexity metric, following Comolatti et al. (2019). PCIst was specifically designed to work at the sensor level without requiring source reconstruction, and has been validated with a cutoff discriminating consciousness from unconsciousness (Comolatti et al. 2019; Casarotto et al. 2022).</w:t>
      </w:r>
    </w:p>
    <w:p>
      <w:pPr>
        <w:pStyle w:val="Heading2"/>
        <w:spacing w:after="80" w:before="240"/>
      </w:pPr>
      <w:r>
        <w:rPr>
          <w:rFonts w:ascii="Arial" w:cs="Arial" w:eastAsia="Arial" w:hAnsi="Arial"/>
          <w:b/>
          <w:bCs/>
          <w:color w:val="2C3E50"/>
          <w:sz w:val="24"/>
          <w:szCs w:val="24"/>
        </w:rPr>
        <w:t xml:space="preserve">5.1 SVD Dimensionality Reduction</w:t>
      </w:r>
    </w:p>
    <w:p>
      <w:pPr>
        <w:spacing w:after="80"/>
        <w:jc w:val="left"/>
      </w:pPr>
      <w:r>
        <w:rPr>
          <w:rFonts w:ascii="Arial" w:cs="Arial" w:eastAsia="Arial" w:hAnsi="Arial"/>
          <w:b w:val="false"/>
          <w:bCs w:val="false"/>
          <w:i w:val="false"/>
          <w:iCs w:val="false"/>
          <w:color w:val="1A1A1A"/>
          <w:sz w:val="21"/>
          <w:szCs w:val="21"/>
        </w:rPr>
        <w:t xml:space="preserve">Singular Value Decomposition (SVD) was performed on the evoked response in the post-stimulus window [0, 300] ms. The full signal was projected into the SVD basis. Components were retained according to two criteria: (a) cumulative variance explained ≥ 99%, and (b) per-component signal-to-noise ratio (SNR) &gt; 1.1, where SNR = √(mean_power_response / mean_power_baseline).</w:t>
      </w:r>
    </w:p>
    <w:p>
      <w:pPr>
        <w:pStyle w:val="Heading2"/>
        <w:spacing w:after="80" w:before="240"/>
      </w:pPr>
      <w:r>
        <w:rPr>
          <w:rFonts w:ascii="Arial" w:cs="Arial" w:eastAsia="Arial" w:hAnsi="Arial"/>
          <w:b/>
          <w:bCs/>
          <w:color w:val="2C3E50"/>
          <w:sz w:val="24"/>
          <w:szCs w:val="24"/>
        </w:rPr>
        <w:t xml:space="preserve">5.2 State Transition Quantification</w:t>
      </w:r>
    </w:p>
    <w:p>
      <w:pPr>
        <w:spacing w:after="80"/>
        <w:jc w:val="left"/>
      </w:pPr>
      <w:r>
        <w:rPr>
          <w:rFonts w:ascii="Arial" w:cs="Arial" w:eastAsia="Arial" w:hAnsi="Arial"/>
          <w:b w:val="false"/>
          <w:bCs w:val="false"/>
          <w:i w:val="false"/>
          <w:iCs w:val="false"/>
          <w:color w:val="1A1A1A"/>
          <w:sz w:val="21"/>
          <w:szCs w:val="21"/>
        </w:rPr>
        <w:t xml:space="preserve">For each retained SVD component, pairwise Euclidean distance matrices were computed for the baseline [−400, −50] ms and response [0, 300] ms intervals. A threshold ε was swept from the median of the baseline distance matrix to the maximum of the response distance matrix in 100 steps. At each ε, recurrence matrices were binarised (D ≤ ε → 1) and transition matrices were computed as the column-wise absolute differences of the recurrence matrices. The normalised number of state transitions (NST) was counted as the sum of the transition matrix divided by the number of timepoints squared.</w:t>
      </w:r>
    </w:p>
    <w:p>
      <w:pPr>
        <w:pStyle w:val="Heading2"/>
        <w:spacing w:after="80" w:before="240"/>
      </w:pPr>
      <w:r>
        <w:rPr>
          <w:rFonts w:ascii="Arial" w:cs="Arial" w:eastAsia="Arial" w:hAnsi="Arial"/>
          <w:b/>
          <w:bCs/>
          <w:color w:val="2C3E50"/>
          <w:sz w:val="24"/>
          <w:szCs w:val="24"/>
        </w:rPr>
        <w:t xml:space="preserve">5.3 ΔNST Maximisation</w:t>
      </w:r>
    </w:p>
    <w:p>
      <w:pPr>
        <w:spacing w:after="80"/>
        <w:jc w:val="left"/>
      </w:pPr>
      <w:r>
        <w:rPr>
          <w:rFonts w:ascii="Arial" w:cs="Arial" w:eastAsia="Arial" w:hAnsi="Arial"/>
          <w:b w:val="false"/>
          <w:bCs w:val="false"/>
          <w:i w:val="false"/>
          <w:iCs w:val="false"/>
          <w:color w:val="1A1A1A"/>
          <w:sz w:val="21"/>
          <w:szCs w:val="21"/>
        </w:rPr>
        <w:t xml:space="preserve">For each component, the differential state transition count was computed as ΔNST(ε) = NST_response(ε) − k × NST_baseline(ε), where k = 1.2 is a noise-control parameter. The threshold ε* maximising ΔNST was selected. Negative ΔNST values were set to zero (no contribution).</w:t>
      </w:r>
    </w:p>
    <w:p>
      <w:pPr>
        <w:pStyle w:val="Heading2"/>
        <w:spacing w:after="80" w:before="240"/>
      </w:pPr>
      <w:r>
        <w:rPr>
          <w:rFonts w:ascii="Arial" w:cs="Arial" w:eastAsia="Arial" w:hAnsi="Arial"/>
          <w:b/>
          <w:bCs/>
          <w:color w:val="2C3E50"/>
          <w:sz w:val="24"/>
          <w:szCs w:val="24"/>
        </w:rPr>
        <w:t xml:space="preserve">5.4 PCIst Value</w:t>
      </w:r>
    </w:p>
    <w:p>
      <w:pPr>
        <w:spacing w:after="80"/>
        <w:jc w:val="left"/>
      </w:pPr>
      <w:r>
        <w:rPr>
          <w:rFonts w:ascii="Arial" w:cs="Arial" w:eastAsia="Arial" w:hAnsi="Arial"/>
          <w:b w:val="false"/>
          <w:bCs w:val="false"/>
          <w:i w:val="false"/>
          <w:iCs w:val="false"/>
          <w:color w:val="1A1A1A"/>
          <w:sz w:val="21"/>
          <w:szCs w:val="21"/>
        </w:rPr>
        <w:t xml:space="preserve">The final PCIst value is the sum of max(0, ΔNST*_n × n_response) across all N retained components. Higher PCIst values indicate greater spatiotemporal complexity of the cortical response, consistent with preserved consciousness.</w:t>
      </w:r>
    </w:p>
    <w:p>
      <w:pPr>
        <w:pStyle w:val="Heading1"/>
        <w:spacing w:after="120" w:before="360"/>
      </w:pPr>
      <w:r>
        <w:rPr>
          <w:rFonts w:ascii="Arial" w:cs="Arial" w:eastAsia="Arial" w:hAnsi="Arial"/>
          <w:b/>
          <w:bCs/>
          <w:color w:val="1B4F72"/>
          <w:sz w:val="28"/>
          <w:szCs w:val="28"/>
        </w:rPr>
        <w:t xml:space="preserve">6. Analysis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Sampling rate (analysis)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1000 Hz</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Downsampled from 5000 Hz</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Bandpass filter</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0.1–45 Hz, zero-phase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Casali et al. 2013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Artifact window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[−2, +10] 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Cubic spline interpolation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LZ-PCI post-stim window</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[+10, +300] ms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Casali et al. 2013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PCIst baseline window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[−400, −50] ms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Comolatti et al. 2019</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PCIst response window</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[0, +300] ms</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Comolatti et al. 2019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Bootstrap iterations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Non-parametric, correlated</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Bootstrap α</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0.01</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Casali et al. 2013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Epoch rejection threshold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150 µV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Peak-to-peak</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SVD max variance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99%</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Comolatti et al. 2019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SVD min SNR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Comolatti et al. 2019</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PCIst k (noise control)</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1A1A1A"/>
                <w:sz w:val="20"/>
                <w:szCs w:val="20"/>
              </w:rPr>
              <w:t xml:space="preserve">Comolatti et al. 2019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PCIst threshold steps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1A"/>
                <w:sz w:val="20"/>
                <w:szCs w:val="20"/>
              </w:rPr>
              <w:t xml:space="preserve">Comolatti et al. 2019</w:t>
            </w:r>
          </w:p>
        </w:tc>
      </w:tr>
    </w:tbl>
    <w:p>
      <w:pPr>
        <w:pStyle w:val="Heading1"/>
        <w:spacing w:after="120" w:before="360"/>
      </w:pPr>
      <w:r>
        <w:rPr>
          <w:rFonts w:ascii="Arial" w:cs="Arial" w:eastAsia="Arial" w:hAnsi="Arial"/>
          <w:b/>
          <w:bCs/>
          <w:color w:val="1B4F72"/>
          <w:sz w:val="28"/>
          <w:szCs w:val="28"/>
        </w:rPr>
        <w:t xml:space="preserve">7. References</w:t>
      </w:r>
    </w:p>
    <w:p>
      <w:pPr>
        <w:spacing w:after="80"/>
        <w:jc w:val="left"/>
      </w:pPr>
      <w:r>
        <w:rPr>
          <w:rFonts w:ascii="Arial" w:cs="Arial" w:eastAsia="Arial" w:hAnsi="Arial"/>
          <w:b w:val="false"/>
          <w:bCs w:val="false"/>
          <w:i w:val="false"/>
          <w:iCs w:val="false"/>
          <w:color w:val="1A1A1A"/>
          <w:sz w:val="21"/>
          <w:szCs w:val="21"/>
        </w:rPr>
        <w:t xml:space="preserve">Casali AG, Gosseries O, Rosanova M, et al. (2013). A theoretically based index of consciousness independent of sensory processing and behavior. Sci Transl Med, 5(198), 198ra105.</w:t>
      </w:r>
    </w:p>
    <w:p>
      <w:pPr>
        <w:spacing w:after="80"/>
        <w:jc w:val="left"/>
      </w:pPr>
      <w:r>
        <w:rPr>
          <w:rFonts w:ascii="Arial" w:cs="Arial" w:eastAsia="Arial" w:hAnsi="Arial"/>
          <w:b w:val="false"/>
          <w:bCs w:val="false"/>
          <w:i w:val="false"/>
          <w:iCs w:val="false"/>
          <w:color w:val="1A1A1A"/>
          <w:sz w:val="21"/>
          <w:szCs w:val="21"/>
        </w:rPr>
        <w:t xml:space="preserve">Casarotto S, Comanducci A, Rosanova M, et al. (2016). Stratification of unresponsive patients by an independently validated index of brain complexity. Ann Neurol, 80(5), 718-729.</w:t>
      </w:r>
    </w:p>
    <w:p>
      <w:pPr>
        <w:spacing w:after="80"/>
        <w:jc w:val="left"/>
      </w:pPr>
      <w:r>
        <w:rPr>
          <w:rFonts w:ascii="Arial" w:cs="Arial" w:eastAsia="Arial" w:hAnsi="Arial"/>
          <w:b w:val="false"/>
          <w:bCs w:val="false"/>
          <w:i w:val="false"/>
          <w:iCs w:val="false"/>
          <w:color w:val="1A1A1A"/>
          <w:sz w:val="21"/>
          <w:szCs w:val="21"/>
        </w:rPr>
        <w:t xml:space="preserve">Comolatti R, Pigorini A, Casarotto S, et al. (2019). A fast and general method to empirically estimate the complexity of brain responses to transcranial and intracranial stimulations. Brain Stimulation, 12(5), 1280-1289.</w:t>
      </w:r>
    </w:p>
    <w:p>
      <w:pPr>
        <w:spacing w:after="80"/>
        <w:jc w:val="left"/>
      </w:pPr>
      <w:r>
        <w:rPr>
          <w:rFonts w:ascii="Arial" w:cs="Arial" w:eastAsia="Arial" w:hAnsi="Arial"/>
          <w:b w:val="false"/>
          <w:bCs w:val="false"/>
          <w:i w:val="false"/>
          <w:iCs w:val="false"/>
          <w:color w:val="1A1A1A"/>
          <w:sz w:val="21"/>
          <w:szCs w:val="21"/>
        </w:rPr>
        <w:t xml:space="preserve">Nichols TE &amp; Holmes AP (2002). Nonparametric permutation tests for functional neuroimaging: a primer with examples. Hum Brain Mapp, 15(1), 1-25.</w:t>
      </w:r>
    </w:p>
    <w:p>
      <w:pPr>
        <w:spacing w:after="80"/>
        <w:jc w:val="left"/>
      </w:pPr>
      <w:r>
        <w:rPr>
          <w:rFonts w:ascii="Arial" w:cs="Arial" w:eastAsia="Arial" w:hAnsi="Arial"/>
          <w:b w:val="false"/>
          <w:bCs w:val="false"/>
          <w:i w:val="false"/>
          <w:iCs w:val="false"/>
          <w:color w:val="1A1A1A"/>
          <w:sz w:val="21"/>
          <w:szCs w:val="21"/>
        </w:rPr>
        <w:t xml:space="preserve">Tononi G (2004). An information integration theory of consciousness. BMC Neuroscience, 5, 42.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PCI/PCIst Analysis — Methodology Section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2026-03-25T09:50:29.210Z</dcterms:created>
  <dcterms:modified xsi:type="dcterms:W3CDTF">2026-03-25T09:50:29.220Z</dcterms:modified>
</cp:coreProperties>
</file>

<file path=docProps/custom.xml><?xml version="1.0" encoding="utf-8"?>
<Properties xmlns="http://schemas.openxmlformats.org/officeDocument/2006/custom-properties" xmlns:vt="http://schemas.openxmlformats.org/officeDocument/2006/docPropsVTypes"/>
</file>