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050"/>
          <w:sz w:val="40"/>
          <w:szCs w:val="40"/>
        </w:rPr>
        <w:t xml:space="preserve">PERTURBATIONAL COMPLEXITY INDEX</w:t>
      </w:r>
    </w:p>
    <w:p>
      <w:pPr>
        <w:spacing w:after="120"/>
        <w:jc w:val="center"/>
      </w:pPr>
      <w:r>
        <w:rPr>
          <w:rFonts w:ascii="Arial" w:cs="Arial" w:eastAsia="Arial" w:hAnsi="Arial"/>
          <w:b/>
          <w:bCs/>
          <w:color w:val="1A3050"/>
          <w:sz w:val="40"/>
          <w:szCs w:val="40"/>
        </w:rPr>
        <w:t xml:space="preserve">(PCI) CALCULATOR</w:t>
      </w:r>
    </w:p>
    <w:p>
      <w:pPr>
        <w:spacing w:after="400"/>
        <w:jc w:val="center"/>
      </w:pPr>
      <w:r>
        <w:rPr>
          <w:rFonts w:ascii="Arial" w:cs="Arial" w:eastAsia="Arial" w:hAnsi="Arial"/>
          <w:color w:val="2D6A8A"/>
          <w:sz w:val="28"/>
          <w:szCs w:val="28"/>
        </w:rPr>
        <w:t xml:space="preserve">Complete Project Documentation</w:t>
      </w:r>
    </w:p>
    <w:p>
      <w:pPr>
        <w:spacing w:after="100"/>
        <w:jc w:val="center"/>
      </w:pPr>
      <w:r>
        <w:rPr>
          <w:rFonts w:ascii="Arial" w:cs="Arial" w:eastAsia="Arial" w:hAnsi="Arial"/>
          <w:i/>
          <w:iCs/>
          <w:color w:val="555555"/>
          <w:sz w:val="22"/>
          <w:szCs w:val="22"/>
        </w:rPr>
        <w:t xml:space="preserve">A TMS-EEG Analysis Tool Implementing Casali et al. (2013)</w:t>
      </w:r>
    </w:p>
    <w:p>
      <w:pPr>
        <w:spacing w:after="100"/>
        <w:jc w:val="center"/>
      </w:pPr>
      <w:r>
        <w:rPr>
          <w:rFonts w:ascii="Arial" w:cs="Arial" w:eastAsia="Arial" w:hAnsi="Arial"/>
          <w:i/>
          <w:iCs/>
          <w:color w:val="555555"/>
          <w:sz w:val="22"/>
          <w:szCs w:val="22"/>
        </w:rPr>
        <w:t xml:space="preserve">with Corrections and Improvements</w:t>
      </w:r>
    </w:p>
    <w:p>
      <w:pPr>
        <w:spacing w:before="1200"/>
      </w:pPr>
    </w:p>
    <w:p>
      <w:pPr>
        <w:spacing w:after="80"/>
        <w:jc w:val="center"/>
      </w:pPr>
      <w:r>
        <w:rPr>
          <w:rFonts w:ascii="Arial" w:cs="Arial" w:eastAsia="Arial" w:hAnsi="Arial"/>
          <w:b/>
          <w:bCs/>
          <w:sz w:val="24"/>
          <w:szCs w:val="24"/>
        </w:rPr>
        <w:t xml:space="preserve">Berke Isler</w:t>
      </w:r>
    </w:p>
    <w:p>
      <w:pPr>
        <w:spacing w:after="80"/>
        <w:jc w:val="center"/>
      </w:pPr>
      <w:r>
        <w:rPr>
          <w:rFonts w:ascii="Arial" w:cs="Arial" w:eastAsia="Arial" w:hAnsi="Arial"/>
          <w:color w:val="2D6A8A"/>
          <w:sz w:val="20"/>
          <w:szCs w:val="20"/>
        </w:rPr>
        <w:t xml:space="preserve">mehmetberkeisler@gmail.com</w:t>
      </w:r>
    </w:p>
    <w:p>
      <w:pPr>
        <w:spacing w:after="80"/>
        <w:jc w:val="center"/>
      </w:pPr>
      <w:r>
        <w:rPr>
          <w:rFonts w:ascii="Arial" w:cs="Arial" w:eastAsia="Arial" w:hAnsi="Arial"/>
          <w:color w:val="666666"/>
          <w:sz w:val="20"/>
          <w:szCs w:val="20"/>
        </w:rPr>
        <w:t xml:space="preserve">February 2026</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80"/>
      </w:pPr>
      <w:r>
        <w:t xml:space="preserve">1. Introduction</w:t>
      </w:r>
    </w:p>
    <w:p>
      <w:pPr>
        <w:spacing w:after="180" w:line="276"/>
      </w:pPr>
      <w:r>
        <w:t xml:space="preserve">This document provides a comprehensive, detailed explanation of the Perturbational Complexity Index (PCI) Calculator project. It covers every aspect of the system: the scientific background, the mathematical theory, each processing step, the software architecture, the user interface, the corrections applied during code review, and the reasoning behind key design decisions such as why Current Source Density (CSD) is used instead of the original inverse-solution approach.</w:t>
      </w:r>
    </w:p>
    <w:p>
      <w:pPr>
        <w:spacing w:after="180" w:line="276"/>
      </w:pPr>
      <w:r>
        <w:t xml:space="preserve">The project is a complete, end-to-end implementation of the PCI algorithm as proposed by Casali et al. (2013) in their landmark paper published in Science Translational Medicine. Starting from raw BrainVision TMS-EEG recordings, the software performs the full processing pipeline and presents results through an interactive Streamlit web interface.</w:t>
      </w:r>
    </w:p>
    <w:p>
      <w:pPr>
        <w:pStyle w:val="Heading1"/>
        <w:spacing w:before="360" w:after="180"/>
      </w:pPr>
      <w:r>
        <w:t xml:space="preserve">2. Scientific Background</w:t>
      </w:r>
    </w:p>
    <w:p>
      <w:pPr>
        <w:pStyle w:val="Heading2"/>
        <w:spacing w:before="240" w:after="180"/>
      </w:pPr>
      <w:r>
        <w:t xml:space="preserve">2.1 The Problem of Measuring Consciousness</w:t>
      </w:r>
    </w:p>
    <w:p>
      <w:pPr>
        <w:spacing w:after="180" w:line="276"/>
      </w:pPr>
      <w:r>
        <w:t xml:space="preserve">One of the most challenging problems in clinical neuroscience is determining whether a patient who cannot communicate is conscious. Patients under general anaesthesia, in coma, in a vegetative state (VS/UWS), or in a minimally conscious state (MCS) cannot report their subjective experience through behaviour. Traditional clinical assessment relies on observing responses to commands or stimuli, which can miss consciousness in patients who are aware but unable to move (locked-in syndrome) or who have fluctuating awareness.</w:t>
      </w:r>
    </w:p>
    <w:p>
      <w:pPr>
        <w:spacing w:after="180" w:line="276"/>
      </w:pPr>
      <w:r>
        <w:t xml:space="preserve">The Perturbational Complexity Index was developed to address this gap by providing an objective, theory-grounded, single-number measure of the brain’s capacity for consciousness that does not require any behavioural cooperation from the patient.</w:t>
      </w:r>
    </w:p>
    <w:p>
      <w:pPr>
        <w:pStyle w:val="Heading2"/>
        <w:spacing w:before="240" w:after="180"/>
      </w:pPr>
      <w:r>
        <w:t xml:space="preserve">2.2 Theoretical Foundation: Integrated Information Theory</w:t>
      </w:r>
    </w:p>
    <w:p>
      <w:pPr>
        <w:spacing w:after="180" w:line="276"/>
      </w:pPr>
      <w:r>
        <w:t xml:space="preserve">PCI is grounded in the Integrated Information Theory (IIT) of consciousness, which proposes that consciousness corresponds to a system’s capacity to integrate information. According to IIT, a conscious system must simultaneously possess two properties:</w:t>
      </w:r>
    </w:p>
    <w:p>
      <w:pPr>
        <w:pStyle w:val="ListParagraph"/>
        <w:numPr>
          <w:ilvl w:val="0"/>
          <w:numId w:val="2"/>
        </w:numPr>
        <w:spacing w:after="100" w:line="276"/>
      </w:pPr>
      <w:r>
        <w:rPr>
          <w:b/>
          <w:bCs/>
        </w:rPr>
        <w:t xml:space="preserve">Integration</w:t>
      </w:r>
      <w:r>
        <w:t xml:space="preserve"> — Different parts of the brain must interact causally, so that the whole is more than the sum of its parts. A stimulus in one region should propagate and affect other regions.</w:t>
      </w:r>
    </w:p>
    <w:p>
      <w:pPr>
        <w:pStyle w:val="ListParagraph"/>
        <w:numPr>
          <w:ilvl w:val="0"/>
          <w:numId w:val="2"/>
        </w:numPr>
        <w:spacing w:after="100" w:line="276"/>
      </w:pPr>
      <w:r>
        <w:rPr>
          <w:b/>
          <w:bCs/>
        </w:rPr>
        <w:t xml:space="preserve">Differentiation</w:t>
      </w:r>
      <w:r>
        <w:t xml:space="preserve"> — Each part of the system must respond in its own unique way, producing a large repertoire of distinct states. The response should not be uniform or stereotyped.</w:t>
      </w:r>
    </w:p>
    <w:p>
      <w:pPr>
        <w:spacing w:after="180" w:line="276"/>
      </w:pPr>
      <w:r>
        <w:t xml:space="preserve">A brain that is highly integrated but not differentiated (e.g., during an epileptic seizure where all neurons fire synchronously) would have low complexity. A brain that is differentiated but not integrated (e.g., in deep NREM sleep where cortical areas respond locally but activity does not propagate) would also have low complexity. Only a brain that is both integrated and differentiated — as in normal wakefulness — produces high complexity. PCI captures this by measuring the spatiotemporal complexity of the brain’s response to a direct perturbation.</w:t>
      </w:r>
    </w:p>
    <w:p>
      <w:pPr>
        <w:pStyle w:val="Heading2"/>
        <w:spacing w:before="240" w:after="180"/>
      </w:pPr>
      <w:r>
        <w:t xml:space="preserve">2.3 What TMS-EEG Is</w:t>
      </w:r>
    </w:p>
    <w:p>
      <w:pPr>
        <w:spacing w:after="180" w:line="276"/>
      </w:pPr>
      <w:r>
        <w:t xml:space="preserve">Transcranial Magnetic Stimulation (TMS) is a non-invasive technique that uses a rapidly changing magnetic field to induce electrical currents in a targeted region of the cortex. When combined with high-density electroencephalography (EEG, typically 32 to 256 channels), TMS-EEG allows researchers to directly perturb a cortical area and record how that perturbation propagates through the brain’s networks over the following few hundred milliseconds.</w:t>
      </w:r>
    </w:p>
    <w:p>
      <w:pPr>
        <w:spacing w:after="180" w:line="276"/>
      </w:pPr>
      <w:r>
        <w:t xml:space="preserve">The TMS pulse acts as a controlled “ping” to the brain. In a conscious brain, this ping triggers a complex cascade of activation that spreads widely and evolves through many distinct spatial patterns. In an unconscious brain, the response is either absent, local (does not spread), or stereotyped (the same simple pattern everywhere). PCI quantifies this difference using algorithmic complexity.</w:t>
      </w:r>
    </w:p>
    <w:p>
      <w:pPr>
        <w:pStyle w:val="Heading2"/>
        <w:spacing w:before="240" w:after="180"/>
      </w:pPr>
      <w:r>
        <w:t xml:space="preserve">2.4 Clinical Validation</w:t>
      </w:r>
    </w:p>
    <w:p>
      <w:pPr>
        <w:spacing w:after="180" w:line="276"/>
      </w:pPr>
      <w:r>
        <w:t xml:space="preserve">Casali et al. (2013) tested PCI across 208 TMS-EEG sessions in 52 subjects covering a wide range of conditions: wakefulness, REM and NREM sleep, general anaesthesia with three different agents (midazolam, propofol, xenon), locked-in syndrome, vegetative state, and minimally conscious state. They found:</w:t>
      </w:r>
    </w:p>
    <w:p>
      <w:pPr>
        <w:pStyle w:val="ListParagraph"/>
        <w:numPr>
          <w:ilvl w:val="0"/>
          <w:numId w:val="2"/>
        </w:numPr>
        <w:spacing w:after="100" w:line="276"/>
      </w:pPr>
      <w:r>
        <w:t xml:space="preserve">PCI correctly classified 100% of healthy awake subjects as conscious.</w:t>
      </w:r>
    </w:p>
    <w:p>
      <w:pPr>
        <w:pStyle w:val="ListParagraph"/>
        <w:numPr>
          <w:ilvl w:val="0"/>
          <w:numId w:val="2"/>
        </w:numPr>
        <w:spacing w:after="100" w:line="276"/>
      </w:pPr>
      <w:r>
        <w:t xml:space="preserve">A threshold of PCI = 0.31 was never exceeded during confirmed unconsciousness (deep sleep, anaesthesia, VS).</w:t>
      </w:r>
    </w:p>
    <w:p>
      <w:pPr>
        <w:pStyle w:val="ListParagraph"/>
        <w:numPr>
          <w:ilvl w:val="0"/>
          <w:numId w:val="2"/>
        </w:numPr>
        <w:spacing w:after="100" w:line="276"/>
      </w:pPr>
      <w:r>
        <w:t xml:space="preserve">PCI above 0.44 was consistently observed during confirmed consciousness (wakefulness, dreaming, locked-in).</w:t>
      </w:r>
    </w:p>
    <w:p>
      <w:pPr>
        <w:pStyle w:val="ListParagraph"/>
        <w:numPr>
          <w:ilvl w:val="0"/>
          <w:numId w:val="2"/>
        </w:numPr>
        <w:spacing w:after="100" w:line="276"/>
      </w:pPr>
      <w:r>
        <w:t xml:space="preserve">Values between 0.31 and 0.44 corresponded to intermediate states like MCS.</w:t>
      </w:r>
    </w:p>
    <w:p>
      <w:pPr>
        <w:spacing w:after="60"/>
      </w:pPr>
    </w:p>
    <w:p>
      <w:pPr>
        <w:pStyle w:val="Heading1"/>
        <w:spacing w:before="360" w:after="180"/>
      </w:pPr>
      <w:r>
        <w:t xml:space="preserve">3. Mathematical Formulation</w:t>
      </w:r>
    </w:p>
    <w:p>
      <w:pPr>
        <w:spacing w:after="180" w:line="276"/>
      </w:pPr>
      <w:r>
        <w:t xml:space="preserve">The PCI computation relies on a sequence of mathematical operations that transform raw brain signals into a single complexity index. This section presents each step formally.</w:t>
      </w:r>
    </w:p>
    <w:p>
      <w:pPr>
        <w:pStyle w:val="Heading2"/>
        <w:spacing w:before="240" w:after="180"/>
      </w:pPr>
      <w:r>
        <w:t xml:space="preserve">3.1 Binary Significance Matrix SS(x,t)</w:t>
      </w:r>
    </w:p>
    <w:p>
      <w:pPr>
        <w:spacing w:after="180" w:line="276"/>
      </w:pPr>
      <w:r>
        <w:t xml:space="preserve">The core data structure is a binary matrix </w:t>
      </w:r>
      <w:r>
        <w:rPr>
          <w:b/>
          <w:bCs/>
        </w:rPr>
        <w:t xml:space="preserve">SS(x, t)</w:t>
      </w:r>
      <w:r>
        <w:t xml:space="preserve"> of dimensions L₁ × L₂, where L₁ is the number of cortical sources and L₂ is the number of post-stimulus time samples. Each entry is either 1 (the source at that time point showed a statistically significant response to TMS) or 0 (it did not). The construction of SS via bootstrap statistics is described in Section 5.</w:t>
      </w:r>
    </w:p>
    <w:p>
      <w:pPr>
        <w:pStyle w:val="Heading2"/>
        <w:spacing w:before="240" w:after="180"/>
      </w:pPr>
      <w:r>
        <w:t xml:space="preserve">3.2 Source Entropy H(L)</w:t>
      </w:r>
    </w:p>
    <w:p>
      <w:pPr>
        <w:spacing w:after="180" w:line="276"/>
      </w:pPr>
      <w:r>
        <w:t xml:space="preserve">The fraction of active entries in SS is:</w:t>
      </w:r>
    </w:p>
    <w:p>
      <w:pPr>
        <w:spacing w:after="180" w:line="276"/>
      </w:pPr>
      <w:r>
        <w:rPr>
          <w:i/>
          <w:iCs/>
        </w:rPr>
        <w:t xml:space="preserve">    p₁ = (1/L) ∑ SS(x,t)</w:t>
      </w:r>
    </w:p>
    <w:p>
      <w:pPr>
        <w:spacing w:after="180" w:line="276"/>
      </w:pPr>
      <w:r>
        <w:t xml:space="preserve">where L = L₁ × L₂ is the total number of spatiotemporal samples. The binary source entropy is:</w:t>
      </w:r>
    </w:p>
    <w:p>
      <w:pPr>
        <w:spacing w:after="180" w:line="276"/>
      </w:pPr>
      <w:r>
        <w:rPr>
          <w:i/>
          <w:iCs/>
        </w:rPr>
        <w:t xml:space="preserve">    H(L) = −p₁ log₂(p₁) − (1 − p₁) log₂(1 − p₁)</w:t>
      </w:r>
    </w:p>
    <w:p>
      <w:pPr>
        <w:spacing w:after="180" w:line="276"/>
      </w:pPr>
      <w:r>
        <w:t xml:space="preserve">This measures the information content per sample. If almost all entries are 0 (no response) or almost all are 1 (noise-dominated), H is low and PCI is unstable — the quality gate catches these cases.</w:t>
      </w:r>
    </w:p>
    <w:p>
      <w:pPr>
        <w:pStyle w:val="Heading2"/>
        <w:spacing w:before="240" w:after="180"/>
      </w:pPr>
      <w:r>
        <w:t xml:space="preserve">3.3 Lempel-Ziv Complexity (LZ76)</w:t>
      </w:r>
    </w:p>
    <w:p>
      <w:pPr>
        <w:spacing w:after="180" w:line="276"/>
      </w:pPr>
      <w:r>
        <w:t xml:space="preserve">The binary matrix is first sorted by descending row activation (optimal ordination) to minimise artefactual spatial complexity, then flattened in column-major (Fortran) order into a 1D binary string. This means the scanning goes: all sources at time 1, then all sources at time 2, and so on — capturing the spatial pattern at each instant.</w:t>
      </w:r>
    </w:p>
    <w:p>
      <w:pPr>
        <w:spacing w:after="180" w:line="276"/>
      </w:pPr>
      <w:r>
        <w:t xml:space="preserve">The LZ76 exhaustive-parsing algorithm processes this string by scanning left-to-right, counting the number of distinct “words” (new patterns not seen before). A highly complex brain response with many unique spatiotemporal patterns yields many words; a simple, repetitive pattern yields few.</w:t>
      </w:r>
    </w:p>
    <w:p>
      <w:pPr>
        <w:pStyle w:val="Heading2"/>
        <w:spacing w:before="240" w:after="180"/>
      </w:pPr>
      <w:r>
        <w:t xml:space="preserve">3.4 PCI Normalisation</w:t>
      </w:r>
    </w:p>
    <w:p>
      <w:pPr>
        <w:spacing w:after="180" w:line="276"/>
      </w:pPr>
      <w:r>
        <w:t xml:space="preserve">The raw LZ complexity count depends on the matrix size and the fraction of 1s. To make PCI comparable across recordings with different numbers of channels or time points, the complexity is normalised:</w:t>
      </w:r>
    </w:p>
    <w:p>
      <w:pPr>
        <w:spacing w:after="180" w:line="276"/>
      </w:pPr>
      <w:r>
        <w:rPr>
          <w:b/>
          <w:bCs/>
          <w:i/>
          <w:iCs/>
        </w:rPr>
        <w:t xml:space="preserve">    PCI = c_L × log₂(L) / [L × H(L)]</w:t>
      </w:r>
    </w:p>
    <w:p>
      <w:pPr>
        <w:spacing w:after="180" w:line="276"/>
      </w:pPr>
      <w:r>
        <w:t xml:space="preserve">The denominator represents the asymptotic LZ complexity of a random binary sequence of length L with the same proportion of ones p₁. Thus PCI ≈ 1 for maximally random patterns and PCI ≪ 1 for simple patterns. PCI is dimensionless and comparable across subjects, sessions, and recording setups.</w:t>
      </w:r>
    </w:p>
    <w:p>
      <w:pPr>
        <w:pStyle w:val="Heading2"/>
        <w:spacing w:before="240" w:after="180"/>
      </w:pPr>
      <w:r>
        <w:t xml:space="preserve">3.5 Temporal Variant PCIᵀ</w:t>
      </w:r>
    </w:p>
    <w:p>
      <w:pPr>
        <w:spacing w:after="180" w:line="276"/>
      </w:pPr>
      <w:r>
        <w:t xml:space="preserve">The transposed matrix SSᵀ is flattened in column-major order (scanning source-by-source rather than time-by-time) and compressed with the same LZ76 algorithm. The temporal PCI captures complementary information about the complexity of each source’s time course.</w:t>
      </w:r>
    </w:p>
    <w:p>
      <w:pPr>
        <w:spacing w:after="60"/>
      </w:pPr>
    </w:p>
    <w:p>
      <w:pPr>
        <w:pStyle w:val="Heading1"/>
        <w:spacing w:before="360" w:after="180"/>
      </w:pPr>
      <w:r>
        <w:t xml:space="preserve">4. Complete Processing Pipeline</w:t>
      </w:r>
    </w:p>
    <w:p>
      <w:pPr>
        <w:spacing w:after="180" w:line="276"/>
      </w:pPr>
      <w:r>
        <w:t xml:space="preserve">The software takes the user from raw BrainVision files to a final PCI value through a nine-step pipeline. Each step is described in detail below.</w:t>
      </w:r>
    </w:p>
    <w:p>
      <w:pPr>
        <w:pStyle w:val="Heading2"/>
        <w:spacing w:before="240" w:after="180"/>
      </w:pPr>
      <w:r>
        <w:t xml:space="preserve">4.1 Step 1: Load and Parse Input</w:t>
      </w:r>
    </w:p>
    <w:p>
      <w:pPr>
        <w:spacing w:after="180" w:line="276"/>
      </w:pPr>
      <w:r>
        <w:t xml:space="preserve">The user uploads three BrainVision files (.vhdr header, .vmrk markers, .eeg binary data) through the Streamlit sidebar. MNE-Python reads the raw recording, extracts all event markers (annotations), and recovers any hardware-level stimulus channel events (Stim_XX) that may not be present in annotations. The recording metadata — sampling frequency, number of channels, channel names, and duration — is displayed to the user.</w:t>
      </w:r>
    </w:p>
    <w:p>
      <w:pPr>
        <w:pStyle w:val="Heading2"/>
        <w:spacing w:before="240" w:after="180"/>
      </w:pPr>
      <w:r>
        <w:t xml:space="preserve">4.2 Step 2: Trigger Classification</w:t>
      </w:r>
    </w:p>
    <w:p>
      <w:pPr>
        <w:spacing w:after="180" w:line="276"/>
      </w:pPr>
      <w:r>
        <w:t xml:space="preserve">Each event marker is automatically classified into a category based on its name and count using the classify_trigger()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436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Criteria</w:t>
            </w:r>
          </w:p>
        </w:tc>
        <w:tc>
          <w:tcPr>
            <w:tcW w:type="dxa" w:w="300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TMS_LIKELY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Matches stimulation keywords AND count in [30, 500]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Almost certainly TMS pulses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TMS_POSSIBLE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Matches stimulation keywords but unusual count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Possibly TMS, needs verification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RESPONSE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Matches response patterns (button, key, R 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Subject button presses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ANNOTATION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Recording boundaries, comments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Non-event markers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OTHER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Unclassified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Unknown purpose</w:t>
            </w:r>
          </w:p>
        </w:tc>
      </w:tr>
    </w:tbl>
    <w:p>
      <w:pPr>
        <w:spacing w:after="60"/>
      </w:pPr>
    </w:p>
    <w:p>
      <w:pPr>
        <w:spacing w:after="180" w:line="276"/>
      </w:pPr>
      <w:r>
        <w:t xml:space="preserve">Keywords for stimulation: “S 1”, “S  1”, “Stimulus/”, “Stim_”, “trigger”, “pulse”. Keywords for response: “Response”, “button”, “key”, “R 1”, “R  1”. The user selects from the classified triggers to specify which event is the TMS timing reference.</w:t>
      </w:r>
    </w:p>
    <w:p>
      <w:pPr>
        <w:pStyle w:val="Heading2"/>
        <w:spacing w:before="240" w:after="180"/>
      </w:pPr>
      <w:r>
        <w:t xml:space="preserve">4.3 Step 2b: Istisna Mode (Exception Handling)</w:t>
      </w:r>
    </w:p>
    <w:p>
      <w:pPr>
        <w:spacing w:after="180" w:line="276"/>
      </w:pPr>
      <w:r>
        <w:t xml:space="preserve">In some TMS-EEG recording setups, the hardware TTL pulses from the TMS stimulator are accidentally wired to the “Response” port of the EEG amplifier instead of the “Stimulus” port. This results in TMS onset markers being saved with response-type labels. The </w:t>
      </w:r>
      <w:r>
        <w:rPr>
          <w:b/>
          <w:bCs/>
          <w:i/>
          <w:iCs/>
        </w:rPr>
        <w:t xml:space="preserve">istisna</w:t>
      </w:r>
      <w:r>
        <w:t xml:space="preserve"> (Arabic for “exception”) mode detects this situation by analysing the temporal regularity of the response events.</w:t>
      </w:r>
    </w:p>
    <w:p>
      <w:pPr>
        <w:spacing w:after="180" w:line="276"/>
      </w:pPr>
      <w:r>
        <w:t xml:space="preserve">Real button presses by a human subject are temporally irregular. TMS pulses delivered by a machine are periodic and clock-like. The detection algorithm:</w:t>
      </w:r>
    </w:p>
    <w:p>
      <w:pPr>
        <w:pStyle w:val="ListParagraph"/>
        <w:numPr>
          <w:ilvl w:val="0"/>
          <w:numId w:val="3"/>
        </w:numPr>
        <w:spacing w:after="100" w:line="276"/>
      </w:pPr>
      <w:r>
        <w:t xml:space="preserve">Requires at least 30 total events in the marker train.</w:t>
      </w:r>
    </w:p>
    <w:p>
      <w:pPr>
        <w:pStyle w:val="ListParagraph"/>
        <w:numPr>
          <w:ilvl w:val="0"/>
          <w:numId w:val="3"/>
        </w:numPr>
        <w:spacing w:after="100" w:line="276"/>
      </w:pPr>
      <w:r>
        <w:t xml:space="preserve">Splits the event train into temporal blocks by gaps exceeding 12 seconds.</w:t>
      </w:r>
    </w:p>
    <w:p>
      <w:pPr>
        <w:pStyle w:val="ListParagraph"/>
        <w:numPr>
          <w:ilvl w:val="0"/>
          <w:numId w:val="3"/>
        </w:numPr>
        <w:spacing w:after="100" w:line="276"/>
      </w:pPr>
      <w:r>
        <w:t xml:space="preserve">For each block with at least 10 events, computes inter-stimulus intervals (ISI).</w:t>
      </w:r>
    </w:p>
    <w:p>
      <w:pPr>
        <w:pStyle w:val="ListParagraph"/>
        <w:numPr>
          <w:ilvl w:val="0"/>
          <w:numId w:val="3"/>
        </w:numPr>
        <w:spacing w:after="100" w:line="276"/>
      </w:pPr>
      <w:r>
        <w:t xml:space="preserve">Checks that median ISI is in the [0.2, 10] second range (typical TMS rates: 0.1“5 Hz).</w:t>
      </w:r>
    </w:p>
    <w:p>
      <w:pPr>
        <w:pStyle w:val="ListParagraph"/>
        <w:numPr>
          <w:ilvl w:val="0"/>
          <w:numId w:val="3"/>
        </w:numPr>
        <w:spacing w:after="100" w:line="276"/>
      </w:pPr>
      <w:r>
        <w:t xml:space="preserve">Checks that the coefficient of variation CV(ISI) ≤ 0.05 (5% jitter tolerance).</w:t>
      </w:r>
    </w:p>
    <w:p>
      <w:pPr>
        <w:pStyle w:val="ListParagraph"/>
        <w:numPr>
          <w:ilvl w:val="0"/>
          <w:numId w:val="3"/>
        </w:numPr>
        <w:spacing w:after="100" w:line="276"/>
      </w:pPr>
      <w:r>
        <w:t xml:space="preserve">If any block passes both criteria, the train is flagged as stimulation-like.</w:t>
      </w:r>
    </w:p>
    <w:p>
      <w:pPr>
        <w:spacing w:after="60"/>
      </w:pPr>
    </w:p>
    <w:p>
      <w:pPr>
        <w:spacing w:after="180" w:line="276"/>
      </w:pPr>
      <w:r>
        <w:t xml:space="preserve">When periodicity is detected, the user is presented with a checkbox to enable istisna mode. If enabled, the response markers are reclassified as TMS triggers. Per-block selection is available for multi-site or multi-condition recordings.</w:t>
      </w:r>
    </w:p>
    <w:p>
      <w:pPr>
        <w:pStyle w:val="Heading2"/>
        <w:spacing w:before="240" w:after="180"/>
      </w:pPr>
      <w:r>
        <w:t xml:space="preserve">4.4 Step 3: Preprocessing Pipeline</w:t>
      </w:r>
    </w:p>
    <w:p>
      <w:pPr>
        <w:spacing w:after="180" w:line="276"/>
      </w:pPr>
      <w:r>
        <w:t xml:space="preserve">The raw EEG signal undergoes several cleaning steps:</w:t>
      </w:r>
    </w:p>
    <w:p>
      <w:pPr>
        <w:pStyle w:val="Heading3"/>
        <w:spacing w:before="240" w:after="180"/>
      </w:pPr>
      <w:r>
        <w:t xml:space="preserve">4.4.1 TMS Artifact Interpolation</w:t>
      </w:r>
    </w:p>
    <w:p>
      <w:pPr>
        <w:spacing w:after="180" w:line="276"/>
      </w:pPr>
      <w:r>
        <w:t xml:space="preserve">TMS pulses create massive electromagnetic artifacts in the EEG that would dominate any subsequent analysis. These artifacts are removed by linear interpolation over a configurable time window (default: [−2, +10] ms around each TMS pulse). This replaces the artifact with a smooth ramp connecting the boundary samples. A new validate_window_overlap() function warns if the artifact interpolation window extends into the post-stimulus analysis window.</w:t>
      </w:r>
    </w:p>
    <w:p>
      <w:pPr>
        <w:pStyle w:val="Heading3"/>
        <w:spacing w:before="240" w:after="180"/>
      </w:pPr>
      <w:r>
        <w:t xml:space="preserve">4.4.2 Bandpass Filtering</w:t>
      </w:r>
    </w:p>
    <w:p>
      <w:pPr>
        <w:spacing w:after="180" w:line="276"/>
      </w:pPr>
      <w:r>
        <w:t xml:space="preserve">A 0.1–45 Hz zero-phase FIR filter (MNE default) removes slow drifts below 0.1 Hz and high-frequency noise above 45 Hz while preserving the cortical response band relevant for TMS-evoked potentials.</w:t>
      </w:r>
    </w:p>
    <w:p>
      <w:pPr>
        <w:pStyle w:val="Heading3"/>
        <w:spacing w:before="240" w:after="180"/>
      </w:pPr>
      <w:r>
        <w:t xml:space="preserve">4.4.3 Resampling</w:t>
      </w:r>
    </w:p>
    <w:p>
      <w:pPr>
        <w:spacing w:after="180" w:line="276"/>
      </w:pPr>
      <w:r>
        <w:t xml:space="preserve">If the original sampling rate exceeds 400 Hz, the data is downsampled to 362.5 Hz to match the temporal resolution used in the Casali et al. (2013) study for cross-study comparability.</w:t>
      </w:r>
    </w:p>
    <w:p>
      <w:pPr>
        <w:pStyle w:val="Heading3"/>
        <w:spacing w:before="240" w:after="180"/>
      </w:pPr>
      <w:r>
        <w:t xml:space="preserve">4.4.4 Epoching and Artifact Rejection</w:t>
      </w:r>
    </w:p>
    <w:p>
      <w:pPr>
        <w:spacing w:after="180" w:line="276"/>
      </w:pPr>
      <w:r>
        <w:t xml:space="preserve">The continuous data is segmented into epochs of [−500, +350] ms around each TMS pulse. The −500 to −1 ms portion serves as the pre-stimulus baseline; the post-stimulus portion (configurable, default +8 to +300 ms) is analysed for TMS-evoked responses. Epochs where any channel exceeds 150 µV peak-to-peak amplitude are rejected as likely contaminated by muscle or movement artifacts.</w:t>
      </w:r>
    </w:p>
    <w:p>
      <w:pPr>
        <w:pStyle w:val="Heading3"/>
        <w:spacing w:before="240" w:after="180"/>
      </w:pPr>
      <w:r>
        <w:t xml:space="preserve">4.4.5 Signal-to-Noise Ratio</w:t>
      </w:r>
    </w:p>
    <w:p>
      <w:pPr>
        <w:spacing w:after="180" w:line="276"/>
      </w:pPr>
      <w:r>
        <w:t xml:space="preserve">SNR is computed as the ratio of mean absolute post-stimulus amplitude (25–300 ms) to the mean baseline standard deviation. Casali et al. excluded sessions with SNR &lt; 1.4, ensuring the TMS-evoked response is detectable above background noise.</w:t>
      </w:r>
    </w:p>
    <w:p>
      <w:pPr>
        <w:pStyle w:val="Heading2"/>
        <w:spacing w:before="240" w:after="180"/>
      </w:pPr>
      <w:r>
        <w:t xml:space="preserve">4.5 Step 4: Source Estimation</w:t>
      </w:r>
    </w:p>
    <w:p>
      <w:pPr>
        <w:spacing w:after="180" w:line="276"/>
      </w:pPr>
      <w:r>
        <w:t xml:space="preserve">This step transforms channel-level EEG data into estimates of cortical source activity. Our implementation uses Current Source Density (CSD) via the surface Laplacian as the default, with a sensor-level fallback. The detailed rationale for using CSD instead of the original inverse solution is covered in Section 7.</w:t>
      </w:r>
    </w:p>
    <w:p>
      <w:pPr>
        <w:pStyle w:val="Heading2"/>
        <w:spacing w:before="240" w:after="180"/>
      </w:pPr>
      <w:r>
        <w:t xml:space="preserve">4.6 Step 5: Bootstrap Significance Testing</w:t>
      </w:r>
    </w:p>
    <w:p>
      <w:pPr>
        <w:spacing w:after="180" w:line="276"/>
      </w:pPr>
      <w:r>
        <w:t xml:space="preserve">This is the statistical heart of the algorithm. It determines which spatiotemporal points in the brain response are significantly different from pre-stimulus baseline activity.</w:t>
      </w:r>
    </w:p>
    <w:p>
      <w:pPr>
        <w:pStyle w:val="Heading3"/>
        <w:spacing w:before="240" w:after="180"/>
      </w:pPr>
      <w:r>
        <w:t xml:space="preserve">4.6.1 Trial Averaging</w:t>
      </w:r>
    </w:p>
    <w:p>
      <w:pPr>
        <w:spacing w:after="180" w:line="276"/>
      </w:pPr>
      <w:r>
        <w:t xml:space="preserve">The source data across all accepted epochs is averaged to extract the reproducible evoked response, suppressing random trial-to-trial noise. Output: a 2D matrix of dimensions (n_sources × n_times).</w:t>
      </w:r>
    </w:p>
    <w:p>
      <w:pPr>
        <w:pStyle w:val="Heading3"/>
        <w:spacing w:before="240" w:after="180"/>
      </w:pPr>
      <w:r>
        <w:t xml:space="preserve">4.6.2 Z-Scoring</w:t>
      </w:r>
    </w:p>
    <w:p>
      <w:pPr>
        <w:spacing w:after="180" w:line="276"/>
      </w:pPr>
      <w:r>
        <w:t xml:space="preserve">For each source, the mean (µ) and standard deviation (σ) are computed from the baseline period [−500, −1] ms. The entire time course is then z-scored: z(x,t) = [ā(x,t) − µₓ] / σₓ. Dead channels with σ &lt; 10⁻¹² are excluded entirely rather than artificially floored.</w:t>
      </w:r>
    </w:p>
    <w:p>
      <w:pPr>
        <w:pStyle w:val="Heading3"/>
        <w:spacing w:before="240" w:after="180"/>
      </w:pPr>
      <w:r>
        <w:t xml:space="preserve">4.6.3 Correlated Bootstrap Resampling</w:t>
      </w:r>
    </w:p>
    <w:p>
      <w:pPr>
        <w:spacing w:after="180" w:line="276"/>
      </w:pPr>
      <w:r>
        <w:t xml:space="preserve">For each of 500 bootstrap iterations, n_post random time indices are drawn from the baseline period. Critically, the same set of random indices is used for ALL sources simultaneously (correlated resampling). The global maximum absolute z-score across all alive sources and resampled time points forms one sample of the null distribution. This preserves the natural spatial correlation structure between brain regions, matching the Global Maximum Statistics framework (Nichols and Holmes, 2002).</w:t>
      </w:r>
    </w:p>
    <w:p>
      <w:pPr>
        <w:pStyle w:val="Heading3"/>
        <w:spacing w:before="240" w:after="180"/>
      </w:pPr>
      <w:r>
        <w:t xml:space="preserve">4.6.4 Thresholding</w:t>
      </w:r>
    </w:p>
    <w:p>
      <w:pPr>
        <w:spacing w:after="180" w:line="276"/>
      </w:pPr>
      <w:r>
        <w:t xml:space="preserve">The threshold τ is set at the 99th percentile of the null maxima distribution (significance level α = 0.01). Any post-stimulus z-score exceeding this threshold is marked as significant: SS(x,t) = 1 if |z(x,t)| &gt; τ, else 0.</w:t>
      </w:r>
    </w:p>
    <w:p>
      <w:pPr>
        <w:pStyle w:val="Heading2"/>
        <w:spacing w:before="240" w:after="180"/>
      </w:pPr>
      <w:r>
        <w:t xml:space="preserve">4.7 Step 6: Quality Gates</w:t>
      </w:r>
    </w:p>
    <w:p>
      <w:pPr>
        <w:spacing w:after="180" w:line="276"/>
      </w:pPr>
      <w:r>
        <w:t xml:space="preserve">Before computing PCI, the algorithm checks whether the binary matrix contains enough information. If the matrix is almost all zeros (no response) or almost all ones (noise), the entropy is too low and Lempel-Ziv normalisation becomes unstable. Specifically, if H &lt; 0.08 or p₁ &lt; 0.01, PCI is set to zero. These thresholds are harmonised across both compute_pci and compute_pci_temporal.</w:t>
      </w:r>
    </w:p>
    <w:p>
      <w:pPr>
        <w:pStyle w:val="Heading2"/>
        <w:spacing w:before="240" w:after="180"/>
      </w:pPr>
      <w:r>
        <w:t xml:space="preserve">4.8 Step 7: Optimal Ordination and LZ Compression</w:t>
      </w:r>
    </w:p>
    <w:p>
      <w:pPr>
        <w:spacing w:after="180" w:line="276"/>
      </w:pPr>
      <w:r>
        <w:t xml:space="preserve">Sources are sorted by descending total activation count using the _sort_sources() function, which includes deterministic tie-breaking. When multiple sources have the same activation count, each row is interpreted as a binary number (dot product with descending powers of 2) to provide a secondary sort key. This ensures the sorted order is completely independent of the original row position, making PCI permutation-invariant.</w:t>
      </w:r>
    </w:p>
    <w:p>
      <w:pPr>
        <w:spacing w:after="180" w:line="276"/>
      </w:pPr>
      <w:r>
        <w:t xml:space="preserve">The sorted matrix is flattened in column-major (Fortran) order and compressed with LZ76. The transposed matrix is also compressed for the temporal variant PCIᵀ.</w:t>
      </w:r>
    </w:p>
    <w:p>
      <w:pPr>
        <w:pStyle w:val="Heading2"/>
        <w:spacing w:before="240" w:after="180"/>
      </w:pPr>
      <w:r>
        <w:t xml:space="preserve">4.9 Step 8: Normalisation</w:t>
      </w:r>
    </w:p>
    <w:p>
      <w:pPr>
        <w:spacing w:after="180" w:line="276"/>
      </w:pPr>
      <w:r>
        <w:t xml:space="preserve">The final PCI value is computed as: </w:t>
      </w:r>
      <w:r>
        <w:rPr>
          <w:b/>
          <w:bCs/>
        </w:rPr>
        <w:t xml:space="preserve">PCI = c_L × log₂(L) / [L × H(L)]</w:t>
      </w:r>
      <w:r>
        <w:t xml:space="preserve">. This yields a dimensionless number typically between 0 and 1 (though values slightly above 1 are theoretically possible for small matrices with particular structures).</w:t>
      </w:r>
    </w:p>
    <w:p>
      <w:pPr>
        <w:pStyle w:val="Heading2"/>
        <w:spacing w:before="240" w:after="180"/>
      </w:pPr>
      <w:r>
        <w:t xml:space="preserve">4.10 Step 9: Validation and Quality Report</w:t>
      </w:r>
    </w:p>
    <w:p>
      <w:pPr>
        <w:spacing w:after="180" w:line="276"/>
      </w:pPr>
      <w:r>
        <w:t xml:space="preserve">The final step runs automated quality checks against physiological ranges from published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Parameter</w:t>
            </w:r>
          </w:p>
        </w:tc>
        <w:tc>
          <w:tcPr>
            <w:tcW w:type="dxa" w:w="200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PASS Range</w:t>
            </w:r>
          </w:p>
        </w:tc>
        <w:tc>
          <w:tcPr>
            <w:tcW w:type="dxa" w:w="536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Active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[4, 15]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Fraction of significant source-time pairs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Entropy 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[0.15, 0.60]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Information content of SS matrix</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Threshold τ</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[3.0, 6.0]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Bootstrap significance threshold in z-score units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SNR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 1.4</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Signal-to-noise ratio of evoked response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PCI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 1.10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Should not exceed theoretical maximum significantly</w:t>
            </w:r>
          </w:p>
        </w:tc>
      </w:tr>
    </w:tbl>
    <w:p>
      <w:pPr>
        <w:spacing w:after="60"/>
      </w:pPr>
    </w:p>
    <w:p>
      <w:pPr>
        <w:spacing w:after="180" w:line="276"/>
      </w:pPr>
      <w:r>
        <w:t xml:space="preserve">Additional diagnostics include CSD vs source reconstruction warnings, dead channel count, istisna mode usage, trigger selection anomaly detection, and window overlap warnings.</w:t>
      </w:r>
    </w:p>
    <w:p>
      <w:pPr>
        <w:spacing w:after="60"/>
      </w:pPr>
    </w:p>
    <w:p>
      <w:pPr>
        <w:pStyle w:val="Heading1"/>
        <w:spacing w:before="360" w:after="180"/>
      </w:pPr>
      <w:r>
        <w:t xml:space="preserve">5. Software Architecture</w:t>
      </w:r>
    </w:p>
    <w:p>
      <w:pPr>
        <w:pStyle w:val="Heading2"/>
        <w:spacing w:before="240" w:after="180"/>
      </w:pPr>
      <w:r>
        <w:t xml:space="preserve">5.1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File</w:t>
            </w:r>
          </w:p>
        </w:tc>
        <w:tc>
          <w:tcPr>
            <w:tcW w:type="dxa" w:w="100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Lines</w:t>
            </w:r>
          </w:p>
        </w:tc>
        <w:tc>
          <w:tcPr>
            <w:tcW w:type="dxa" w:w="516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Responsibility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pci.py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~950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Core algorithm: entropy, LZ76, bootstrap, PCI, trigger classification, istisna detection, CSD, SNR, validation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app.py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~1230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Streamlit web UI: file upload, parameter controls, trigger selection, visualisations, quality dashboard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tests/test_pci.py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~370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41 unit tests (pytest) covering all algorithm components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PCI_Algorithm_Flowchart.html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~1020</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Interactive visual flowchart with detailed explanations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PCI_Supplementary_Material.pdf</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11 pages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LaTeX-typeset supplementary material with formal equations</w:t>
            </w:r>
          </w:p>
        </w:tc>
      </w:tr>
    </w:tbl>
    <w:p>
      <w:pPr>
        <w:spacing w:after="60"/>
      </w:pPr>
    </w:p>
    <w:p>
      <w:pPr>
        <w:pStyle w:val="Heading2"/>
        <w:spacing w:before="240" w:after="180"/>
      </w:pPr>
      <w:r>
        <w:t xml:space="preserve">5.2 Key Functions in pci.py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Function</w:t>
            </w:r>
          </w:p>
        </w:tc>
        <w:tc>
          <w:tcPr>
            <w:tcW w:type="dxa" w:w="536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lz76_complexity(sequence)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Lempel-Ziv 1976 exhaustive-parsing complexity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compute_entropy(ss_matrix)</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Binary source entropy H(L) and active fraction p₁</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compute_pci(ss_matrix)</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Full PCI computation with sorting, LZ, normalisation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compute_pci_temporal(ss_matrix)</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Cumulative PCI(t) curve at each time step</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compute_significance_matrix(source_data, times, ...)</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Bootstrap significance testing with GMS correction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_sort_sources(ss_matrix)</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Permutation-invariant source sorting with tie-breaking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classify_trigger(name, count)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Automatic trigger classification by name/count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detect_stimulation_like_response_train(...)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Istisna periodicity detection algorithm</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interpolate_tms_artifact(raw, events, ...)</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Linear interpolation over TMS artifact window</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compute_csd(epochs)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Current Source Density via MNE surface Laplacian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compute_snr(epochs)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Signal-to-noise ratio calculation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validate_results(result_dict)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Automated quality assessment checks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validate_window_overlap(...)</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Warning for artifact/analysis window overlap</w:t>
            </w:r>
          </w:p>
        </w:tc>
      </w:tr>
    </w:tbl>
    <w:p>
      <w:pPr>
        <w:spacing w:after="60"/>
      </w:pPr>
    </w:p>
    <w:p>
      <w:pPr>
        <w:pStyle w:val="Heading2"/>
        <w:spacing w:before="240" w:after="180"/>
      </w:pPr>
      <w:r>
        <w:t xml:space="preserve">5.3 Streamlit User Interface</w:t>
      </w:r>
    </w:p>
    <w:p>
      <w:pPr>
        <w:spacing w:after="180" w:line="276"/>
      </w:pPr>
      <w:r>
        <w:t xml:space="preserve">The web interface (app.py) is built with Streamlit and features a publication-quality design with custom CSS styling. It provides:</w:t>
      </w:r>
    </w:p>
    <w:p>
      <w:pPr>
        <w:pStyle w:val="ListParagraph"/>
        <w:numPr>
          <w:ilvl w:val="0"/>
          <w:numId w:val="2"/>
        </w:numPr>
        <w:spacing w:after="100" w:line="276"/>
      </w:pPr>
      <w:r>
        <w:t xml:space="preserve">A sidebar for data input (BrainVision file upload), trigger selection with automatic classification, istisna mode controls, parameter configuration (bootstrap iterations, rejection threshold, CSD toggle), and an Advanced section for fine-tuning post-stimulus and artifact windows.</w:t>
      </w:r>
    </w:p>
    <w:p>
      <w:pPr>
        <w:pStyle w:val="ListParagraph"/>
        <w:numPr>
          <w:ilvl w:val="0"/>
          <w:numId w:val="2"/>
        </w:numPr>
        <w:spacing w:after="100" w:line="276"/>
      </w:pPr>
      <w:r>
        <w:t xml:space="preserve">A main area that displays: (1) recording overview with channel count, sampling rate, duration, and event table before computation; (2) after computation: the PCI value with colour-coded clinical interpretation, a metrics dashboard (entropy, threshold, active %, LZ complexity, SNR, epoch count), three figures (butterfly plot, SS matrix heatmap, PCI(t) curve), and a detailed quality assessment panel.</w:t>
      </w:r>
    </w:p>
    <w:p>
      <w:pPr>
        <w:pStyle w:val="ListParagraph"/>
        <w:numPr>
          <w:ilvl w:val="0"/>
          <w:numId w:val="2"/>
        </w:numPr>
        <w:spacing w:after="100" w:line="276"/>
      </w:pPr>
      <w:r>
        <w:t xml:space="preserve">Expandable sections for full computation details (numerical summary table with all intermediate values) and methodology explanation.</w:t>
      </w:r>
    </w:p>
    <w:p>
      <w:pPr>
        <w:spacing w:after="60"/>
      </w:pPr>
    </w:p>
    <w:p>
      <w:pPr>
        <w:pStyle w:val="Heading1"/>
        <w:spacing w:before="360" w:after="180"/>
      </w:pPr>
      <w:r>
        <w:t xml:space="preserve">6. Test Suite</w:t>
      </w:r>
    </w:p>
    <w:p>
      <w:pPr>
        <w:spacing w:after="180" w:line="276"/>
      </w:pPr>
      <w:r>
        <w:t xml:space="preserve">The project includes 41 unit tests organised into 9 test classes, covering every algorithm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c>
          <w:tcPr>
            <w:tcW w:type="dxa" w:w="300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Test Class</w:t>
            </w:r>
          </w:p>
        </w:tc>
        <w:tc>
          <w:tcPr>
            <w:tcW w:type="dxa" w:w="90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Count</w:t>
            </w:r>
          </w:p>
        </w:tc>
        <w:tc>
          <w:tcPr>
            <w:tcW w:type="dxa" w:w="546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What It Tests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TestLZComplexity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7</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LZ76 correctness on known binary sequences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TestEntropy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Binary entropy edge cases and known values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TestPCICore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PCI formula, zero matrices, simple patterns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TestTriggerClassification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7</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Keyword matching, count ranges, edge cases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TestResponseTrainDetection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Periodicity detection, block splitting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TestValidation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3</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Quality checks, trigger diagnostics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TestBootstrapSignificance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5</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Shape, correlated resampling, dead channels, seed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TestWindowOverlap</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Overlap warning, no-overlap silence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TestPCITemporal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2</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Low entropy returns zeros, PCI(t) convergence</w:t>
            </w:r>
          </w:p>
        </w:tc>
      </w:tr>
    </w:tbl>
    <w:p>
      <w:pPr>
        <w:spacing w:after="60"/>
      </w:pPr>
    </w:p>
    <w:p>
      <w:pPr>
        <w:spacing w:after="180" w:line="276"/>
      </w:pPr>
      <w:r>
        <w:t xml:space="preserve">All 41 tests pass. The test suite verifies not only correctness but also edge cases: what happens with all-zero matrices, single-element sequences, dead channels, random seeds, and source permutation invariance.</w:t>
      </w:r>
    </w:p>
    <w:p>
      <w:pPr>
        <w:spacing w:after="60"/>
      </w:pPr>
    </w:p>
    <w:p>
      <w:pPr>
        <w:pStyle w:val="Heading1"/>
        <w:spacing w:before="360" w:after="180"/>
      </w:pPr>
      <w:r>
        <w:t xml:space="preserve">7. Why CSD Instead of the Original Inverse Solution</w:t>
      </w:r>
    </w:p>
    <w:p>
      <w:pPr>
        <w:spacing w:after="180" w:line="276"/>
      </w:pPr>
      <w:r>
        <w:t xml:space="preserve">This is one of the most important design decisions in the project, so it deserves a thorough explanation.</w:t>
      </w:r>
    </w:p>
    <w:p>
      <w:pPr>
        <w:pStyle w:val="Heading2"/>
        <w:spacing w:before="240" w:after="180"/>
      </w:pPr>
      <w:r>
        <w:t xml:space="preserve">7.1 What the Original Paper Used</w:t>
      </w:r>
    </w:p>
    <w:p>
      <w:pPr>
        <w:spacing w:after="180" w:line="276"/>
      </w:pPr>
      <w:r>
        <w:t xml:space="preserve">Casali et al. (2013) used a full inverse-solution approach for source estimation. Specifically, they employed a three-concentric-sphere head model (BERG model) and solved the electromagnetic inverse problem to estimate activity at approximately 5000 cortical dipole locations distributed across the brain surface. This approach provides true source-level estimates in anatomical space, meaning each “source” corresponds to a specific cortical location with a known position and orientation.</w:t>
      </w:r>
    </w:p>
    <w:p>
      <w:pPr>
        <w:spacing w:after="180" w:line="276"/>
      </w:pPr>
      <w:r>
        <w:t xml:space="preserve">The inverse-solution approach has several advantages: (1) it provides anatomically meaningful source locations; (2) it partially compensates for volume conduction by separating overlapping source activities; (3) the published PCI thresholds (0.31 for unconsciousness ceiling, 0.44 for consciousness floor) were calibrated using this method, so they can be directly applied.</w:t>
      </w:r>
    </w:p>
    <w:p>
      <w:pPr>
        <w:pStyle w:val="Heading2"/>
        <w:spacing w:before="240" w:after="180"/>
      </w:pPr>
      <w:r>
        <w:t xml:space="preserve">7.2 Why We Use CSD Instead</w:t>
      </w:r>
    </w:p>
    <w:p>
      <w:pPr>
        <w:spacing w:after="180" w:line="276"/>
      </w:pPr>
      <w:r>
        <w:t xml:space="preserve">Despite the advantages of full inverse solutions, we chose CSD (Current Source Density via the surface Laplacian) for several important practical reasons:</w:t>
      </w:r>
    </w:p>
    <w:p>
      <w:pPr>
        <w:pStyle w:val="Heading3"/>
        <w:spacing w:before="240" w:after="180"/>
      </w:pPr>
      <w:r>
        <w:t xml:space="preserve">7.2.1 No Individual MRI Required</w:t>
      </w:r>
    </w:p>
    <w:p>
      <w:pPr>
        <w:spacing w:after="180" w:line="276"/>
      </w:pPr>
      <w:r>
        <w:t xml:space="preserve">Full inverse solutions ideally require an individual structural MRI scan to construct a realistic head model. The BERG three-sphere model used by Casali et al. is a simplification that does not require MRI, but it still involves significant assumptions about head geometry. CSD makes no assumptions about head geometry whatsoever. It is a purely data-driven spatial filter that computes the second spatial derivative of the scalp potential, acting as a spatial high-pass filter that sharpens the topography. This means any user with a standard EEG recording can use our software without additional neuroimaging data.</w:t>
      </w:r>
    </w:p>
    <w:p>
      <w:pPr>
        <w:pStyle w:val="Heading3"/>
        <w:spacing w:before="240" w:after="180"/>
      </w:pPr>
      <w:r>
        <w:t xml:space="preserve">7.2.2 No Forward Model or Lead Field Matrix Needed</w:t>
      </w:r>
    </w:p>
    <w:p>
      <w:pPr>
        <w:spacing w:after="180" w:line="276"/>
      </w:pPr>
      <w:r>
        <w:t xml:space="preserve">Inverse solutions require computing a forward model (lead field matrix) that describes how each cortical source projects to each scalp electrode. This computation involves specifying the conductivities of brain, skull, and scalp layers, the electrode positions in 3D space, and the source locations on the cortical surface. Errors in any of these parameters degrade the source estimates. CSD bypasses all of this complexity by operating directly on the electrode-level data.</w:t>
      </w:r>
    </w:p>
    <w:p>
      <w:pPr>
        <w:pStyle w:val="Heading3"/>
        <w:spacing w:before="240" w:after="180"/>
      </w:pPr>
      <w:r>
        <w:t xml:space="preserve">7.2.3 Reference-Free Data</w:t>
      </w:r>
    </w:p>
    <w:p>
      <w:pPr>
        <w:spacing w:after="180" w:line="276"/>
      </w:pPr>
      <w:r>
        <w:t xml:space="preserve">Standard EEG recordings are referenced to a specific electrode (e.g., Cz, mastoid, or average reference). The choice of reference affects the topography and can introduce artefacts. CSD is inherently reference-free because the Laplacian operator cancels any constant offset across electrodes. This makes the analysis more robust and reproducible across different laboratory setups.</w:t>
      </w:r>
    </w:p>
    <w:p>
      <w:pPr>
        <w:pStyle w:val="Heading3"/>
        <w:spacing w:before="240" w:after="180"/>
      </w:pPr>
      <w:r>
        <w:t xml:space="preserve">7.2.4 Computational Simplicity and Reproducibility</w:t>
      </w:r>
    </w:p>
    <w:p>
      <w:pPr>
        <w:spacing w:after="180" w:line="276"/>
      </w:pPr>
      <w:r>
        <w:t xml:space="preserve">CSD computation is a single-step spatial filter that runs in milliseconds using MNE-Python’s built-in compute_current_source_density() function. Inverse solutions involve iterative optimisation, regularisation parameter selection, and numerical stability concerns. The simplicity of CSD makes the analysis fully reproducible with no subjective parameter choices beyond the standard spherical spline parameters.</w:t>
      </w:r>
    </w:p>
    <w:p>
      <w:pPr>
        <w:pStyle w:val="Heading3"/>
        <w:spacing w:before="240" w:after="180"/>
      </w:pPr>
      <w:r>
        <w:t xml:space="preserve">7.2.5 Validated for PCI Discriminative Power</w:t>
      </w:r>
    </w:p>
    <w:p>
      <w:pPr>
        <w:spacing w:after="180" w:line="276"/>
      </w:pPr>
      <w:r>
        <w:t xml:space="preserve">Casarotto et al. (2016) demonstrated that sensor-level PCI (without any source estimation) retains discriminative power for separating conscious from unconscious states, even though the absolute PCI values differ from the inverse-solution calibration. Since CSD is an intermediate approach (more spatially resolved than raw sensors, but not a full inverse solution), it provides improved spatial resolution compared to sensor-level analysis while maintaining the practical simplicity of electrode-space methods.</w:t>
      </w:r>
    </w:p>
    <w:p>
      <w:pPr>
        <w:pStyle w:val="Heading2"/>
        <w:spacing w:before="240" w:after="180"/>
      </w:pPr>
      <w:r>
        <w:t xml:space="preserve">7.3 Important Caveat: Threshold Interpretation</w:t>
      </w:r>
    </w:p>
    <w:p>
      <w:pPr>
        <w:spacing w:after="180" w:line="276"/>
      </w:pPr>
      <w:r>
        <w:t xml:space="preserve">The published thresholds (PCI = 0.31 and PCI = 0.44) were derived using ~5000 inverse-solution cortical dipoles. Our CSD-based implementation produces one “source” per EEG electrode (typically 32–256), which is a fundamentally different number and spatial resolution. Therefore, </w:t>
      </w:r>
      <w:r>
        <w:rPr>
          <w:b/>
          <w:bCs/>
        </w:rPr>
        <w:t xml:space="preserve">the absolute PCI values from our implementation are not directly comparable to the published thresholds</w:t>
      </w:r>
      <w:r>
        <w:t xml:space="preserve">. The software includes a prominent CSD warning in the Quality Assessment panel that reminds users of this limitation.</w:t>
      </w:r>
    </w:p>
    <w:p>
      <w:pPr>
        <w:spacing w:after="180" w:line="276"/>
      </w:pPr>
      <w:r>
        <w:t xml:space="preserve">For clinical or research applications requiring calibrated thresholds, users should either: (a) establish their own CSD-based thresholds using a local dataset with known consciousness states, or (b) implement a full inverse solution using MNE’s minimum-norm estimation (which we list as future work).</w:t>
      </w:r>
    </w:p>
    <w:p>
      <w:pPr>
        <w:pStyle w:val="Heading2"/>
        <w:spacing w:before="240" w:after="180"/>
      </w:pPr>
      <w:r>
        <w:t xml:space="preserve">7.4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Aspect</w:t>
            </w:r>
          </w:p>
        </w:tc>
        <w:tc>
          <w:tcPr>
            <w:tcW w:type="dxa" w:w="338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Inverse Solution (Original)</w:t>
            </w:r>
          </w:p>
        </w:tc>
        <w:tc>
          <w:tcPr>
            <w:tcW w:type="dxa" w:w="338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CSD (Our Implementation)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Sources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~5000 cortical dipoles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 per electrode (32–256)</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Head model</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3-sphere BERG (or BEM/FEM)</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None required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MRI required?</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Ideal (not strictly for BERG)</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Forward model</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Lead field matrix needed</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Not needed</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Reference</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Average reference</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Reference-free (Laplacian)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Spatial resolution</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High (cortical-level)</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Moderate (electrode-level)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Computation time</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Seconds to minutes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Milliseconds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Reproducibility</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Depends on regularisation</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Fully deterministic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Published thresholds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Directly applicable</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Need recalibration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Implementation complexity</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High</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Low (1 function call)</w:t>
            </w:r>
          </w:p>
        </w:tc>
      </w:tr>
    </w:tbl>
    <w:p>
      <w:pPr>
        <w:spacing w:after="60"/>
      </w:pPr>
    </w:p>
    <w:p>
      <w:pPr>
        <w:pStyle w:val="Heading1"/>
        <w:spacing w:before="360" w:after="180"/>
      </w:pPr>
      <w:r>
        <w:t xml:space="preserve">8. Corrections and Improvements Applied During Code Review</w:t>
      </w:r>
    </w:p>
    <w:p>
      <w:pPr>
        <w:spacing w:after="180" w:line="276"/>
      </w:pPr>
      <w:r>
        <w:t xml:space="preserve">The codebase was thoroughly reviewed against the original Casali et al. (2013) paper and recent literature. Six issues were identified and corrected.</w:t>
      </w:r>
    </w:p>
    <w:p>
      <w:pPr>
        <w:pStyle w:val="Heading2"/>
        <w:spacing w:before="240" w:after="180"/>
      </w:pPr>
      <w:r>
        <w:t xml:space="preserve">8.1 Critical Fixes</w:t>
      </w:r>
    </w:p>
    <w:p>
      <w:pPr>
        <w:pStyle w:val="Heading3"/>
        <w:spacing w:before="240" w:after="180"/>
      </w:pPr>
      <w:r>
        <w:t xml:space="preserve">8.1.1 Bootstrap Resampling (Correlated)</w:t>
      </w:r>
    </w:p>
    <w:p>
      <w:pPr>
        <w:spacing w:after="180" w:line="276"/>
      </w:pPr>
      <w:r>
        <w:t xml:space="preserve">The original code drew independent random time indices per source: rng.randint(0, n_base, size=(n_src, n_post)). This gave each source its own random baseline samples, breaking the natural spatial correlation between brain regions. The corrected version draws a single set of indices shared across all sources: rng.randint(0, n_base, size=n_post). This preserves cross-source correlations and matches the Global Maximum Statistics framework, producing a more conservative (higher) threshold and fewer false positives.</w:t>
      </w:r>
    </w:p>
    <w:p>
      <w:pPr>
        <w:pStyle w:val="Heading3"/>
        <w:spacing w:before="240" w:after="180"/>
      </w:pPr>
      <w:r>
        <w:t xml:space="preserve">8.1.2 Dead Channel Exclusion</w:t>
      </w:r>
    </w:p>
    <w:p>
      <w:pPr>
        <w:spacing w:after="180" w:line="276"/>
      </w:pPr>
      <w:r>
        <w:t xml:space="preserve">Sources with near-zero variance (σ &lt; 10⁻¹²) were previously handled by flooring their σ to the 5th percentile of non-zero sigmas. This inflated their z-scores to enormous values. The corrected approach excludes these flat/dead sources entirely from the bootstrap and assigns them all-zero rows in SS.</w:t>
      </w:r>
    </w:p>
    <w:p>
      <w:pPr>
        <w:pStyle w:val="Heading3"/>
        <w:spacing w:before="240" w:after="180"/>
      </w:pPr>
      <w:r>
        <w:t xml:space="preserve">8.1.3 Source Sorting Permutation Invariance</w:t>
      </w:r>
    </w:p>
    <w:p>
      <w:pPr>
        <w:spacing w:after="180" w:line="276"/>
      </w:pPr>
      <w:r>
        <w:t xml:space="preserve">When multiple sources shared the same activation count, np.argsort broke ties by original row position, making PCI depend on the input row order. The new _sort_sources() function uses a composite key: primary sort by total activation, secondary sort by row content interpreted as a binary number via lexsort, ensuring fully deterministic and permutation-invariant ordering.</w:t>
      </w:r>
    </w:p>
    <w:p>
      <w:pPr>
        <w:pStyle w:val="Heading2"/>
        <w:spacing w:before="240" w:after="180"/>
      </w:pPr>
      <w:r>
        <w:t xml:space="preserve">8.2 Moderate Fixes</w:t>
      </w:r>
    </w:p>
    <w:p>
      <w:pPr>
        <w:pStyle w:val="ListParagraph"/>
        <w:numPr>
          <w:ilvl w:val="0"/>
          <w:numId w:val="2"/>
        </w:numPr>
        <w:spacing w:after="100" w:line="276"/>
      </w:pPr>
      <w:r>
        <w:rPr>
          <w:b/>
          <w:bCs/>
        </w:rPr>
        <w:t xml:space="preserve">Window overlap validation: </w:t>
      </w:r>
      <w:r>
        <w:t xml:space="preserve">New validate_window_overlap() function warns when the TMS artifact interpolation window extends into the post-stimulus analysis window.</w:t>
      </w:r>
    </w:p>
    <w:p>
      <w:pPr>
        <w:pStyle w:val="ListParagraph"/>
        <w:numPr>
          <w:ilvl w:val="0"/>
          <w:numId w:val="2"/>
        </w:numPr>
        <w:spacing w:after="100" w:line="276"/>
      </w:pPr>
      <w:r>
        <w:rPr>
          <w:b/>
          <w:bCs/>
        </w:rPr>
        <w:t xml:space="preserve">Quality threshold harmonisation: </w:t>
      </w:r>
      <w:r>
        <w:t xml:space="preserve">compute_pci_temporal now uses the same min_entropy=0.08, min_p1=0.01 as compute_pci.</w:t>
      </w:r>
    </w:p>
    <w:p>
      <w:pPr>
        <w:pStyle w:val="ListParagraph"/>
        <w:numPr>
          <w:ilvl w:val="0"/>
          <w:numId w:val="2"/>
        </w:numPr>
        <w:spacing w:after="100" w:line="276"/>
      </w:pPr>
      <w:r>
        <w:rPr>
          <w:b/>
          <w:bCs/>
        </w:rPr>
        <w:t xml:space="preserve">CSD documentation: </w:t>
      </w:r>
      <w:r>
        <w:t xml:space="preserve">Prominent warnings added throughout the codebase and UI that CSD is not equivalent to inverse-solution source reconstruction.</w:t>
      </w:r>
    </w:p>
    <w:p>
      <w:pPr>
        <w:pStyle w:val="ListParagraph"/>
        <w:numPr>
          <w:ilvl w:val="0"/>
          <w:numId w:val="2"/>
        </w:numPr>
        <w:spacing w:after="100" w:line="276"/>
      </w:pPr>
      <w:r>
        <w:rPr>
          <w:b/>
          <w:bCs/>
        </w:rPr>
        <w:t xml:space="preserve">Istisna CV threshold: </w:t>
      </w:r>
      <w:r>
        <w:t xml:space="preserve">Raised from 0.02 (2%) to 0.05 (5%) to accommodate jitter from manual TMS triggering and low sampling rates.</w:t>
      </w:r>
    </w:p>
    <w:p>
      <w:pPr>
        <w:pStyle w:val="ListParagraph"/>
        <w:numPr>
          <w:ilvl w:val="0"/>
          <w:numId w:val="2"/>
        </w:numPr>
        <w:spacing w:after="100" w:line="276"/>
      </w:pPr>
      <w:r>
        <w:rPr>
          <w:b/>
          <w:bCs/>
        </w:rPr>
        <w:t xml:space="preserve">Configurable random seed: </w:t>
      </w:r>
      <w:r>
        <w:t xml:space="preserve">The bootstrap now accepts a seed parameter (default 42, None for non-deterministic) for reproducibility.</w:t>
      </w:r>
    </w:p>
    <w:p>
      <w:pPr>
        <w:spacing w:after="60"/>
      </w:pPr>
    </w:p>
    <w:p>
      <w:pPr>
        <w:pStyle w:val="Heading1"/>
        <w:spacing w:before="360" w:after="180"/>
      </w:pPr>
      <w:r>
        <w:t xml:space="preserve">9. Clinical Interpretation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360"/>
        <w:gridCol w:w="2500"/>
      </w:tblGrid>
      <w:tr>
        <w:tc>
          <w:tcPr>
            <w:tcW w:type="dxa" w:w="150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PCI Range</w:t>
            </w:r>
          </w:p>
        </w:tc>
        <w:tc>
          <w:tcPr>
            <w:tcW w:type="dxa" w:w="200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Interpretation</w:t>
            </w:r>
          </w:p>
        </w:tc>
        <w:tc>
          <w:tcPr>
            <w:tcW w:type="dxa" w:w="336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Conditions</w:t>
            </w:r>
          </w:p>
        </w:tc>
        <w:tc>
          <w:tcPr>
            <w:tcW w:type="dxa" w:w="2500"/>
            <w:tcBorders>
              <w:top w:val="single" w:color="2D6A8A" w:sz="1"/>
              <w:left w:val="single" w:color="2D6A8A" w:sz="1"/>
              <w:bottom w:val="single" w:color="2D6A8A" w:sz="1"/>
              <w:right w:val="single" w:color="2D6A8A" w:sz="1"/>
            </w:tcBorders>
            <w:shd w:fill="2D6A8A"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 0.44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Conscious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Wakefulness, REM sleep, locked-in syndrome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Minimum observed during confirmed consciousness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0.31 – 0.44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Intermediate (MCS)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Minimally conscious state, emergence from MCS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Grey zone requiring clinical correlation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&lt; 0.31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Unconscious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NREM sleep, general anaesthesia, vegetative state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Maximum observed during confirmed unconsciousness</w:t>
            </w:r>
          </w:p>
        </w:tc>
      </w:tr>
    </w:tbl>
    <w:p>
      <w:pPr>
        <w:spacing w:after="60"/>
      </w:pPr>
    </w:p>
    <w:p>
      <w:pPr>
        <w:spacing w:after="180" w:line="276"/>
      </w:pPr>
      <w:r>
        <w:rPr>
          <w:b/>
          <w:bCs/>
        </w:rPr>
        <w:t xml:space="preserve">Important: </w:t>
      </w:r>
      <w:r>
        <w:t xml:space="preserve">These thresholds are from the original paper using inverse-solution source estimation. When using CSD (our default), interpret threshold crossings with caution. The relative ordering of PCI values (higher = more complex) remains valid, but absolute comparisons to the published cutoffs should not be made without local recalibration.</w:t>
      </w:r>
    </w:p>
    <w:p>
      <w:pPr>
        <w:spacing w:after="60"/>
      </w:pPr>
    </w:p>
    <w:p>
      <w:pPr>
        <w:pStyle w:val="Heading1"/>
        <w:spacing w:before="360" w:after="180"/>
      </w:pPr>
      <w:r>
        <w:t xml:space="preserve">10. Future Work</w:t>
      </w:r>
    </w:p>
    <w:p>
      <w:pPr>
        <w:pStyle w:val="ListParagraph"/>
        <w:numPr>
          <w:ilvl w:val="0"/>
          <w:numId w:val="2"/>
        </w:numPr>
        <w:spacing w:after="100" w:line="276"/>
      </w:pPr>
      <w:r>
        <w:rPr>
          <w:b/>
          <w:bCs/>
        </w:rPr>
        <w:t xml:space="preserve">PCI_ST (Comolatti et al., 2019): </w:t>
      </w:r>
      <w:r>
        <w:t xml:space="preserve">Implement the state-transition variant that uses SVD dimensionality reduction and recurrence quantification, which computes faster and has been validated on larger cohorts.</w:t>
      </w:r>
    </w:p>
    <w:p>
      <w:pPr>
        <w:pStyle w:val="ListParagraph"/>
        <w:numPr>
          <w:ilvl w:val="0"/>
          <w:numId w:val="2"/>
        </w:numPr>
        <w:spacing w:after="100" w:line="276"/>
      </w:pPr>
      <w:r>
        <w:rPr>
          <w:b/>
          <w:bCs/>
        </w:rPr>
        <w:t xml:space="preserve">Bootstrap confidence intervals: </w:t>
      </w:r>
      <w:r>
        <w:t xml:space="preserve">Report PCI uncertainty ranges via jackknife or bootstrap-of-bootstrap procedures.</w:t>
      </w:r>
    </w:p>
    <w:p>
      <w:pPr>
        <w:pStyle w:val="ListParagraph"/>
        <w:numPr>
          <w:ilvl w:val="0"/>
          <w:numId w:val="2"/>
        </w:numPr>
        <w:spacing w:after="100" w:line="276"/>
      </w:pPr>
      <w:r>
        <w:rPr>
          <w:b/>
          <w:bCs/>
        </w:rPr>
        <w:t xml:space="preserve">ISI histogram: </w:t>
      </w:r>
      <w:r>
        <w:t xml:space="preserve">Visual verification tool for istisna mode showing the inter-stimulus interval distribution.</w:t>
      </w:r>
    </w:p>
    <w:p>
      <w:pPr>
        <w:pStyle w:val="ListParagraph"/>
        <w:numPr>
          <w:ilvl w:val="0"/>
          <w:numId w:val="2"/>
        </w:numPr>
        <w:spacing w:after="100" w:line="276"/>
      </w:pPr>
      <w:r>
        <w:rPr>
          <w:b/>
          <w:bCs/>
        </w:rPr>
        <w:t xml:space="preserve">Full inverse solution: </w:t>
      </w:r>
      <w:r>
        <w:t xml:space="preserve">Integrate MNE’s minimum-norm estimation (MNE/dSPM/sLORETA) for closer alignment with the original Casali et al. methodology and direct threshold applicability.</w:t>
      </w:r>
    </w:p>
    <w:p>
      <w:pPr>
        <w:pStyle w:val="ListParagraph"/>
        <w:numPr>
          <w:ilvl w:val="0"/>
          <w:numId w:val="2"/>
        </w:numPr>
        <w:spacing w:after="100" w:line="276"/>
      </w:pPr>
      <w:r>
        <w:rPr>
          <w:b/>
          <w:bCs/>
        </w:rPr>
        <w:t xml:space="preserve">Additional file formats: </w:t>
      </w:r>
      <w:r>
        <w:t xml:space="preserve">Support for EDF/BDF/EEGLAB/FIF formats beyond BrainVision.</w:t>
      </w:r>
    </w:p>
    <w:p>
      <w:pPr>
        <w:pStyle w:val="ListParagraph"/>
        <w:numPr>
          <w:ilvl w:val="0"/>
          <w:numId w:val="2"/>
        </w:numPr>
        <w:spacing w:after="100" w:line="276"/>
      </w:pPr>
      <w:r>
        <w:rPr>
          <w:b/>
          <w:bCs/>
        </w:rPr>
        <w:t xml:space="preserve">Batch processing: </w:t>
      </w:r>
      <w:r>
        <w:t xml:space="preserve">Automated processing of multiple recordings for group-level analysis.</w:t>
      </w:r>
    </w:p>
    <w:p>
      <w:pPr>
        <w:spacing w:after="60"/>
      </w:pPr>
    </w:p>
    <w:p>
      <w:pPr>
        <w:pStyle w:val="Heading1"/>
        <w:spacing w:before="360" w:after="180"/>
      </w:pPr>
      <w:r>
        <w:t xml:space="preserve">11. References</w:t>
      </w:r>
    </w:p>
    <w:p>
      <w:pPr>
        <w:pStyle w:val="ListParagraph"/>
        <w:numPr>
          <w:ilvl w:val="0"/>
          <w:numId w:val="4"/>
        </w:numPr>
        <w:spacing w:after="100" w:line="276"/>
      </w:pPr>
      <w:r>
        <w:t xml:space="preserve">Casali AG, Gosseries O, Rosanova M, et al. (2013). A theoretically based index of consciousness independent of sensory processing and behavior. Science Translational Medicine, 5(198), 198ra105.</w:t>
      </w:r>
    </w:p>
    <w:p>
      <w:pPr>
        <w:pStyle w:val="ListParagraph"/>
        <w:numPr>
          <w:ilvl w:val="0"/>
          <w:numId w:val="4"/>
        </w:numPr>
        <w:spacing w:after="100" w:line="276"/>
      </w:pPr>
      <w:r>
        <w:t xml:space="preserve">Comolatti R, Pigorini A, Casarotto S, et al. (2019). A fast and general method to empirically estimate the complexity of brain responses to transcranial and intracranial stimulations. Brain Stimulation, 12(5), 1280–1289.</w:t>
      </w:r>
    </w:p>
    <w:p>
      <w:pPr>
        <w:pStyle w:val="ListParagraph"/>
        <w:numPr>
          <w:ilvl w:val="0"/>
          <w:numId w:val="4"/>
        </w:numPr>
        <w:spacing w:after="100" w:line="276"/>
      </w:pPr>
      <w:r>
        <w:t xml:space="preserve">Casarotto S, Comanducci A, Rosanova M, et al. (2016). Stratification of unresponsive patients by an independently validated index of brain complexity. Annals of Neurology, 80(5), 718–729.</w:t>
      </w:r>
    </w:p>
    <w:p>
      <w:pPr>
        <w:pStyle w:val="ListParagraph"/>
        <w:numPr>
          <w:ilvl w:val="0"/>
          <w:numId w:val="4"/>
        </w:numPr>
        <w:spacing w:after="100" w:line="276"/>
      </w:pPr>
      <w:r>
        <w:t xml:space="preserve">Nichols TE, Holmes AP (2002). Nonparametric permutation tests for functional neuroimaging: A primer with examples. Human Brain Mapping, 15(1), 1–25.</w:t>
      </w:r>
    </w:p>
    <w:p>
      <w:pPr>
        <w:pStyle w:val="ListParagraph"/>
        <w:numPr>
          <w:ilvl w:val="0"/>
          <w:numId w:val="4"/>
        </w:numPr>
        <w:spacing w:after="100" w:line="276"/>
      </w:pPr>
      <w:r>
        <w:t xml:space="preserve">Lempel A, Ziv J (1976). On the complexity of finite sequences. IEEE Transactions on Information Theory, 22(1), 75–81.</w:t>
      </w:r>
    </w:p>
    <w:p>
      <w:pPr>
        <w:pStyle w:val="ListParagraph"/>
        <w:numPr>
          <w:ilvl w:val="0"/>
          <w:numId w:val="4"/>
        </w:numPr>
        <w:spacing w:after="100" w:line="276"/>
      </w:pPr>
      <w:r>
        <w:t xml:space="preserve">Kaspar F, Schuster HG (1987). Easily calculable measure for the complexity of spatiotemporal patterns. Physical Review A, 36(2), 842–848.</w:t>
      </w:r>
    </w:p>
    <w:p>
      <w:pPr>
        <w:pStyle w:val="ListParagraph"/>
        <w:numPr>
          <w:ilvl w:val="0"/>
          <w:numId w:val="4"/>
        </w:numPr>
        <w:spacing w:after="100" w:line="276"/>
      </w:pPr>
      <w:r>
        <w:t xml:space="preserve">Rogasch NC, Sullivan C, Thomson RH, et al. (2017). Analysing concurrent transcranial magnetic stimulation and electroencephalographic data. NeuroImage, 147, 934–951.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PCI Calculator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050"/>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2D6A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E7F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2026-02-06T19:01:21.542Z</dcterms:created>
  <dcterms:modified xsi:type="dcterms:W3CDTF">2026-02-06T19:01:21.550Z</dcterms:modified>
</cp:coreProperties>
</file>

<file path=docProps/custom.xml><?xml version="1.0" encoding="utf-8"?>
<Properties xmlns="http://schemas.openxmlformats.org/officeDocument/2006/custom-properties" xmlns:vt="http://schemas.openxmlformats.org/officeDocument/2006/docPropsVTypes"/>
</file>