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953"/>
        <w:gridCol w:w="4953"/>
      </w:tblGrid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GİZLİLİK SÖZLEŞMESİ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NON-DISCLOSURE AGREEMENT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MADDE 1 - TARAFLAR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ARTICLE 1 - PARTIES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1.1. İşbu Gizlilik Sözleşmesi (“Sözleşme”), Lacivert Lojistik Anonim Şirketi (“Açıklayan Taraf”) ile Kuzeybatı Yazılım Teknolojileri Limited Şirketi (“Alıcı Taraf”) arasında akdedilmiştir.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1.1. This Non-Disclosure Agreement (the “Agreement”) is entered into by and between Lacivert Lojistik Anonim Şirketi (the “Disclosing Party”) and Kuzeybatı Yazılım Teknolojileri Limited Şirketi (the “Receiving Party”).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MADDE 2 - GİZLİ BİLGİ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ARTICLE 2 - CONFIDENTIAL INFORMATION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2.1. Gizli Bilgi; ticari, mali ve teknik bilgiler, müşteri listeleri, kaynak kodları ve Açıklayan Taraf’ça gizli olarak nitelendirilen her türlü bilgiyi kapsar.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2.1. Confidential Information includes commercial, financial and technical information, customer lists, source code and any information designated as confidential by the Disclosing Party.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2.2. Gizli Bilgi, yazılı, sözlü veya elektronik ortamda paylaşılmış olmasına bakılmaksızın bu Sözleşme kapsamındadır.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2.2. Confidential Information is covered by this Agreement regardless of whether it is disclosed in writing, orally or electronically.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MADDE 3 - YÜKÜMLÜLÜKLER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ARTICLE 3 - OBLIGATIONS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3.1. Alıcı Taraf, Gizli Bilgiyi yalnızca taraflar arasındaki iş ilişkisinin değerlendirilmesi amacıyla kullanacaktır.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3.1. The Receiving Party shall use the Confidential Information solely for the purpose of evaluating the business relationship between the parties.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3.2. Alıcı Taraf, Gizli Bilgiyi makul özeni göstererek korur ve yalnızca bilmesi gereken çalışanlarıyla paylaşabilir.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3.2. The Receiving Party shall protect the Confidential Information with reasonable care and may share it only with employees who need to know it.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MADDE 4 - İSTİSNALAR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ARTICLE 4 - EXCEPTIONS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4.1. Kamuya açık olan veya Alıcı Taraf’ın Sözleşme öncesinde hukuka uygun olarak edindiği bilgiler Gizli Bilgi sayılmaz.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4.1. Information that is publicly available or lawfully obtained by the Receiving Party before this Agreement is not Confidential Information.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MADDE 5 - SÜRE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ARTICLE 5 - TERM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5.1. İşbu Sözleşme imza tarihinde yürürlüğe girer ve 2 (iki) yıl süreyle geçerlidir.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5.1. This Agreement enters into force on the date of signature and remains in effect for 2 (two) years.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MADDE 6 - CEZAİ ŞART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ARTICLE 6 - PENALTY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6.1. Alıcı Taraf’ın bu Sözleşme’ye aykırı davranması hâlinde, Açıklayan Taraf’a 500.000,00 TL cezai şart ödenir.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6.1. If the Receiving Party breaches this Agreement, it shall pay the Disclosing Party a penalty of TRY 500,000.00.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MADDE 7 - BİLGİLERİN İADESİ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ARTICLE 7 - RETURN OF INFORMATION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7.1. Sözleşme’nin sona ermesi hâlinde Alıcı Taraf, Gizli Bilgiyi içeren tüm belgeleri 15 (on beş) gün içinde iade eder.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7.1. Upon termination of this Agreement, the Receiving Party shall return all documents containing Confidential Information within 15 (fifteen) days.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MADDE 8 - UYGULANACAK HUKUK VE YETKİ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ARTICLE 8 - GOVERNING LAW AND JURISDICTION</w:t>
            </w:r>
          </w:p>
        </w:tc>
      </w:tr>
      <w:tr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8.1. İşbu Sözleşme Türk hukukuna tabidir. Uyuşmazlıklarda İstanbul Merkez (Çağlayan) Mahkemeleri ve İcra Daireleri yetkilidir.</w:t>
            </w:r>
          </w:p>
        </w:tc>
        <w:tc>
          <w:tcPr>
            <w:tcW w:type="pct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b w:val="false"/>
                <w:bCs w:val="false"/>
              </w:rPr>
              <w:t xml:space="preserve">8.1. This Agreement is governed by Turkish law. The Courts and Enforcement Offices of Istanbul Central (Çağlayan) have jurisdiction over any dispute.</w:t>
            </w:r>
          </w:p>
        </w:tc>
      </w:tr>
    </w:tbl>
    <w:sectPr>
      <w:footerReference w:type="default" r:id="rId6"/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Sayfa /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NON-DISCLOSURE AGREEMENT (v1)</dc:title>
  <dc:creator>Redline fixtures</dc:creator>
  <cp:lastModifiedBy>Un-named</cp:lastModifiedBy>
  <cp:revision>1</cp:revision>
  <dcterms:created xsi:type="dcterms:W3CDTF">2026-10-15T07:56:28.967Z</dcterms:created>
  <dcterms:modified xsi:type="dcterms:W3CDTF">2026-10-15T07:56:28.967Z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