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953"/>
        <w:gridCol w:w="4953"/>
      </w:tblGrid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GİZLİLİK SÖZLEŞMESİ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NON-DISCLOSURE AGREEMENT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1 - TARAFLAR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1 - PARTIES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1.1. İşbu Gizlilik Sözleşmesi (“Sözleşme”), Lacivert Lojistik Anonim Şirketi (“Açıklayan Taraf”) ile Kuzeybatı Yazılım Teknolojileri Limited Şirketi (“Alıcı Taraf”) arasında akdedilmiştir.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1.1. This Non-Disclosure Agreement (the “Agreement”) is entered into by and between Lacivert Lojistik Anonim Şirketi (the “Disclosing Party”) and Kuzeybatı Yazılım Teknolojileri Limited Şirketi (the “Receiving Party”).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2 - GİZLİ BİLGİ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2 - CONFIDENTIAL INFORMATION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2.1. Gizli Bilgi; ticari, mali ve teknik bilgiler, müşteri listeleri, kişisel veriler, kaynak kodları ve Açıklayan Taraf’ça gizli olarak nitelendirilen her türlü bilgiyi kapsar.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2.1. Confidential Information includes commercial, financial and technical information, customer lists, personal data, source code and any information designated as confidential by the Disclosing Party.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2.2. Gizli Bilgi, yazılı, sözlü veya elektronik ortamda paylaşılmış olmasına bakılmaksızın bu Sözleşme kapsamındadır.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2.2. Confidential Information is covered by this Agreement regardless of whether it is disclosed in writing, orally or electronically.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3 - YÜKÜMLÜLÜKLER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3 - OBLIGATIONS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3.1. Alıcı Taraf, Gizli Bilgiyi yalnızca taraflar arasındaki iş ilişkisinin değerlendirilmesi amacıyla kullanacaktır.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3.1. The Receiving Party shall use the Confidential Information solely for the purpose of evaluating the business relationship between the parties.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3.2. Alıcı Taraf, Gizli Bilgiyi basiretli bir tacir gibi özen göstererek korur ve yalnızca bilmesi gereken çalışanlarıyla paylaşabilir.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3.2. The Receiving Party shall protect the Confidential Information with the care of a prudent merchant and may share it only with employees who need to know it.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3.3. Alıcı Taraf, Gizli Bilgiyi Açıklayan Taraf’ın önceden yazılı onayı olmaksızın üçüncü kişilere açıklayamaz.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3.3. The Receiving Party may not disclose Confidential Information to third parties without the prior written consent of the Disclosing Party.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4 - SÜRE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4 - TERM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4.1. İşbu Sözleşme imza tarihinde yürürlüğe girer ve 3 (üç) yıl süreyle geçerlidir.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4.1. This Agreement enters into force on the date of signature and remains in effect for 3 (three) years.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5 - CEZAİ ŞART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5 - PENALTY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5.1. Alıcı Taraf’ın bu Sözleşme’ye aykırı davranması hâlinde, Açıklayan Taraf’a 750.000,00 TL cezai şart ödenir.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5.1. If the Receiving Party breaches this Agreement, it shall pay the Disclosing Party a penalty of TRY 500,000.00.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6 - İSTİSNALAR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6 - EXCEPTIONS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6.1. Kamuya açık olan veya Alıcı Taraf’ın Sözleşme öncesinde hukuka uygun olarak edindiği bilgiler Gizli Bilgi sayılmaz.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6.1. Information that is publicly available or lawfully obtained by the Receiving Party before this Agreement is not Confidential Information.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7 - BİLGİLERİN İADESİ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7 - RETURN OF INFORMATION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7.1. Sözleşme’nin sona ermesi hâlinde Alıcı Taraf, Gizli Bilgiyi içeren tüm belgeleri 15 (on beş) gün içinde iade eder.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7.1. Upon termination of this Agreement, the Receiving Party shall return all documents containing Confidential Information within 10 (ten) days.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8 - UYGULANACAK HUKUK VE YETKİ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8 - GOVERNING LAW AND JURISDICTION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8.1. İşbu Sözleşme Türk hukukuna tabidir. Uyuşmazlıklarda İstanbul Anadolu Mahkemeleri ve İcra Daireleri yetkilidir.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8.1. This Agreement is governed by Turkish law. The Courts and Enforcement Offices of Istanbul Anatolian have jurisdiction over any dispute.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8.2. Türkçe ve İngilizce metinler arasında çelişki olması hâlinde Türkçe metin esas alınır.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8.2. In case of any conflict between the Turkish and English texts, the Turkish text shall prevail.</w:t>
            </w:r>
          </w:p>
        </w:tc>
      </w:tr>
    </w:tbl>
    <w:sectPr>
      <w:footerReference w:type="default" r:id="rId6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Sayfa /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 (v2)</dc:title>
  <dc:creator>Redline fixtures</dc:creator>
  <cp:lastModifiedBy>Un-named</cp:lastModifiedBy>
  <cp:revision>1</cp:revision>
  <dcterms:created xsi:type="dcterms:W3CDTF">2026-10-15T07:56:28.968Z</dcterms:created>
  <dcterms:modified xsi:type="dcterms:W3CDTF">2026-10-15T07:56:28.968Z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