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Literatür Taraması:</w:t>
      </w:r>
    </w:p>
    <w:p>
      <w:pPr>
        <w:spacing w:after="80"/>
        <w:jc w:val="center"/>
      </w:pPr>
      <w:r>
        <w:rPr>
          <w:rFonts w:ascii="Times New Roman" w:cs="Times New Roman" w:eastAsia="Times New Roman" w:hAnsi="Times New Roman"/>
          <w:b/>
          <w:bCs/>
          <w:sz w:val="30"/>
          <w:szCs w:val="30"/>
        </w:rPr>
        <w:t xml:space="preserve">Derin Öğrenme ile Sismik Görüntülerden Otomatik Jeolojik</w:t>
      </w:r>
    </w:p>
    <w:p>
      <w:pPr>
        <w:spacing w:after="80"/>
        <w:jc w:val="center"/>
      </w:pPr>
      <w:r>
        <w:rPr>
          <w:rFonts w:ascii="Times New Roman" w:cs="Times New Roman" w:eastAsia="Times New Roman" w:hAnsi="Times New Roman"/>
          <w:b/>
          <w:bCs/>
          <w:sz w:val="30"/>
          <w:szCs w:val="30"/>
        </w:rPr>
        <w:t xml:space="preserve">Katman Segmentasyonu</w:t>
      </w:r>
    </w:p>
    <w:p>
      <w:pPr>
        <w:spacing w:after="80"/>
        <w:jc w:val="center"/>
      </w:pPr>
      <w:r>
        <w:rPr>
          <w:rFonts w:ascii="Times New Roman" w:cs="Times New Roman" w:eastAsia="Times New Roman" w:hAnsi="Times New Roman"/>
          <w:i/>
          <w:iCs/>
          <w:sz w:val="24"/>
          <w:szCs w:val="24"/>
        </w:rPr>
        <w:t xml:space="preserve">Bilgisayarla Görme Dersi — Bahar 2026</w:t>
      </w:r>
    </w:p>
    <w:p>
      <w:pPr>
        <w:spacing w:after="360"/>
        <w:jc w:val="center"/>
      </w:pPr>
      <w:r>
        <w:rPr>
          <w:rFonts w:ascii="Times New Roman" w:cs="Times New Roman" w:eastAsia="Times New Roman" w:hAnsi="Times New Roman"/>
          <w:i/>
          <w:iCs/>
          <w:sz w:val="24"/>
          <w:szCs w:val="24"/>
        </w:rPr>
        <w:t xml:space="preserve">Hazırlayan: [Öğrenci Adı Soyadı]  |  Ankara Üniversitesi</w:t>
      </w:r>
    </w:p>
    <w:p>
      <w:pPr>
        <w:pBdr>
          <w:bottom w:val="single" w:color="2E4057" w:sz="6" w:space="1"/>
        </w:pBdr>
        <w:spacing w:before="360" w:after="160"/>
      </w:pPr>
      <w:r>
        <w:rPr>
          <w:rFonts w:ascii="Times New Roman" w:cs="Times New Roman" w:eastAsia="Times New Roman" w:hAnsi="Times New Roman"/>
          <w:b/>
          <w:bCs/>
          <w:caps/>
          <w:sz w:val="26"/>
          <w:szCs w:val="26"/>
        </w:rPr>
        <w:t xml:space="preserve">I. GIRIŞ VE MOTIVASYON</w:t>
      </w:r>
    </w:p>
    <w:p>
      <w:pPr>
        <w:spacing w:after="180" w:line="360"/>
        <w:jc w:val="both"/>
      </w:pPr>
      <w:r>
        <w:rPr>
          <w:rFonts w:ascii="Times New Roman" w:cs="Times New Roman" w:eastAsia="Times New Roman" w:hAnsi="Times New Roman"/>
          <w:sz w:val="24"/>
          <w:szCs w:val="24"/>
        </w:rPr>
        <w:t xml:space="preserve">Petrol ve doğalgaz endüstrisinde sismik veri analizi, yer altı yapılarının anlaşılmasında ve rezervuar keşfinde temel bir rol oynamaktadır. Geleneksel yöntemlerde sismik fasiyes yorumu, uzman jeofizikçiler tarafından manuel olarak gerçekleştirilmekte; bu durum zaman alıcı, maliyetli ve gözlemciden gözlemciye değişkenlik gösteren öznel bir süreç ortaya çıkarmaktadır. Dünya genelinde artan enerji talebi ile birlikte ham petrol ve doğalgaz arama faaliyetlerinin kapsamı genişlemekte; bu da büyük hacimlerdeki sismik verilerin hızlı ve doğru biçimde yorumlanmasını zorunlu kılmaktadır.</w:t>
      </w:r>
    </w:p>
    <w:p>
      <w:pPr>
        <w:spacing w:after="180" w:line="360"/>
        <w:jc w:val="both"/>
      </w:pPr>
      <w:r>
        <w:rPr>
          <w:rFonts w:ascii="Times New Roman" w:cs="Times New Roman" w:eastAsia="Times New Roman" w:hAnsi="Times New Roman"/>
          <w:sz w:val="24"/>
          <w:szCs w:val="24"/>
        </w:rPr>
        <w:t xml:space="preserve">Derin öğrenme, özellikle Evrişimli Sinir Ağları (ESA/CNN), son on yılda tıbbi ve uydu görüntü analizinde olduğu gibi sismik veri yorumunda da hâkim paradigma haline gelmiştir. Basit CNN sınıflandırıcılardan başlayan bu süreç, dikkat mekanizmaları, Vision Transformer (ViT) modelleri ve hibrit CNN-Transformer yapılarını kapsayan karmaşık mimarilere evrilmiştir. Hollanda F3 Bloğu ve Penobscot gibi referans veri setleri, standartlaştırılmış ve uzman tarafından açıklamalı sismik fasiyes koleksiyonları sağlayarak bu ilerlemeyi ivmelendirmiştir.</w:t>
      </w:r>
    </w:p>
    <w:p>
      <w:pPr>
        <w:spacing w:after="180" w:line="360"/>
        <w:jc w:val="both"/>
      </w:pPr>
      <w:r>
        <w:rPr>
          <w:rFonts w:ascii="Times New Roman" w:cs="Times New Roman" w:eastAsia="Times New Roman" w:hAnsi="Times New Roman"/>
          <w:sz w:val="24"/>
          <w:szCs w:val="24"/>
        </w:rPr>
        <w:t xml:space="preserve">Bu literatür taraması, derin öğrenme tabanlı sismik fasiyes segmentasyonunda mevcut bilimin durumunu temsil eden 11 anahtar yakın dönem yayını (2019–2025) sistematik biçimde ele almakta; ardından kendi ders projemizin hedefleri ve önerilen metodolojisi açıklanmaktadır.</w:t>
      </w:r>
    </w:p>
    <w:p>
      <w:pPr>
        <w:pBdr>
          <w:bottom w:val="single" w:color="2E4057" w:sz="6" w:space="1"/>
        </w:pBdr>
        <w:spacing w:before="360" w:after="160"/>
      </w:pPr>
      <w:r>
        <w:rPr>
          <w:rFonts w:ascii="Times New Roman" w:cs="Times New Roman" w:eastAsia="Times New Roman" w:hAnsi="Times New Roman"/>
          <w:b/>
          <w:bCs/>
          <w:caps/>
          <w:sz w:val="26"/>
          <w:szCs w:val="26"/>
        </w:rPr>
        <w:t xml:space="preserve">II. TEMEL YAKIN DÖNEM ÇALIŞMALARININ LITERATÜR TARAMASI</w:t>
      </w:r>
    </w:p>
    <w:p>
      <w:pPr>
        <w:spacing w:before="240" w:after="100"/>
      </w:pPr>
      <w:r>
        <w:rPr>
          <w:rFonts w:ascii="Times New Roman" w:cs="Times New Roman" w:eastAsia="Times New Roman" w:hAnsi="Times New Roman"/>
          <w:b/>
          <w:bCs/>
          <w:i/>
          <w:iCs/>
          <w:sz w:val="24"/>
          <w:szCs w:val="24"/>
        </w:rPr>
        <w:t xml:space="preserve">2.1  Benchmark Veri Seti: F3 Bloğu Açık Kaynak Modeli (2019)</w:t>
      </w:r>
    </w:p>
    <w:p>
      <w:pPr>
        <w:spacing w:after="180" w:line="360"/>
        <w:jc w:val="both"/>
      </w:pPr>
      <w:r>
        <w:rPr>
          <w:rFonts w:ascii="Times New Roman" w:cs="Times New Roman" w:eastAsia="Times New Roman" w:hAnsi="Times New Roman"/>
          <w:sz w:val="24"/>
          <w:szCs w:val="24"/>
        </w:rPr>
        <w:t xml:space="preserve">Alaudah ve arkadaşları tarafından yayımlanan bu temel çalışma, makine öğrenmesi topluluğu için Hollanda F3 Bloğuna ait tam etiketlenmiş 3B jeolojik modeli açık kaynak olarak sunmuştur. Farklı araştırmacıların farklı sınıflar ve bölünme stratejileri kullanmasından kaynaklanan karşılaştırma güçlükleri ele alınmış; standart bir değerlendirme çerçevesi oluşturulmuştur. 22.000'den fazla 128×128 piksel boyutunda görüntüden oluşan bu veri seti, yedi fasiyes sınıfı içermekte ve alandaki pek çok sonraki çalışmanın temel referans noktası haline gelmiştir. Çalışma, sismik fasiyes sınıflandırması için makine öğrenmesi modellerinin nicel sonuçlarla karşılaştırılabilmesini sağlayan standart bir benchmark ortamı sunması bakımından kritik öneme sahiptir.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[1]</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A Machine-Learning Benchmark for Facies Classification</w:t>
            </w:r>
          </w:p>
          <w:p>
            <w:pPr>
              <w:spacing w:after="80"/>
            </w:pPr>
            <w:r>
              <w:rPr>
                <w:rFonts w:ascii="Times New Roman" w:cs="Times New Roman" w:eastAsia="Times New Roman" w:hAnsi="Times New Roman"/>
                <w:i/>
                <w:iCs/>
                <w:sz w:val="20"/>
                <w:szCs w:val="20"/>
              </w:rPr>
              <w:t xml:space="preserve">Alaudah ve ark.  |  Interpretation, 2019</w:t>
            </w:r>
          </w:p>
          <w:p>
            <w:pPr>
              <w:spacing w:after="80"/>
            </w:pPr>
            <w:r>
              <w:rPr>
                <w:rFonts w:ascii="Times New Roman" w:cs="Times New Roman" w:eastAsia="Times New Roman" w:hAnsi="Times New Roman"/>
                <w:sz w:val="20"/>
                <w:szCs w:val="20"/>
              </w:rPr>
              <w:t xml:space="preserve">Hollanda F3 Bloğu için tam etiketlenmiş 3B sismik veri setini açık kaynak olarak sunar. Yedi fasiyes sınıfı, standart train/test bölünmesi ve nicel karşılaştırma altyapısı içermektedir. Alandaki tüm sonraki çalışmalara temel oluşturmuştur.</w:t>
            </w:r>
          </w:p>
          <w:p>
            <w:r>
              <w:rPr>
                <w:rFonts w:ascii="Times New Roman" w:cs="Times New Roman" w:eastAsia="Times New Roman" w:hAnsi="Times New Roman"/>
                <w:i/>
                <w:iCs/>
                <w:color w:val="1155CC"/>
                <w:sz w:val="18"/>
                <w:szCs w:val="18"/>
              </w:rPr>
              <w:t xml:space="preserve">DOI: 10.1190/INT-2018-0249.1</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2.2  CNN Toplulukları ile Sismik Fasiyes Segmentasyonu (2022)</w:t>
      </w:r>
    </w:p>
    <w:p>
      <w:pPr>
        <w:spacing w:after="180" w:line="360"/>
        <w:jc w:val="both"/>
      </w:pPr>
      <w:r>
        <w:rPr>
          <w:rFonts w:ascii="Times New Roman" w:cs="Times New Roman" w:eastAsia="Times New Roman" w:hAnsi="Times New Roman"/>
          <w:sz w:val="24"/>
          <w:szCs w:val="24"/>
        </w:rPr>
        <w:t xml:space="preserve">Wireless Communications and Mobile Computing dergisinde yayımlanan bu çalışmada, CNN mimarilerinden oluşan bir topluluk (ensemble) kullanılarak sismik fasiyes segmentasyonu gerçekleştirilmiştir. DeepLabv3+ ve SegNet mimarileri F3 veri seti üzerinde karşılaştırılmış; veri artırma (data augmentation) ile birlikte modellerin genelleme kapasitesinin arttığı gösterilmiştir. Toplam 22.368 görüntü üzerinde gerçekleştirilen deneylerde %90 üzeri IoU değerleri elde edilerek alanda güçlü bir referans oluşturulmuştur. Özellikle dilated convolution ve soft attention mekanizmalarının fasiyes sınırlarının tespitindeki katkısı ayrıntılı biçimde incelenmiştir.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[2]</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Seismic Facies Segmentation Using Ensemble of Convolutional Neural Networks</w:t>
            </w:r>
          </w:p>
          <w:p>
            <w:pPr>
              <w:spacing w:after="80"/>
            </w:pPr>
            <w:r>
              <w:rPr>
                <w:rFonts w:ascii="Times New Roman" w:cs="Times New Roman" w:eastAsia="Times New Roman" w:hAnsi="Times New Roman"/>
                <w:i/>
                <w:iCs/>
                <w:sz w:val="20"/>
                <w:szCs w:val="20"/>
              </w:rPr>
              <w:t xml:space="preserve">Abid, Khan ve Memon  |  Wireless Communications and Mobile Computing, 2022</w:t>
            </w:r>
          </w:p>
          <w:p>
            <w:pPr>
              <w:spacing w:after="80"/>
            </w:pPr>
            <w:r>
              <w:rPr>
                <w:rFonts w:ascii="Times New Roman" w:cs="Times New Roman" w:eastAsia="Times New Roman" w:hAnsi="Times New Roman"/>
                <w:sz w:val="20"/>
                <w:szCs w:val="20"/>
              </w:rPr>
              <w:t xml:space="preserve">F3 veri setinde DeepLabv3+ ve SegNet karşılaştırması. Veri artırma ile IoU &gt; %90 elde edilmiştir. Dilated convolution ile sınır tespiti iyileştirilmiştir. CNN topluluklarının sismik yorumda etkinliğini kanıtlamaktadır.</w:t>
            </w:r>
          </w:p>
          <w:p>
            <w:r>
              <w:rPr>
                <w:rFonts w:ascii="Times New Roman" w:cs="Times New Roman" w:eastAsia="Times New Roman" w:hAnsi="Times New Roman"/>
                <w:i/>
                <w:iCs/>
                <w:color w:val="1155CC"/>
                <w:sz w:val="18"/>
                <w:szCs w:val="18"/>
              </w:rPr>
              <w:t xml:space="preserve">DOI: 10.1155/2022/7762543</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2.3  DeepLabv3+ ve GAN Tabanlı Sismik Fasiyes Sınıflandırması (2023)</w:t>
      </w:r>
    </w:p>
    <w:p>
      <w:pPr>
        <w:spacing w:after="180" w:line="360"/>
        <w:jc w:val="both"/>
      </w:pPr>
      <w:r>
        <w:rPr>
          <w:rFonts w:ascii="Times New Roman" w:cs="Times New Roman" w:eastAsia="Times New Roman" w:hAnsi="Times New Roman"/>
          <w:sz w:val="24"/>
          <w:szCs w:val="24"/>
        </w:rPr>
        <w:t xml:space="preserve">Interpretation dergisinde yayımlanan bu çalışma, DeepLabv3+ ve Üretici Çekişmeli Ağ (GAN) mimarilerini sismik fasiyes sınıflandırması için karşılaştırmıştır. DeepLabv3+'ın fasiyes sınırlarını daha keskin belirlediği, GAN çıktısının ise fasiyes sürekliliğini daha iyi koruduğu gözlemlenmiştir. Bayesian çerçevesi kullanılarak tahmin belirsizliği analizi de çalışmaya dahil edilmiştir. Çalışmada öne çıkan kritik gözlem, iki modelin tamamlayıcı güçlere sahip olduğu ve birleşik analizin insan müdahalesini azaltarak yorumlama sürecini hızlandırabileceğidir.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[3]</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A Deep Learning Framework for Seismic Facies Classification</w:t>
            </w:r>
          </w:p>
          <w:p>
            <w:pPr>
              <w:spacing w:after="80"/>
            </w:pPr>
            <w:r>
              <w:rPr>
                <w:rFonts w:ascii="Times New Roman" w:cs="Times New Roman" w:eastAsia="Times New Roman" w:hAnsi="Times New Roman"/>
                <w:i/>
                <w:iCs/>
                <w:sz w:val="20"/>
                <w:szCs w:val="20"/>
              </w:rPr>
              <w:t xml:space="preserve">Kaur, Pham, Fomel ve ark.  |  Interpretation, 2023</w:t>
            </w:r>
          </w:p>
          <w:p>
            <w:pPr>
              <w:spacing w:after="80"/>
            </w:pPr>
            <w:r>
              <w:rPr>
                <w:rFonts w:ascii="Times New Roman" w:cs="Times New Roman" w:eastAsia="Times New Roman" w:hAnsi="Times New Roman"/>
                <w:sz w:val="20"/>
                <w:szCs w:val="20"/>
              </w:rPr>
              <w:t xml:space="preserve">DeepLabv3+ keskin sınırlar, GAN ise daha iyi fasiyes sürekliliği sağlamaktadır. Bayesian belirsizlik analizi entegre edilmiştir. Parihaka ve F3 veri setlerinde doğrulanmıştır. Çoklu ağ analizi ile yorumlama güvenilirliği artırılmıştır.</w:t>
            </w:r>
          </w:p>
          <w:p>
            <w:r>
              <w:rPr>
                <w:rFonts w:ascii="Times New Roman" w:cs="Times New Roman" w:eastAsia="Times New Roman" w:hAnsi="Times New Roman"/>
                <w:i/>
                <w:iCs/>
                <w:color w:val="1155CC"/>
                <w:sz w:val="18"/>
                <w:szCs w:val="18"/>
              </w:rPr>
              <w:t xml:space="preserve">DOI: 10.1190/INT-2022-0048.1</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2.4  Açıklanabilir Derin Öğrenme ile Sismik Fasiyes Sınıflandırması (2023)</w:t>
      </w:r>
    </w:p>
    <w:p>
      <w:pPr>
        <w:spacing w:after="180" w:line="360"/>
        <w:jc w:val="both"/>
      </w:pPr>
      <w:r>
        <w:rPr>
          <w:rFonts w:ascii="Times New Roman" w:cs="Times New Roman" w:eastAsia="Times New Roman" w:hAnsi="Times New Roman"/>
          <w:sz w:val="24"/>
          <w:szCs w:val="24"/>
        </w:rPr>
        <w:t xml:space="preserve">IEEE Transactions on Geoscience and Remote Sensing dergisinde yayımlanan bu çalışmada, sismik fasiyes sınıflandırması için açıklanabilir derin öğrenme (Explainable AI – XAI) yaklaşımı kullanılmıştır. İçsel yorumlanabilirlik yöntemi ile modelin hangi sismik özellik bölgelerine odaklandığı görselleştirilmiştir. Bu yaklaşım, jeolojik yorumun güvenilirliğini artırmakta ve jeofizikçilerin model kararlarını anlamlandırmasına olanak tanımaktadır. Çalışma, derin öğrenme modellerinin 'kara kutu' niteliğine pratik bir çözüm sunması bakımından alanda önemli bir katkı sağlamıştır.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[4]</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Explainable Deep Learning for Supervised Seismic Facies Classification Using Intrinsic Method</w:t>
            </w:r>
          </w:p>
          <w:p>
            <w:pPr>
              <w:spacing w:after="80"/>
            </w:pPr>
            <w:r>
              <w:rPr>
                <w:rFonts w:ascii="Times New Roman" w:cs="Times New Roman" w:eastAsia="Times New Roman" w:hAnsi="Times New Roman"/>
                <w:i/>
                <w:iCs/>
                <w:sz w:val="20"/>
                <w:szCs w:val="20"/>
              </w:rPr>
              <w:t xml:space="preserve">Noh, Kim ve Byun  |  IEEE Trans. Geosci. Remote Sens., 2023</w:t>
            </w:r>
          </w:p>
          <w:p>
            <w:pPr>
              <w:spacing w:after="80"/>
            </w:pPr>
            <w:r>
              <w:rPr>
                <w:rFonts w:ascii="Times New Roman" w:cs="Times New Roman" w:eastAsia="Times New Roman" w:hAnsi="Times New Roman"/>
                <w:sz w:val="20"/>
                <w:szCs w:val="20"/>
              </w:rPr>
              <w:t xml:space="preserve">İçsel XAI yöntemi ile model kararlarının görselleştirilmesi. Sismik fasiyes yorumunda şeffaflık sağlanmaktadır. Jeofizikçilerin modele güven duymasını kolaylaştırmaktadır. F3 veri seti üzerinde doğrulanmıştır.</w:t>
            </w:r>
          </w:p>
          <w:p>
            <w:r>
              <w:rPr>
                <w:rFonts w:ascii="Times New Roman" w:cs="Times New Roman" w:eastAsia="Times New Roman" w:hAnsi="Times New Roman"/>
                <w:i/>
                <w:iCs/>
                <w:color w:val="1155CC"/>
                <w:sz w:val="18"/>
                <w:szCs w:val="18"/>
              </w:rPr>
              <w:t xml:space="preserve">IEEE TGRS, Vol. 61, 2023</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2.5  Az Örnekli Öğrenme ile Sismik Fasiyes Segmentasyonu (2023)</w:t>
      </w:r>
    </w:p>
    <w:p>
      <w:pPr>
        <w:spacing w:after="180" w:line="360"/>
        <w:jc w:val="both"/>
      </w:pPr>
      <w:r>
        <w:rPr>
          <w:rFonts w:ascii="Times New Roman" w:cs="Times New Roman" w:eastAsia="Times New Roman" w:hAnsi="Times New Roman"/>
          <w:sz w:val="24"/>
          <w:szCs w:val="24"/>
        </w:rPr>
        <w:t xml:space="preserve">GEOPHYSICS dergisinde yayımlanan bu çalışma, sismik fasiyes segmentasyonunda az örnekli öğrenme (few-shot learning) yaklaşımını prototip öğrenme ile birleştirmiştir. Sismik veri açıklamasının son derece zaman alıcı ve uzman gerektiren bir süreç olduğu göz önünde bulundurulduğunda, sınırlı etiketli veriyle yüksek doğruluk elde edilebileceğinin kanıtlanması büyük pratik değer taşımaktadır. F3 ve Parihaka veri setlerinde gerçekleştirilen deneyler, yöntemin farklı jeolojik yapılara ve coğrafi bölgelere genellenebilirliğini ortaya koymuştur.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[5]</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Few-Shot Learning for Seismic Facies Segmentation via Prototype Learning</w:t>
            </w:r>
          </w:p>
          <w:p>
            <w:pPr>
              <w:spacing w:after="80"/>
            </w:pPr>
            <w:r>
              <w:rPr>
                <w:rFonts w:ascii="Times New Roman" w:cs="Times New Roman" w:eastAsia="Times New Roman" w:hAnsi="Times New Roman"/>
                <w:i/>
                <w:iCs/>
                <w:sz w:val="20"/>
                <w:szCs w:val="20"/>
              </w:rPr>
              <w:t xml:space="preserve">Zhao, Chai, Shuo ve ark.  |  GEOPHYSICS, 2023</w:t>
            </w:r>
          </w:p>
          <w:p>
            <w:pPr>
              <w:spacing w:after="80"/>
            </w:pPr>
            <w:r>
              <w:rPr>
                <w:rFonts w:ascii="Times New Roman" w:cs="Times New Roman" w:eastAsia="Times New Roman" w:hAnsi="Times New Roman"/>
                <w:sz w:val="20"/>
                <w:szCs w:val="20"/>
              </w:rPr>
              <w:t xml:space="preserve">Prototip öğrenme ile az örnekli sismik fasiyes segmentasyonu. Sınırlı etiketli veriyle yüksek doğruluk elde edilmektedir. F3 ve Parihaka veri setlerinde test edilmiştir. Açıklama maliyetini önemli ölçüde azaltmaktadır.</w:t>
            </w:r>
          </w:p>
          <w:p>
            <w:r>
              <w:rPr>
                <w:rFonts w:ascii="Times New Roman" w:cs="Times New Roman" w:eastAsia="Times New Roman" w:hAnsi="Times New Roman"/>
                <w:i/>
                <w:iCs/>
                <w:color w:val="1155CC"/>
                <w:sz w:val="18"/>
                <w:szCs w:val="18"/>
              </w:rPr>
              <w:t xml:space="preserve">DOI: 10.1190/geo2022-0281.1</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2.6  Geliştirilmiş Dilated U-Net ile %96 Sınıflandırma Doğruluğu (2024)</w:t>
      </w:r>
    </w:p>
    <w:p>
      <w:pPr>
        <w:spacing w:after="180" w:line="360"/>
        <w:jc w:val="both"/>
      </w:pPr>
      <w:r>
        <w:rPr>
          <w:rFonts w:ascii="Times New Roman" w:cs="Times New Roman" w:eastAsia="Times New Roman" w:hAnsi="Times New Roman"/>
          <w:sz w:val="24"/>
          <w:szCs w:val="24"/>
        </w:rPr>
        <w:t xml:space="preserve">Petroleum Science dergisinde yayımlanan bu çalışmada, U-Net mimarisine uzamsal piramit havuzlama (spatial pyramid pooling) ve dilated convolution modülleri entegre edilerek sismik fasiyes sınıflandırması iyileştirilmiştir. F3 veri seti üzerinde %96 sınıflandırma doğruluğu elde edilmesi, mimari iyileştirmelerin ne denli etkili olabileceğini açıkça ortaya koymaktadır. Çalışmanın öne çıkan bulgusu, küçük eğitim veri setleriyle dahi etkili segmentasyon sonuçları üretilebileceğinin gösterilmesidir; bu özellik, yeni keşif bölgelerindeki sınırlı veri koşullarında doğrudan uygulama potansiyeli taşımaktadır.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[6]</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An Improved Deep Dilated Convolutional Neural Network for Seismic Facies Interpretation</w:t>
            </w:r>
          </w:p>
          <w:p>
            <w:pPr>
              <w:spacing w:after="80"/>
            </w:pPr>
            <w:r>
              <w:rPr>
                <w:rFonts w:ascii="Times New Roman" w:cs="Times New Roman" w:eastAsia="Times New Roman" w:hAnsi="Times New Roman"/>
                <w:i/>
                <w:iCs/>
                <w:sz w:val="20"/>
                <w:szCs w:val="20"/>
              </w:rPr>
              <w:t xml:space="preserve">Yang, Li, Li ve ark.  |  Petroleum Science, 2024</w:t>
            </w:r>
          </w:p>
          <w:p>
            <w:pPr>
              <w:spacing w:after="80"/>
            </w:pPr>
            <w:r>
              <w:rPr>
                <w:rFonts w:ascii="Times New Roman" w:cs="Times New Roman" w:eastAsia="Times New Roman" w:hAnsi="Times New Roman"/>
                <w:sz w:val="20"/>
                <w:szCs w:val="20"/>
              </w:rPr>
              <w:t xml:space="preserve">U-Net + uzamsal piramit havuzlama + dilated convolution entegrasyonu. F3 veri setinde %96 doğruluk elde edilmiştir. Küçük veri setlerinde etkili sonuç üretmektedir. Fasiyes sınırlarının hassas belirlenmesini sağlamaktadır.</w:t>
            </w:r>
          </w:p>
          <w:p>
            <w:r>
              <w:rPr>
                <w:rFonts w:ascii="Times New Roman" w:cs="Times New Roman" w:eastAsia="Times New Roman" w:hAnsi="Times New Roman"/>
                <w:i/>
                <w:iCs/>
                <w:color w:val="1155CC"/>
                <w:sz w:val="18"/>
                <w:szCs w:val="18"/>
              </w:rPr>
              <w:t xml:space="preserve">DOI: 10.1016/j.petsci.2023.11.027</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2.7  Öz-Denetimli Öğrenme ile Verimli Fasiyes Sınıflandırması (2024)</w:t>
      </w:r>
    </w:p>
    <w:p>
      <w:pPr>
        <w:spacing w:after="180" w:line="360"/>
        <w:jc w:val="both"/>
      </w:pPr>
      <w:r>
        <w:rPr>
          <w:rFonts w:ascii="Times New Roman" w:cs="Times New Roman" w:eastAsia="Times New Roman" w:hAnsi="Times New Roman"/>
          <w:sz w:val="24"/>
          <w:szCs w:val="24"/>
        </w:rPr>
        <w:t xml:space="preserve">GEOPHYSICS dergisinde yayımlanan bu çalışmada, etiketlenmemiş verilerden güçlü temsiller öğrenen öz-denetimli öğrenme (Self-Supervised Learning – SSL) yöntemi sismik fasiyes sınıflandırmasına uygulanmıştır. Modeller görüntü yeniden yapılandırma üzerinde önceden eğitilmiş, ardından fasiyes segmentasyonu için ince ayar yapılmıştır. Yalnızca verilerin %5–10'unun etiketlenmesiyle tam denetimli öğrenmeyle karşılaştırılabilir sonuçlar elde edilebileceğinin gösterilmesi, açıklama maliyetinin pratik bir çözümle nasıl aşılabileceğini somut biçimde ortaya koymaktadır.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[7]</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Self-Supervised Learning for Efficient Seismic Facies Classification</w:t>
            </w:r>
          </w:p>
          <w:p>
            <w:pPr>
              <w:spacing w:after="80"/>
            </w:pPr>
            <w:r>
              <w:rPr>
                <w:rFonts w:ascii="Times New Roman" w:cs="Times New Roman" w:eastAsia="Times New Roman" w:hAnsi="Times New Roman"/>
                <w:i/>
                <w:iCs/>
                <w:sz w:val="20"/>
                <w:szCs w:val="20"/>
              </w:rPr>
              <w:t xml:space="preserve">Chikhaoui ve Alfarraj  |  GEOPHYSICS, 2024</w:t>
            </w:r>
          </w:p>
          <w:p>
            <w:pPr>
              <w:spacing w:after="80"/>
            </w:pPr>
            <w:r>
              <w:rPr>
                <w:rFonts w:ascii="Times New Roman" w:cs="Times New Roman" w:eastAsia="Times New Roman" w:hAnsi="Times New Roman"/>
                <w:sz w:val="20"/>
                <w:szCs w:val="20"/>
              </w:rPr>
              <w:t xml:space="preserve">SSL ile etiketlenmemiş veriden güçlü temsil öğrenimi. Yalnızca %5–10 etiketli veriyle tam denetimli öğrenmeye yakın başarı. F3 ve Penobscot veri setlerinde doğrulanmıştır. Açıklama maliyetini dramatik biçimde azaltmaktadır.</w:t>
            </w:r>
          </w:p>
          <w:p>
            <w:r>
              <w:rPr>
                <w:rFonts w:ascii="Times New Roman" w:cs="Times New Roman" w:eastAsia="Times New Roman" w:hAnsi="Times New Roman"/>
                <w:i/>
                <w:iCs/>
                <w:color w:val="1155CC"/>
                <w:sz w:val="18"/>
                <w:szCs w:val="18"/>
              </w:rPr>
              <w:t xml:space="preserve">DOI: 10.1190/geo2023-0508.1</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2.8  SegFormer Tabanlı Kodlayıcı-Çözücü Mimarisi (2023)</w:t>
      </w:r>
    </w:p>
    <w:p>
      <w:pPr>
        <w:spacing w:after="180" w:line="360"/>
        <w:jc w:val="both"/>
      </w:pPr>
      <w:r>
        <w:rPr>
          <w:rFonts w:ascii="Times New Roman" w:cs="Times New Roman" w:eastAsia="Times New Roman" w:hAnsi="Times New Roman"/>
          <w:sz w:val="24"/>
          <w:szCs w:val="24"/>
        </w:rPr>
        <w:t xml:space="preserve">IEEE Transactions on Geoscience and Remote Sensing dergisinde yayımlanan bu çalışma, Transformer tabanlı SegFormer mimarisini özel bir kodlayıcı-çözücü-hypercolumn şeması ile birleştirerek sismik fasiyes segmentasyonuna uygulamıştır. Geleneksel CNN tabanlı yöntemlere kıyasla daha iyi uzun menzilli bağımlılık modelleme kapasitesi elde edilmiştir. Çalışma, Vision Transformer mimarilerinin yalnızca görüntü sınıflandırmasında değil, piksel düzeyinde sismik veri segmentasyonunda da büyük potansiyel taşıdığını kanıtlamaktadır.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[8]</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Seismic Facies Segmentation via a SegFormer-Based Specific Encoder-Decoder-Hypercolumns Scheme</w:t>
            </w:r>
          </w:p>
          <w:p>
            <w:pPr>
              <w:spacing w:after="80"/>
            </w:pPr>
            <w:r>
              <w:rPr>
                <w:rFonts w:ascii="Times New Roman" w:cs="Times New Roman" w:eastAsia="Times New Roman" w:hAnsi="Times New Roman"/>
                <w:i/>
                <w:iCs/>
                <w:sz w:val="20"/>
                <w:szCs w:val="20"/>
              </w:rPr>
              <w:t xml:space="preserve">Wang ve ark.  |  IEEE Trans. Geosci. Remote Sens., 2023</w:t>
            </w:r>
          </w:p>
          <w:p>
            <w:pPr>
              <w:spacing w:after="80"/>
            </w:pPr>
            <w:r>
              <w:rPr>
                <w:rFonts w:ascii="Times New Roman" w:cs="Times New Roman" w:eastAsia="Times New Roman" w:hAnsi="Times New Roman"/>
                <w:sz w:val="20"/>
                <w:szCs w:val="20"/>
              </w:rPr>
              <w:t xml:space="preserve">SegFormer + özel hypercolumn kodlayıcı-çözücü mimarisi. Uzun menzilli bağımlılık modellemesinde CNN'leri geride bırakmaktadır. Vision Transformer'ların sismik segmentasyondaki potansiyelini kanıtlamaktadır.</w:t>
            </w:r>
          </w:p>
          <w:p>
            <w:r>
              <w:rPr>
                <w:rFonts w:ascii="Times New Roman" w:cs="Times New Roman" w:eastAsia="Times New Roman" w:hAnsi="Times New Roman"/>
                <w:i/>
                <w:iCs/>
                <w:color w:val="1155CC"/>
                <w:sz w:val="18"/>
                <w:szCs w:val="18"/>
              </w:rPr>
              <w:t xml:space="preserve">IEEE TGRS, Vol. 61, 2023</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2.9  Yakınlık Kısıtı Stratejisi ile Uma-Net Modeli (2024)</w:t>
      </w:r>
    </w:p>
    <w:p>
      <w:pPr>
        <w:spacing w:after="180" w:line="360"/>
        <w:jc w:val="both"/>
      </w:pPr>
      <w:r>
        <w:rPr>
          <w:rFonts w:ascii="Times New Roman" w:cs="Times New Roman" w:eastAsia="Times New Roman" w:hAnsi="Times New Roman"/>
          <w:sz w:val="24"/>
          <w:szCs w:val="24"/>
        </w:rPr>
        <w:t xml:space="preserve">IEEE Transactions on Geoscience and Remote Sensing dergisinde yayımlanan bu çalışmada, sismik fasiyes segmentasyonu için yakınlık kısıtı stratejisi kullanan Uma-Net modeli geliştirilmiştir. Model, jeolojik katmanların fiziksel olarak sürekli yapılar oluşturduğu gerçeğinden hareketle komşu piksel ilişkilerini göz önünde bulundurmakta; bu sayede derin öğrenme modelinin jeolojik gerçekçiliği koruyarak tahmin yapması sağlanmaktadır. Çalışma, yalnızca veri odaklı bir yaklaşımın ötesine geçerek alan bilgisini mimari tasarıma entegre eden özgün bir yöntem sunmaktadır.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[9]</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Deep Learning Segmentation of Seismic Facies Based on Proximity Constraint Strategy: Innovative Application of Uma-Net Model</w:t>
            </w:r>
          </w:p>
          <w:p>
            <w:pPr>
              <w:spacing w:after="80"/>
            </w:pPr>
            <w:r>
              <w:rPr>
                <w:rFonts w:ascii="Times New Roman" w:cs="Times New Roman" w:eastAsia="Times New Roman" w:hAnsi="Times New Roman"/>
                <w:i/>
                <w:iCs/>
                <w:sz w:val="20"/>
                <w:szCs w:val="20"/>
              </w:rPr>
              <w:t xml:space="preserve">Deng, Liang, Luo ve Zhang  |  IEEE Trans. Geosci. Remote Sens., 2024</w:t>
            </w:r>
          </w:p>
          <w:p>
            <w:pPr>
              <w:spacing w:after="80"/>
            </w:pPr>
            <w:r>
              <w:rPr>
                <w:rFonts w:ascii="Times New Roman" w:cs="Times New Roman" w:eastAsia="Times New Roman" w:hAnsi="Times New Roman"/>
                <w:sz w:val="20"/>
                <w:szCs w:val="20"/>
              </w:rPr>
              <w:t xml:space="preserve">Yakınlık kısıtı ile jeolojik sürekliliği koruyan Uma-Net modeli. Alan bilgisi mimari tasarıma entegre edilmektedir. Fiziksel gerçekçiliği gözeten özgün bir derin öğrenme çerçevesi sunmaktadır.</w:t>
            </w:r>
          </w:p>
          <w:p>
            <w:r>
              <w:rPr>
                <w:rFonts w:ascii="Times New Roman" w:cs="Times New Roman" w:eastAsia="Times New Roman" w:hAnsi="Times New Roman"/>
                <w:i/>
                <w:iCs/>
                <w:color w:val="1155CC"/>
                <w:sz w:val="18"/>
                <w:szCs w:val="18"/>
              </w:rPr>
              <w:t xml:space="preserve">IEEE TGRS, 2024</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2.10  Büyük Görme Modelleri ile Etkileşimli Fasiyes Yorumu (2025)</w:t>
      </w:r>
    </w:p>
    <w:p>
      <w:pPr>
        <w:spacing w:after="180" w:line="360"/>
        <w:jc w:val="both"/>
      </w:pPr>
      <w:r>
        <w:rPr>
          <w:rFonts w:ascii="Times New Roman" w:cs="Times New Roman" w:eastAsia="Times New Roman" w:hAnsi="Times New Roman"/>
          <w:sz w:val="24"/>
          <w:szCs w:val="24"/>
        </w:rPr>
        <w:t xml:space="preserve">IEEE Access dergisinde yayımlanan bu güncel çalışmada, büyük ön-eğitimli görme modelleri (Large Vision Models) sismik fasiyes yorumlamasına uyarlanmıştır. Kullanıcı yönlendirmeli etkileşimli segmentasyon yaklaşımıyla uzman geri bildiriminin modele entegrasyonu sağlanmıştır. Bu çalışmanın önemi, tamamen otomatik sistemlerin ötesine geçerek insan-makine işbirliğine dayalı bir yorum çerçevesi önermesindedir; bu yaklaşım, jeolojik yorumun hâlâ önemli ölçüde uzman yargısı gerektirdiği gerçek klinik koşullarda büyük değer taşımaktadır.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[10]</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Towards User-Guided Seismic Facies Interpretation with a Pre-trained Large Vision Model</w:t>
            </w:r>
          </w:p>
          <w:p>
            <w:pPr>
              <w:spacing w:after="80"/>
            </w:pPr>
            <w:r>
              <w:rPr>
                <w:rFonts w:ascii="Times New Roman" w:cs="Times New Roman" w:eastAsia="Times New Roman" w:hAnsi="Times New Roman"/>
                <w:i/>
                <w:iCs/>
                <w:sz w:val="20"/>
                <w:szCs w:val="20"/>
              </w:rPr>
              <w:t xml:space="preserve">Atolagbe ve Koeshidayatullah  |  IEEE Access, 2025</w:t>
            </w:r>
          </w:p>
          <w:p>
            <w:pPr>
              <w:spacing w:after="80"/>
            </w:pPr>
            <w:r>
              <w:rPr>
                <w:rFonts w:ascii="Times New Roman" w:cs="Times New Roman" w:eastAsia="Times New Roman" w:hAnsi="Times New Roman"/>
                <w:sz w:val="20"/>
                <w:szCs w:val="20"/>
              </w:rPr>
              <w:t xml:space="preserve">Büyük ön-eğitimli görme modelleri sismik yoruma uyarlanmıştır. Kullanıcı geri bildirimi ile etkileşimli segmentasyon. İnsan-makine işbirliğine dayalı yorum çerçevesi. Gerçek dünya uygulamalarına yönelik güçlü bir vizyon sunmaktadır.</w:t>
            </w:r>
          </w:p>
          <w:p>
            <w:r>
              <w:rPr>
                <w:rFonts w:ascii="Times New Roman" w:cs="Times New Roman" w:eastAsia="Times New Roman" w:hAnsi="Times New Roman"/>
                <w:i/>
                <w:iCs/>
                <w:color w:val="1155CC"/>
                <w:sz w:val="18"/>
                <w:szCs w:val="18"/>
              </w:rPr>
              <w:t xml:space="preserve">IEEE Access, 2025</w:t>
            </w:r>
          </w:p>
        </w:tc>
      </w:tr>
    </w:tbl>
    <w:p>
      <w:pPr>
        <w:spacing w:after="120"/>
      </w:pPr>
      <w:r>
        <w:t xml:space="preserve"/>
      </w:r>
    </w:p>
    <w:p>
      <w:pPr>
        <w:spacing w:before="240" w:after="100"/>
      </w:pPr>
      <w:r>
        <w:rPr>
          <w:rFonts w:ascii="Times New Roman" w:cs="Times New Roman" w:eastAsia="Times New Roman" w:hAnsi="Times New Roman"/>
          <w:b/>
          <w:bCs/>
          <w:i/>
          <w:iCs/>
          <w:sz w:val="24"/>
          <w:szCs w:val="24"/>
        </w:rPr>
        <w:t xml:space="preserve">2.11  Sistematik Değerlendirme: 11 Derin Öğrenme Modelinin Karşılaştırması (2025)</w:t>
      </w:r>
    </w:p>
    <w:p>
      <w:pPr>
        <w:spacing w:after="180" w:line="360"/>
        <w:jc w:val="both"/>
      </w:pPr>
      <w:r>
        <w:rPr>
          <w:rFonts w:ascii="Times New Roman" w:cs="Times New Roman" w:eastAsia="Times New Roman" w:hAnsi="Times New Roman"/>
          <w:sz w:val="24"/>
          <w:szCs w:val="24"/>
        </w:rPr>
        <w:t xml:space="preserve">Earth Science Informatics dergisinde yayımlanan bu kapsamlı çalışmada, F3, Penobscot ve Parihaka veri setleri üzerinde 11 farklı derin öğrenme modelinin sistematik değerlendirmesi gerçekleştirilmiştir. Geleneksel ve hafif mimariler, 2B ve 3B modeller ile bir temel model dahil geniş bir mimari yelpazesi incelenmiştir. Çalışma, alanda adil model karşılaştırmasının önündeki başlıca engelin tutarsız veri bölünme stratejileri olduğunu saptamış; iki özgün bölünme stratejisi önermiştir. Bu meta-analiz niteliğindeki çalışma, alandaki metodolojik boşlukları açıkça belgelemektedir.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126"/>
      </w:tblGrid>
      <w:tr>
        <w:tc>
          <w:tcPr>
            <w:tcW w:type="dxa" w:w="900"/>
            <w:tcBorders>
              <w:top w:val="single" w:color="333333" w:sz="4"/>
              <w:left w:val="single" w:color="333333" w:sz="4"/>
              <w:bottom w:val="single" w:color="333333" w:sz="4"/>
              <w:right w:val="single" w:color="333333" w:sz="4"/>
            </w:tcBorders>
            <w:shd w:fill="2E4057" w:val="clear"/>
            <w:tcMar>
              <w:top w:type="dxa" w:w="120"/>
              <w:left w:type="dxa" w:w="160"/>
              <w:bottom w:type="dxa" w:w="120"/>
              <w:right w:type="dxa" w:w="160"/>
            </w:tcMar>
            <w:vAlign w:val="center"/>
          </w:tcPr>
          <w:p>
            <w:pPr>
              <w:jc w:val="center"/>
            </w:pPr>
            <w:r>
              <w:rPr>
                <w:rFonts w:ascii="Times New Roman" w:cs="Times New Roman" w:eastAsia="Times New Roman" w:hAnsi="Times New Roman"/>
                <w:b/>
                <w:bCs/>
                <w:color w:val="FFFFFF"/>
                <w:sz w:val="24"/>
                <w:szCs w:val="24"/>
              </w:rPr>
              <w:t xml:space="preserve">[11]</w:t>
            </w:r>
          </w:p>
        </w:tc>
        <w:tc>
          <w:tcPr>
            <w:tcW w:type="dxa" w:w="8126"/>
            <w:tcBorders>
              <w:top w:val="single" w:color="333333" w:sz="4"/>
              <w:left w:val="single" w:color="333333" w:sz="4"/>
              <w:bottom w:val="single" w:color="333333" w:sz="4"/>
              <w:right w:val="single" w:color="333333" w:sz="4"/>
            </w:tcBorders>
            <w:shd w:fill="F5F5F5"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A Systematic Evaluation Methodology of Deep Learning on Seismic Facies Classification</w:t>
            </w:r>
          </w:p>
          <w:p>
            <w:pPr>
              <w:spacing w:after="80"/>
            </w:pPr>
            <w:r>
              <w:rPr>
                <w:rFonts w:ascii="Times New Roman" w:cs="Times New Roman" w:eastAsia="Times New Roman" w:hAnsi="Times New Roman"/>
                <w:i/>
                <w:iCs/>
                <w:sz w:val="20"/>
                <w:szCs w:val="20"/>
              </w:rPr>
              <w:t xml:space="preserve">Alaudah ve ark.  |  Earth Science Informatics, 2025</w:t>
            </w:r>
          </w:p>
          <w:p>
            <w:pPr>
              <w:spacing w:after="80"/>
            </w:pPr>
            <w:r>
              <w:rPr>
                <w:rFonts w:ascii="Times New Roman" w:cs="Times New Roman" w:eastAsia="Times New Roman" w:hAnsi="Times New Roman"/>
                <w:sz w:val="20"/>
                <w:szCs w:val="20"/>
              </w:rPr>
              <w:t xml:space="preserve">F3, Penobscot ve Parihaka üzerinde 11 modelin sistematik karşılaştırması. Tutarsız veri bölünme stratejilerinin adil karşılaştırmayı engellediği tespit edilmiştir. İki özgün bölünme stratejisi önerilmiştir. Alandaki metodolojik boşlukları belgeleyen kapsamlı bir meta-analiz.</w:t>
            </w:r>
          </w:p>
          <w:p>
            <w:r>
              <w:rPr>
                <w:rFonts w:ascii="Times New Roman" w:cs="Times New Roman" w:eastAsia="Times New Roman" w:hAnsi="Times New Roman"/>
                <w:i/>
                <w:iCs/>
                <w:color w:val="1155CC"/>
                <w:sz w:val="18"/>
                <w:szCs w:val="18"/>
              </w:rPr>
              <w:t xml:space="preserve">Earth Science Informatics, 2025</w:t>
            </w:r>
          </w:p>
        </w:tc>
      </w:tr>
    </w:tbl>
    <w:p>
      <w:pPr>
        <w:spacing w:after="120"/>
      </w:pPr>
      <w:r>
        <w:t xml:space="preserve"/>
      </w:r>
    </w:p>
    <w:p>
      <w:pPr>
        <w:pBdr>
          <w:bottom w:val="single" w:color="2E4057" w:sz="6" w:space="1"/>
        </w:pBdr>
        <w:spacing w:before="360" w:after="160"/>
      </w:pPr>
      <w:r>
        <w:rPr>
          <w:rFonts w:ascii="Times New Roman" w:cs="Times New Roman" w:eastAsia="Times New Roman" w:hAnsi="Times New Roman"/>
          <w:b/>
          <w:bCs/>
          <w:caps/>
          <w:sz w:val="26"/>
          <w:szCs w:val="26"/>
        </w:rPr>
        <w:t xml:space="preserve">III. İNCELENEN ÇALIŞMALARIN KARŞILAŞTIRMALI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700"/>
        <w:gridCol w:w="2300"/>
        <w:gridCol w:w="1700"/>
        <w:gridCol w:w="1726"/>
      </w:tblGrid>
      <w:tr>
        <w:trPr>
          <w:tblHeader/>
        </w:trPr>
        <w:tc>
          <w:tcPr>
            <w:tcW w:type="dxa" w:w="400"/>
            <w:tcBorders>
              <w:top w:val="single" w:color="333333" w:sz="4"/>
              <w:left w:val="single" w:color="333333" w:sz="4"/>
              <w:bottom w:val="single" w:color="333333" w:sz="4"/>
              <w:right w:val="single" w:color="333333"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2200"/>
            <w:tcBorders>
              <w:top w:val="single" w:color="333333" w:sz="4"/>
              <w:left w:val="single" w:color="333333" w:sz="4"/>
              <w:bottom w:val="single" w:color="333333" w:sz="4"/>
              <w:right w:val="single" w:color="333333"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Yöntem</w:t>
            </w:r>
          </w:p>
        </w:tc>
        <w:tc>
          <w:tcPr>
            <w:tcW w:type="dxa" w:w="700"/>
            <w:tcBorders>
              <w:top w:val="single" w:color="333333" w:sz="4"/>
              <w:left w:val="single" w:color="333333" w:sz="4"/>
              <w:bottom w:val="single" w:color="333333" w:sz="4"/>
              <w:right w:val="single" w:color="333333"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Yıl</w:t>
            </w:r>
          </w:p>
        </w:tc>
        <w:tc>
          <w:tcPr>
            <w:tcW w:type="dxa" w:w="2300"/>
            <w:tcBorders>
              <w:top w:val="single" w:color="333333" w:sz="4"/>
              <w:left w:val="single" w:color="333333" w:sz="4"/>
              <w:bottom w:val="single" w:color="333333" w:sz="4"/>
              <w:right w:val="single" w:color="333333"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Mimari</w:t>
            </w:r>
          </w:p>
        </w:tc>
        <w:tc>
          <w:tcPr>
            <w:tcW w:type="dxa" w:w="1700"/>
            <w:tcBorders>
              <w:top w:val="single" w:color="333333" w:sz="4"/>
              <w:left w:val="single" w:color="333333" w:sz="4"/>
              <w:bottom w:val="single" w:color="333333" w:sz="4"/>
              <w:right w:val="single" w:color="333333"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Veri Seti</w:t>
            </w:r>
          </w:p>
        </w:tc>
        <w:tc>
          <w:tcPr>
            <w:tcW w:type="dxa" w:w="1726"/>
            <w:tcBorders>
              <w:top w:val="single" w:color="333333" w:sz="4"/>
              <w:left w:val="single" w:color="333333" w:sz="4"/>
              <w:bottom w:val="single" w:color="333333" w:sz="4"/>
              <w:right w:val="single" w:color="333333"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 İyi Metrik</w:t>
            </w:r>
          </w:p>
        </w:tc>
      </w:tr>
      <w:tr>
        <w:tc>
          <w:tcPr>
            <w:tcW w:type="dxa" w:w="4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1</w:t>
            </w:r>
          </w:p>
        </w:tc>
        <w:tc>
          <w:tcPr>
            <w:tcW w:type="dxa" w:w="22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Alaudah ve ark.</w:t>
            </w:r>
          </w:p>
        </w:tc>
        <w:tc>
          <w:tcPr>
            <w:tcW w:type="dxa" w:w="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2019</w:t>
            </w:r>
          </w:p>
        </w:tc>
        <w:tc>
          <w:tcPr>
            <w:tcW w:type="dxa" w:w="23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w:t>
            </w:r>
          </w:p>
        </w:tc>
        <w:tc>
          <w:tcPr>
            <w:tcW w:type="dxa" w:w="1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w:t>
            </w:r>
          </w:p>
        </w:tc>
        <w:tc>
          <w:tcPr>
            <w:tcW w:type="dxa" w:w="1726"/>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Benchmark</w:t>
            </w:r>
          </w:p>
        </w:tc>
      </w:tr>
      <w:tr>
        <w:tc>
          <w:tcPr>
            <w:tcW w:type="dxa" w:w="4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2</w:t>
            </w:r>
          </w:p>
        </w:tc>
        <w:tc>
          <w:tcPr>
            <w:tcW w:type="dxa" w:w="22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Abid ve ark.</w:t>
            </w:r>
          </w:p>
        </w:tc>
        <w:tc>
          <w:tcPr>
            <w:tcW w:type="dxa" w:w="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2022</w:t>
            </w:r>
          </w:p>
        </w:tc>
        <w:tc>
          <w:tcPr>
            <w:tcW w:type="dxa" w:w="23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CNN Topluluğu</w:t>
            </w:r>
          </w:p>
        </w:tc>
        <w:tc>
          <w:tcPr>
            <w:tcW w:type="dxa" w:w="1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w:t>
            </w:r>
          </w:p>
        </w:tc>
        <w:tc>
          <w:tcPr>
            <w:tcW w:type="dxa" w:w="1726"/>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IoU &gt; %90</w:t>
            </w:r>
          </w:p>
        </w:tc>
      </w:tr>
      <w:tr>
        <w:tc>
          <w:tcPr>
            <w:tcW w:type="dxa" w:w="4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3</w:t>
            </w:r>
          </w:p>
        </w:tc>
        <w:tc>
          <w:tcPr>
            <w:tcW w:type="dxa" w:w="22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Kaur ve ark.</w:t>
            </w:r>
          </w:p>
        </w:tc>
        <w:tc>
          <w:tcPr>
            <w:tcW w:type="dxa" w:w="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2023</w:t>
            </w:r>
          </w:p>
        </w:tc>
        <w:tc>
          <w:tcPr>
            <w:tcW w:type="dxa" w:w="23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DeepLabv3+ / GAN</w:t>
            </w:r>
          </w:p>
        </w:tc>
        <w:tc>
          <w:tcPr>
            <w:tcW w:type="dxa" w:w="1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 Parihaka</w:t>
            </w:r>
          </w:p>
        </w:tc>
        <w:tc>
          <w:tcPr>
            <w:tcW w:type="dxa" w:w="1726"/>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Yüksek DS</w:t>
            </w:r>
          </w:p>
        </w:tc>
      </w:tr>
      <w:tr>
        <w:tc>
          <w:tcPr>
            <w:tcW w:type="dxa" w:w="4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4</w:t>
            </w:r>
          </w:p>
        </w:tc>
        <w:tc>
          <w:tcPr>
            <w:tcW w:type="dxa" w:w="22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Noh ve ark.</w:t>
            </w:r>
          </w:p>
        </w:tc>
        <w:tc>
          <w:tcPr>
            <w:tcW w:type="dxa" w:w="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2023</w:t>
            </w:r>
          </w:p>
        </w:tc>
        <w:tc>
          <w:tcPr>
            <w:tcW w:type="dxa" w:w="23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CNN + XAI</w:t>
            </w:r>
          </w:p>
        </w:tc>
        <w:tc>
          <w:tcPr>
            <w:tcW w:type="dxa" w:w="1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w:t>
            </w:r>
          </w:p>
        </w:tc>
        <w:tc>
          <w:tcPr>
            <w:tcW w:type="dxa" w:w="1726"/>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XAI Görsel.</w:t>
            </w:r>
          </w:p>
        </w:tc>
      </w:tr>
      <w:tr>
        <w:tc>
          <w:tcPr>
            <w:tcW w:type="dxa" w:w="4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5</w:t>
            </w:r>
          </w:p>
        </w:tc>
        <w:tc>
          <w:tcPr>
            <w:tcW w:type="dxa" w:w="22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Zhao ve ark.</w:t>
            </w:r>
          </w:p>
        </w:tc>
        <w:tc>
          <w:tcPr>
            <w:tcW w:type="dxa" w:w="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2023</w:t>
            </w:r>
          </w:p>
        </w:tc>
        <w:tc>
          <w:tcPr>
            <w:tcW w:type="dxa" w:w="23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Az Örnekli</w:t>
            </w:r>
          </w:p>
        </w:tc>
        <w:tc>
          <w:tcPr>
            <w:tcW w:type="dxa" w:w="1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 Parihaka</w:t>
            </w:r>
          </w:p>
        </w:tc>
        <w:tc>
          <w:tcPr>
            <w:tcW w:type="dxa" w:w="1726"/>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Sınırlı Veri</w:t>
            </w:r>
          </w:p>
        </w:tc>
      </w:tr>
      <w:tr>
        <w:tc>
          <w:tcPr>
            <w:tcW w:type="dxa" w:w="4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6</w:t>
            </w:r>
          </w:p>
        </w:tc>
        <w:tc>
          <w:tcPr>
            <w:tcW w:type="dxa" w:w="22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Yang ve ark.</w:t>
            </w:r>
          </w:p>
        </w:tc>
        <w:tc>
          <w:tcPr>
            <w:tcW w:type="dxa" w:w="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2024</w:t>
            </w:r>
          </w:p>
        </w:tc>
        <w:tc>
          <w:tcPr>
            <w:tcW w:type="dxa" w:w="23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Dilated U-Net</w:t>
            </w:r>
          </w:p>
        </w:tc>
        <w:tc>
          <w:tcPr>
            <w:tcW w:type="dxa" w:w="1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w:t>
            </w:r>
          </w:p>
        </w:tc>
        <w:tc>
          <w:tcPr>
            <w:tcW w:type="dxa" w:w="1726"/>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Acc = %96</w:t>
            </w:r>
          </w:p>
        </w:tc>
      </w:tr>
      <w:tr>
        <w:tc>
          <w:tcPr>
            <w:tcW w:type="dxa" w:w="4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7</w:t>
            </w:r>
          </w:p>
        </w:tc>
        <w:tc>
          <w:tcPr>
            <w:tcW w:type="dxa" w:w="22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Chikhaoui &amp; Alfarraj</w:t>
            </w:r>
          </w:p>
        </w:tc>
        <w:tc>
          <w:tcPr>
            <w:tcW w:type="dxa" w:w="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2024</w:t>
            </w:r>
          </w:p>
        </w:tc>
        <w:tc>
          <w:tcPr>
            <w:tcW w:type="dxa" w:w="23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SSL + CNN/ViT</w:t>
            </w:r>
          </w:p>
        </w:tc>
        <w:tc>
          <w:tcPr>
            <w:tcW w:type="dxa" w:w="1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 Penobscot</w:t>
            </w:r>
          </w:p>
        </w:tc>
        <w:tc>
          <w:tcPr>
            <w:tcW w:type="dxa" w:w="1726"/>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%5–10 Etiket</w:t>
            </w:r>
          </w:p>
        </w:tc>
      </w:tr>
      <w:tr>
        <w:tc>
          <w:tcPr>
            <w:tcW w:type="dxa" w:w="4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8</w:t>
            </w:r>
          </w:p>
        </w:tc>
        <w:tc>
          <w:tcPr>
            <w:tcW w:type="dxa" w:w="22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Wang ve ark.</w:t>
            </w:r>
          </w:p>
        </w:tc>
        <w:tc>
          <w:tcPr>
            <w:tcW w:type="dxa" w:w="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2023</w:t>
            </w:r>
          </w:p>
        </w:tc>
        <w:tc>
          <w:tcPr>
            <w:tcW w:type="dxa" w:w="23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SegFormer</w:t>
            </w:r>
          </w:p>
        </w:tc>
        <w:tc>
          <w:tcPr>
            <w:tcW w:type="dxa" w:w="1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w:t>
            </w:r>
          </w:p>
        </w:tc>
        <w:tc>
          <w:tcPr>
            <w:tcW w:type="dxa" w:w="1726"/>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IoU ↑</w:t>
            </w:r>
          </w:p>
        </w:tc>
      </w:tr>
      <w:tr>
        <w:tc>
          <w:tcPr>
            <w:tcW w:type="dxa" w:w="4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9</w:t>
            </w:r>
          </w:p>
        </w:tc>
        <w:tc>
          <w:tcPr>
            <w:tcW w:type="dxa" w:w="22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Deng ve ark.</w:t>
            </w:r>
          </w:p>
        </w:tc>
        <w:tc>
          <w:tcPr>
            <w:tcW w:type="dxa" w:w="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2024</w:t>
            </w:r>
          </w:p>
        </w:tc>
        <w:tc>
          <w:tcPr>
            <w:tcW w:type="dxa" w:w="23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Uma-Net</w:t>
            </w:r>
          </w:p>
        </w:tc>
        <w:tc>
          <w:tcPr>
            <w:tcW w:type="dxa" w:w="1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w:t>
            </w:r>
          </w:p>
        </w:tc>
        <w:tc>
          <w:tcPr>
            <w:tcW w:type="dxa" w:w="1726"/>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Fiziksel Ger.</w:t>
            </w:r>
          </w:p>
        </w:tc>
      </w:tr>
      <w:tr>
        <w:tc>
          <w:tcPr>
            <w:tcW w:type="dxa" w:w="4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10</w:t>
            </w:r>
          </w:p>
        </w:tc>
        <w:tc>
          <w:tcPr>
            <w:tcW w:type="dxa" w:w="22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Atolagbe &amp; K.</w:t>
            </w:r>
          </w:p>
        </w:tc>
        <w:tc>
          <w:tcPr>
            <w:tcW w:type="dxa" w:w="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2025</w:t>
            </w:r>
          </w:p>
        </w:tc>
        <w:tc>
          <w:tcPr>
            <w:tcW w:type="dxa" w:w="23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LVM + Etkil.</w:t>
            </w:r>
          </w:p>
        </w:tc>
        <w:tc>
          <w:tcPr>
            <w:tcW w:type="dxa" w:w="1700"/>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w:t>
            </w:r>
          </w:p>
        </w:tc>
        <w:tc>
          <w:tcPr>
            <w:tcW w:type="dxa" w:w="1726"/>
            <w:tcBorders>
              <w:top w:val="single" w:color="333333" w:sz="4"/>
              <w:left w:val="single" w:color="333333" w:sz="4"/>
              <w:bottom w:val="single" w:color="333333" w:sz="4"/>
              <w:right w:val="single" w:color="333333" w:sz="4"/>
            </w:tcBorders>
            <w:shd w:fill="F0F4F8"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Etk. Seg.</w:t>
            </w:r>
          </w:p>
        </w:tc>
      </w:tr>
      <w:tr>
        <w:tc>
          <w:tcPr>
            <w:tcW w:type="dxa" w:w="4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11</w:t>
            </w:r>
          </w:p>
        </w:tc>
        <w:tc>
          <w:tcPr>
            <w:tcW w:type="dxa" w:w="22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Alaudah ve ark.</w:t>
            </w:r>
          </w:p>
        </w:tc>
        <w:tc>
          <w:tcPr>
            <w:tcW w:type="dxa" w:w="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2025</w:t>
            </w:r>
          </w:p>
        </w:tc>
        <w:tc>
          <w:tcPr>
            <w:tcW w:type="dxa" w:w="23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11 Model Karş.</w:t>
            </w:r>
          </w:p>
        </w:tc>
        <w:tc>
          <w:tcPr>
            <w:tcW w:type="dxa" w:w="1700"/>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F3/Penobscot/P.</w:t>
            </w:r>
          </w:p>
        </w:tc>
        <w:tc>
          <w:tcPr>
            <w:tcW w:type="dxa" w:w="1726"/>
            <w:tcBorders>
              <w:top w:val="single" w:color="333333" w:sz="4"/>
              <w:left w:val="single" w:color="333333" w:sz="4"/>
              <w:bottom w:val="single" w:color="333333" w:sz="4"/>
              <w:right w:val="single" w:color="333333"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18"/>
                <w:szCs w:val="18"/>
              </w:rPr>
              <w:t xml:space="preserve">Meta-Analiz</w:t>
            </w:r>
          </w:p>
        </w:tc>
      </w:tr>
    </w:tbl>
    <w:p>
      <w:pPr>
        <w:spacing w:after="120"/>
      </w:pPr>
      <w:r>
        <w:t xml:space="preserve"/>
      </w:r>
    </w:p>
    <w:p>
      <w:pPr>
        <w:pBdr>
          <w:bottom w:val="single" w:color="2E4057" w:sz="6" w:space="1"/>
        </w:pBdr>
        <w:spacing w:before="360" w:after="160"/>
      </w:pPr>
      <w:r>
        <w:rPr>
          <w:rFonts w:ascii="Times New Roman" w:cs="Times New Roman" w:eastAsia="Times New Roman" w:hAnsi="Times New Roman"/>
          <w:b/>
          <w:bCs/>
          <w:caps/>
          <w:sz w:val="26"/>
          <w:szCs w:val="26"/>
        </w:rPr>
        <w:t xml:space="preserve">IV. TEMEL TEMALAR VE ARAŞTIRMA BOŞLUKLARI</w:t>
      </w:r>
    </w:p>
    <w:p>
      <w:pPr>
        <w:spacing w:before="240" w:after="100"/>
      </w:pPr>
      <w:r>
        <w:rPr>
          <w:rFonts w:ascii="Times New Roman" w:cs="Times New Roman" w:eastAsia="Times New Roman" w:hAnsi="Times New Roman"/>
          <w:b/>
          <w:bCs/>
          <w:i/>
          <w:iCs/>
          <w:sz w:val="24"/>
          <w:szCs w:val="24"/>
        </w:rPr>
        <w:t xml:space="preserve">4.1  Mimari Evrim: CNN'den Hibrit Modellere</w:t>
      </w:r>
    </w:p>
    <w:p>
      <w:pPr>
        <w:spacing w:after="180" w:line="360"/>
        <w:jc w:val="both"/>
      </w:pPr>
      <w:r>
        <w:rPr>
          <w:rFonts w:ascii="Times New Roman" w:cs="Times New Roman" w:eastAsia="Times New Roman" w:hAnsi="Times New Roman"/>
          <w:sz w:val="24"/>
          <w:szCs w:val="24"/>
        </w:rPr>
        <w:t xml:space="preserve">İncelenen literatürde belirgin bir akış, saf CNN yaklaşımlarına göre hibrit CNN-Transformer mimarilerine doğru kayış olarak kendini göstermektedir. 2019–2022 yılları arasındaki erken çalışmalar, U-Net ve türevlerini güçlü temel çizgisi olarak yerleşik kıldı. 2022–2023 döneminde Vision Transformer'lar, başlangıçta U-Net tipi yapılarda kodlayıcı olarak entegre edildi. 2024–2025 yıllarında ise baskın paradigma, CNN'lerin veri açısından verimli yerel özellik çıkarımıyla Transformer'ların uzun erimli bağımlılık modelleme gücünü bir araya getiren hibrit mimariler hâline gelmiştir.</w:t>
      </w:r>
    </w:p>
    <w:p>
      <w:pPr>
        <w:spacing w:before="240" w:after="100"/>
      </w:pPr>
      <w:r>
        <w:rPr>
          <w:rFonts w:ascii="Times New Roman" w:cs="Times New Roman" w:eastAsia="Times New Roman" w:hAnsi="Times New Roman"/>
          <w:b/>
          <w:bCs/>
          <w:i/>
          <w:iCs/>
          <w:sz w:val="24"/>
          <w:szCs w:val="24"/>
        </w:rPr>
        <w:t xml:space="preserve">4.2  Veri Kıtlığı ve Açıklama Maliyeti</w:t>
      </w:r>
    </w:p>
    <w:p>
      <w:pPr>
        <w:spacing w:after="180" w:line="360"/>
        <w:jc w:val="both"/>
      </w:pPr>
      <w:r>
        <w:rPr>
          <w:rFonts w:ascii="Times New Roman" w:cs="Times New Roman" w:eastAsia="Times New Roman" w:hAnsi="Times New Roman"/>
          <w:sz w:val="24"/>
          <w:szCs w:val="24"/>
        </w:rPr>
        <w:t xml:space="preserve">Sismik fasiyes açıklaması son derece zaman alıcı ve uzman gerektiren bir süreçtir. İncelenen çalışmalar bu soruna farklı açılardan yaklaşmıştır: Zhao ve ark. az örnekli öğrenme ile sınırlı etiketli veri sorununu ele alırken, Chikhaoui ve Alfarraj öz-denetimli öğrenme yoluyla yalnızca %5–10 etiketli veriyle tam denetimli öğrenmeye yakın başarı elde etmiştir. Bu bulgular, gerçek dünya uygulamalarında veri kıtlığı sorununun pratik biçimde aşılabileceğini göstermektedir.</w:t>
      </w:r>
    </w:p>
    <w:p>
      <w:pPr>
        <w:spacing w:before="240" w:after="100"/>
      </w:pPr>
      <w:r>
        <w:rPr>
          <w:rFonts w:ascii="Times New Roman" w:cs="Times New Roman" w:eastAsia="Times New Roman" w:hAnsi="Times New Roman"/>
          <w:b/>
          <w:bCs/>
          <w:i/>
          <w:iCs/>
          <w:sz w:val="24"/>
          <w:szCs w:val="24"/>
        </w:rPr>
        <w:t xml:space="preserve">4.3  Açıklanabilirlik: Klinik Gereklilik</w:t>
      </w:r>
    </w:p>
    <w:p>
      <w:pPr>
        <w:spacing w:after="180" w:line="360"/>
        <w:jc w:val="both"/>
      </w:pPr>
      <w:r>
        <w:rPr>
          <w:rFonts w:ascii="Times New Roman" w:cs="Times New Roman" w:eastAsia="Times New Roman" w:hAnsi="Times New Roman"/>
          <w:sz w:val="24"/>
          <w:szCs w:val="24"/>
        </w:rPr>
        <w:t xml:space="preserve">2023–2025 döneminde belirgin biçimde ön plana çıkan bir tema, model açıklanabilirliği olmaktadır. Erken derin öğrenme yaklaşımlarının büyük çoğu 'kara kutu' niteliği taşımakta; jeofizikçilerin model kararlarını anlamlandırmasına olanak tanımamaktaydı. Noh ve arkadaşlarının XAI tabanlı çalışması ve Atolagbe &amp; Koeshidayatullah'ın etkileşimli yorum yaklaşımı, şeffaf ve yorumlanabilir sismik analiz sistemlerine doğru güçlü bir ivme yaratmaktadır.</w:t>
      </w:r>
    </w:p>
    <w:p>
      <w:pPr>
        <w:spacing w:before="240" w:after="100"/>
      </w:pPr>
      <w:r>
        <w:rPr>
          <w:rFonts w:ascii="Times New Roman" w:cs="Times New Roman" w:eastAsia="Times New Roman" w:hAnsi="Times New Roman"/>
          <w:b/>
          <w:bCs/>
          <w:i/>
          <w:iCs/>
          <w:sz w:val="24"/>
          <w:szCs w:val="24"/>
        </w:rPr>
        <w:t xml:space="preserve">4.4  Metodolojik Tutarsızlık Sorunu</w:t>
      </w:r>
    </w:p>
    <w:p>
      <w:pPr>
        <w:spacing w:after="180" w:line="360"/>
        <w:jc w:val="both"/>
      </w:pPr>
      <w:r>
        <w:rPr>
          <w:rFonts w:ascii="Times New Roman" w:cs="Times New Roman" w:eastAsia="Times New Roman" w:hAnsi="Times New Roman"/>
          <w:sz w:val="24"/>
          <w:szCs w:val="24"/>
        </w:rPr>
        <w:t xml:space="preserve">Alaudah ve arkadaşlarının 2025 tarihli sistematik değerlendirmesi, alandaki kritik bir sorunu gün yüzüne çıkarmıştır: farklı çalışmaların farklı veri bölünme stratejileri kullanması, modellerin adil biçimde karşılaştırılmasını güçleştirmektedir. Bu metodolojik tutarsızlık, raporlanan metrik değerlerinin yorumlanmasını zorlaştırmakta ve en etkili yaklaşımın belirlenmesini engellemektedir. Projemiz, standart F3 benchmark bölünmesine sıkı sıkıya bağlı kalarak bu sorunu aşmayı hedeflemektedir.</w:t>
      </w:r>
    </w:p>
    <w:p>
      <w:pPr>
        <w:pBdr>
          <w:bottom w:val="single" w:color="2E4057" w:sz="6" w:space="1"/>
        </w:pBdr>
        <w:spacing w:before="360" w:after="160"/>
      </w:pPr>
      <w:r>
        <w:rPr>
          <w:rFonts w:ascii="Times New Roman" w:cs="Times New Roman" w:eastAsia="Times New Roman" w:hAnsi="Times New Roman"/>
          <w:b/>
          <w:bCs/>
          <w:caps/>
          <w:sz w:val="26"/>
          <w:szCs w:val="26"/>
        </w:rPr>
        <w:t xml:space="preserve">V. PROJEMIZ: HEDEFLER VE ÖNERILEN YAKLAŞIM</w:t>
      </w:r>
    </w:p>
    <w:p>
      <w:pPr>
        <w:spacing w:before="240" w:after="100"/>
      </w:pPr>
      <w:r>
        <w:rPr>
          <w:rFonts w:ascii="Times New Roman" w:cs="Times New Roman" w:eastAsia="Times New Roman" w:hAnsi="Times New Roman"/>
          <w:b/>
          <w:bCs/>
          <w:i/>
          <w:iCs/>
          <w:sz w:val="24"/>
          <w:szCs w:val="24"/>
        </w:rPr>
        <w:t xml:space="preserve">5.1  Motivasyon</w:t>
      </w:r>
    </w:p>
    <w:p>
      <w:pPr>
        <w:spacing w:after="180" w:line="360"/>
        <w:jc w:val="both"/>
      </w:pPr>
      <w:r>
        <w:rPr>
          <w:rFonts w:ascii="Times New Roman" w:cs="Times New Roman" w:eastAsia="Times New Roman" w:hAnsi="Times New Roman"/>
          <w:sz w:val="24"/>
          <w:szCs w:val="24"/>
        </w:rPr>
        <w:t xml:space="preserve">İncelenen literatür üzerine inşa etmek üzere kurs projemiz; halka açık F3 Bloğu veri seti üzerinde temel U-Net mimarisinden başlayarak sistematik bir sismik fasiyes segmentasyonu modeli geliştirmeyi hedeflemektedir. Birincil hedefimiz en yüksek performansı elde etmek değil; model karmaşıklığı, segmentasyon doğruluğu ve hesapsal verimlilik arasındaki tasarım ödünleşimlerini sistematik olarak anlamaktır. Sonuçlarımızı IEEE formatında raporlayarak çalışmamızı yeniden üretilebilir bir araştırma katkısı hâline getirmeyi amaçlıyoruz.</w:t>
      </w:r>
    </w:p>
    <w:p>
      <w:pPr>
        <w:spacing w:before="240" w:after="100"/>
      </w:pPr>
      <w:r>
        <w:rPr>
          <w:rFonts w:ascii="Times New Roman" w:cs="Times New Roman" w:eastAsia="Times New Roman" w:hAnsi="Times New Roman"/>
          <w:b/>
          <w:bCs/>
          <w:i/>
          <w:iCs/>
          <w:sz w:val="24"/>
          <w:szCs w:val="24"/>
        </w:rPr>
        <w:t xml:space="preserve">5.2  Proje Hedefleri</w:t>
      </w:r>
    </w:p>
    <w:p>
      <w:pPr>
        <w:pStyle w:val="ListParagraph"/>
        <w:numPr>
          <w:ilvl w:val="0"/>
          <w:numId w:val="2"/>
        </w:numPr>
        <w:spacing w:after="120" w:line="360"/>
      </w:pPr>
      <w:r>
        <w:rPr>
          <w:rFonts w:ascii="Times New Roman" w:cs="Times New Roman" w:eastAsia="Times New Roman" w:hAnsi="Times New Roman"/>
          <w:sz w:val="24"/>
          <w:szCs w:val="24"/>
        </w:rPr>
        <w:t xml:space="preserve">F3 veri setinin işlenmesi: 3B NumPy dizisini 2B görüntülere dönüştürme, normalize etme ve eğitim/doğrulama/test kümelerine bölme.</w:t>
      </w:r>
    </w:p>
    <w:p>
      <w:pPr>
        <w:pStyle w:val="ListParagraph"/>
        <w:numPr>
          <w:ilvl w:val="0"/>
          <w:numId w:val="2"/>
        </w:numPr>
        <w:spacing w:after="120" w:line="360"/>
      </w:pPr>
      <w:r>
        <w:rPr>
          <w:rFonts w:ascii="Times New Roman" w:cs="Times New Roman" w:eastAsia="Times New Roman" w:hAnsi="Times New Roman"/>
          <w:sz w:val="24"/>
          <w:szCs w:val="24"/>
        </w:rPr>
        <w:t xml:space="preserve">Temel U-Net modeli eğitimi ve IoU, Dice katsayısı, piksel doğruluğu metrikleri ile değerlendirme.</w:t>
      </w:r>
    </w:p>
    <w:p>
      <w:pPr>
        <w:pStyle w:val="ListParagraph"/>
        <w:numPr>
          <w:ilvl w:val="0"/>
          <w:numId w:val="2"/>
        </w:numPr>
        <w:spacing w:after="120" w:line="360"/>
      </w:pPr>
      <w:r>
        <w:rPr>
          <w:rFonts w:ascii="Times New Roman" w:cs="Times New Roman" w:eastAsia="Times New Roman" w:hAnsi="Times New Roman"/>
          <w:sz w:val="24"/>
          <w:szCs w:val="24"/>
        </w:rPr>
        <w:t xml:space="preserve">Veri artırma tekniklerinin (çevirme, döndürme, renk jitteri) model performansına katkısının ölçülmesi.</w:t>
      </w:r>
    </w:p>
    <w:p>
      <w:pPr>
        <w:pStyle w:val="ListParagraph"/>
        <w:numPr>
          <w:ilvl w:val="0"/>
          <w:numId w:val="2"/>
        </w:numPr>
        <w:spacing w:after="120" w:line="360"/>
      </w:pPr>
      <w:r>
        <w:rPr>
          <w:rFonts w:ascii="Times New Roman" w:cs="Times New Roman" w:eastAsia="Times New Roman" w:hAnsi="Times New Roman"/>
          <w:sz w:val="24"/>
          <w:szCs w:val="24"/>
        </w:rPr>
        <w:t xml:space="preserve">Segmentasyon sonuçlarının renkli fasiyes haritaları olarak görselleştirilmesi ve 'girdi / tahmin / gerçek etiket' karşılaştırma figürleri oluşturulması.</w:t>
      </w:r>
    </w:p>
    <w:p>
      <w:pPr>
        <w:pStyle w:val="ListParagraph"/>
        <w:numPr>
          <w:ilvl w:val="0"/>
          <w:numId w:val="2"/>
        </w:numPr>
        <w:spacing w:after="120" w:line="360"/>
      </w:pPr>
      <w:r>
        <w:rPr>
          <w:rFonts w:ascii="Times New Roman" w:cs="Times New Roman" w:eastAsia="Times New Roman" w:hAnsi="Times New Roman"/>
          <w:sz w:val="24"/>
          <w:szCs w:val="24"/>
        </w:rPr>
        <w:t xml:space="preserve">Çalışmanın IEEE formatında raporlanması ve ders sunumunda aktarılması.</w:t>
      </w:r>
    </w:p>
    <w:p>
      <w:pPr>
        <w:spacing w:before="240" w:after="100"/>
      </w:pPr>
      <w:r>
        <w:rPr>
          <w:rFonts w:ascii="Times New Roman" w:cs="Times New Roman" w:eastAsia="Times New Roman" w:hAnsi="Times New Roman"/>
          <w:b/>
          <w:bCs/>
          <w:i/>
          <w:iCs/>
          <w:sz w:val="24"/>
          <w:szCs w:val="24"/>
        </w:rPr>
        <w:t xml:space="preserve">5.3  Kullanılacak Veri Seti</w:t>
      </w:r>
    </w:p>
    <w:p>
      <w:pPr>
        <w:spacing w:after="180" w:line="360"/>
        <w:jc w:val="both"/>
      </w:pPr>
      <w:r>
        <w:rPr>
          <w:rFonts w:ascii="Times New Roman" w:cs="Times New Roman" w:eastAsia="Times New Roman" w:hAnsi="Times New Roman"/>
          <w:sz w:val="24"/>
          <w:szCs w:val="24"/>
        </w:rPr>
        <w:t xml:space="preserve">İncelenen literatürle doğrudan karşılaştırma yapılabilmesini sağlamak amacıyla Hollanda F3 Bloğu sismik veri seti kullanılacaktır. Veri seti 601 sismik profil, 701 CDP ve 255 zaman örnekleme noktasından oluşmakta; altı fasiyes sınıfı içermektedir. Kaggle ve GitHub üzerinden ücretsiz erişilebilen bu veri seti, 22.000'den fazla 128×128 piksel boyutunda görüntü sunmaktadır. Eğitim/doğrulama/test bölünmesi literatürdeki standart %60/%20/%20 oranı esas alınarak gerçekleştirilecektir.</w:t>
      </w:r>
    </w:p>
    <w:p>
      <w:pPr>
        <w:spacing w:before="240" w:after="100"/>
      </w:pPr>
      <w:r>
        <w:rPr>
          <w:rFonts w:ascii="Times New Roman" w:cs="Times New Roman" w:eastAsia="Times New Roman" w:hAnsi="Times New Roman"/>
          <w:b/>
          <w:bCs/>
          <w:i/>
          <w:iCs/>
          <w:sz w:val="24"/>
          <w:szCs w:val="24"/>
        </w:rPr>
        <w:t xml:space="preserve">5.4  Beklenen Katkılar</w:t>
      </w:r>
    </w:p>
    <w:p>
      <w:pPr>
        <w:spacing w:after="180" w:line="360"/>
        <w:jc w:val="both"/>
      </w:pPr>
      <w:r>
        <w:rPr>
          <w:rFonts w:ascii="Times New Roman" w:cs="Times New Roman" w:eastAsia="Times New Roman" w:hAnsi="Times New Roman"/>
          <w:sz w:val="24"/>
          <w:szCs w:val="24"/>
        </w:rPr>
        <w:t xml:space="preserve">Projemiz ders düzeyinde bir uygulama olmakla birlikte, gerçek bilimsel içgörü üretecek şekilde tasarlanmıştır. Standart F3 benchmark üzerinde U-Net'in temel performansını belgeleyerek veri artırmanın etkisini sistematik olarak ölçeceğiz. Renkli fasiyes haritaları ve 'girdi/tahmin/gerçek etiket' karşılaştırma görselleri, çalışmanın görsel etkisini ve bilimsel değerini artıracaktır. IEEE formatındaki raporumuz, gelecekteki araştırmacılara yeniden üretilebilir bir başlangıç noktası sunacaktır.</w:t>
      </w:r>
    </w:p>
    <w:p>
      <w:pPr>
        <w:pBdr>
          <w:bottom w:val="single" w:color="2E4057" w:sz="6" w:space="1"/>
        </w:pBdr>
        <w:spacing w:before="360" w:after="160"/>
      </w:pPr>
      <w:r>
        <w:rPr>
          <w:rFonts w:ascii="Times New Roman" w:cs="Times New Roman" w:eastAsia="Times New Roman" w:hAnsi="Times New Roman"/>
          <w:b/>
          <w:bCs/>
          <w:caps/>
          <w:sz w:val="26"/>
          <w:szCs w:val="26"/>
        </w:rPr>
        <w:t xml:space="preserve">KAYNAKLAR</w:t>
      </w:r>
    </w:p>
    <w:p>
      <w:pPr>
        <w:spacing w:after="120" w:line="320"/>
      </w:pPr>
      <w:r>
        <w:rPr>
          <w:rFonts w:ascii="Times New Roman" w:cs="Times New Roman" w:eastAsia="Times New Roman" w:hAnsi="Times New Roman"/>
          <w:sz w:val="20"/>
          <w:szCs w:val="20"/>
        </w:rPr>
        <w:t xml:space="preserve">[1]  Y. Alaudah, P. Michalowicz, M. Alfarraj ve G. AlRegib, "A Machine-Learning Benchmark for Facies Classification," Interpretation, c. 7, sayı 3, 2019. doi: 10.1190/INT-2018-0249.1</w:t>
      </w:r>
    </w:p>
    <w:p>
      <w:pPr>
        <w:spacing w:after="120" w:line="320"/>
      </w:pPr>
      <w:r>
        <w:rPr>
          <w:rFonts w:ascii="Times New Roman" w:cs="Times New Roman" w:eastAsia="Times New Roman" w:hAnsi="Times New Roman"/>
          <w:sz w:val="20"/>
          <w:szCs w:val="20"/>
        </w:rPr>
        <w:t xml:space="preserve">[2]  B. Abid, B. M. Khan ve R. A. Memon, "Seismic Facies Segmentation Using Ensemble of Convolutional Neural Networks," Wireless Commun. Mobile Comput., 2022. doi: 10.1155/2022/7762543</w:t>
      </w:r>
    </w:p>
    <w:p>
      <w:pPr>
        <w:spacing w:after="120" w:line="320"/>
      </w:pPr>
      <w:r>
        <w:rPr>
          <w:rFonts w:ascii="Times New Roman" w:cs="Times New Roman" w:eastAsia="Times New Roman" w:hAnsi="Times New Roman"/>
          <w:sz w:val="20"/>
          <w:szCs w:val="20"/>
        </w:rPr>
        <w:t xml:space="preserve">[3]  H. Kaur, N. Pham, S. Fomel ve ark., "A Deep Learning Framework for Seismic Facies Classification," Interpretation, c. 11, sayı 1, s. T107–T116, 2023. doi: 10.1190/INT-2022-0048.1</w:t>
      </w:r>
    </w:p>
    <w:p>
      <w:pPr>
        <w:spacing w:after="120" w:line="320"/>
      </w:pPr>
      <w:r>
        <w:rPr>
          <w:rFonts w:ascii="Times New Roman" w:cs="Times New Roman" w:eastAsia="Times New Roman" w:hAnsi="Times New Roman"/>
          <w:sz w:val="20"/>
          <w:szCs w:val="20"/>
        </w:rPr>
        <w:t xml:space="preserve">[4]  K. Noh, D. Kim ve J. Byun, "Explainable Deep Learning for Supervised Seismic Facies Classification Using Intrinsic Method," IEEE Trans. Geosci. Remote Sens., c. 61, 2023.</w:t>
      </w:r>
    </w:p>
    <w:p>
      <w:pPr>
        <w:spacing w:after="120" w:line="320"/>
      </w:pPr>
      <w:r>
        <w:rPr>
          <w:rFonts w:ascii="Times New Roman" w:cs="Times New Roman" w:eastAsia="Times New Roman" w:hAnsi="Times New Roman"/>
          <w:sz w:val="20"/>
          <w:szCs w:val="20"/>
        </w:rPr>
        <w:t xml:space="preserve">[5]  Y. Zhao, B. Chai, L. Shuo ve ark., "Few-Shot Learning for Seismic Facies Segmentation via Prototype Learning," GEOPHYSICS, c. 88, s. IM41–IM49, 2023. doi: 10.1190/geo2022-0281.1</w:t>
      </w:r>
    </w:p>
    <w:p>
      <w:pPr>
        <w:spacing w:after="120" w:line="320"/>
      </w:pPr>
      <w:r>
        <w:rPr>
          <w:rFonts w:ascii="Times New Roman" w:cs="Times New Roman" w:eastAsia="Times New Roman" w:hAnsi="Times New Roman"/>
          <w:sz w:val="20"/>
          <w:szCs w:val="20"/>
        </w:rPr>
        <w:t xml:space="preserve">[6]  N. Yang, G. Li, T. Li ve ark., "An Improved Deep Dilated Convolutional Neural Network for Seismic Facies Interpretation," Petroleum Science, c. 21, sayı 3, s. 1569–1583, 2024. doi: 10.1016/j.petsci.2023.11.027</w:t>
      </w:r>
    </w:p>
    <w:p>
      <w:pPr>
        <w:spacing w:after="120" w:line="320"/>
      </w:pPr>
      <w:r>
        <w:rPr>
          <w:rFonts w:ascii="Times New Roman" w:cs="Times New Roman" w:eastAsia="Times New Roman" w:hAnsi="Times New Roman"/>
          <w:sz w:val="20"/>
          <w:szCs w:val="20"/>
        </w:rPr>
        <w:t xml:space="preserve">[7]  K. Chikhaoui ve M. Alfarraj, "Self-Supervised Learning for Efficient Seismic Facies Classification," GEOPHYSICS, c. 89, s. IM61–IM76, 2024. doi: 10.1190/geo2023-0508.1</w:t>
      </w:r>
    </w:p>
    <w:p>
      <w:pPr>
        <w:spacing w:after="120" w:line="320"/>
      </w:pPr>
      <w:r>
        <w:rPr>
          <w:rFonts w:ascii="Times New Roman" w:cs="Times New Roman" w:eastAsia="Times New Roman" w:hAnsi="Times New Roman"/>
          <w:sz w:val="20"/>
          <w:szCs w:val="20"/>
        </w:rPr>
        <w:t xml:space="preserve">[8]  Z. Wang ve ark., "Seismic Facies Segmentation via a SegFormer-Based Specific Encoder-Decoder-Hypercolumns Scheme," IEEE Trans. Geosci. Remote Sens., c. 61, 2023.</w:t>
      </w:r>
    </w:p>
    <w:p>
      <w:pPr>
        <w:spacing w:after="120" w:line="320"/>
      </w:pPr>
      <w:r>
        <w:rPr>
          <w:rFonts w:ascii="Times New Roman" w:cs="Times New Roman" w:eastAsia="Times New Roman" w:hAnsi="Times New Roman"/>
          <w:sz w:val="20"/>
          <w:szCs w:val="20"/>
        </w:rPr>
        <w:t xml:space="preserve">[9]  F. Deng, R. Liang, W. Luo ve G. Zhang, "Deep Learning Segmentation of Seismic Facies Based on Proximity Constraint Strategy," IEEE Trans. Geosci. Remote Sens., 2024.</w:t>
      </w:r>
    </w:p>
    <w:p>
      <w:pPr>
        <w:spacing w:after="120" w:line="320"/>
      </w:pPr>
      <w:r>
        <w:rPr>
          <w:rFonts w:ascii="Times New Roman" w:cs="Times New Roman" w:eastAsia="Times New Roman" w:hAnsi="Times New Roman"/>
          <w:sz w:val="20"/>
          <w:szCs w:val="20"/>
        </w:rPr>
        <w:t xml:space="preserve">[10] J. Atolagbe ve A. Koeshidayatullah, "Towards User-Guided Seismic Facies Interpretation with a Pre-trained Large Vision Model," IEEE Access, 2025.</w:t>
      </w:r>
    </w:p>
    <w:p>
      <w:pPr>
        <w:spacing w:after="120" w:line="320"/>
      </w:pPr>
      <w:r>
        <w:rPr>
          <w:rFonts w:ascii="Times New Roman" w:cs="Times New Roman" w:eastAsia="Times New Roman" w:hAnsi="Times New Roman"/>
          <w:sz w:val="20"/>
          <w:szCs w:val="20"/>
        </w:rPr>
        <w:t xml:space="preserve">[11] Alaudah ve ark., "A Systematic Evaluation Methodology of Deep Learning on Seismic Facies Classification," Earth Science Informatics, 2025.</w:t>
      </w:r>
    </w:p>
    <w:p>
      <w:pPr>
        <w:spacing w:after="120" w:line="320"/>
      </w:pPr>
      <w:r>
        <w:rPr>
          <w:rFonts w:ascii="Times New Roman" w:cs="Times New Roman" w:eastAsia="Times New Roman" w:hAnsi="Times New Roman"/>
          <w:sz w:val="20"/>
          <w:szCs w:val="20"/>
        </w:rPr>
        <w:t xml:space="preserve">[12] O. Ronneberger, P. Fischer ve T. Brox, "U-Net: Convolutional Networks for Biomedical Image Segmentation," MICCAI, 2015.</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2026-03-10T21:14:20.785Z</dcterms:created>
  <dcterms:modified xsi:type="dcterms:W3CDTF">2026-03-10T21:14:20.786Z</dcterms:modified>
</cp:coreProperties>
</file>

<file path=docProps/custom.xml><?xml version="1.0" encoding="utf-8"?>
<Properties xmlns="http://schemas.openxmlformats.org/officeDocument/2006/custom-properties" xmlns:vt="http://schemas.openxmlformats.org/officeDocument/2006/docPropsVTypes"/>
</file>